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June 24, 2016</w:t>
      </w:r>
    </w:p>
    <w:p>
      <w:pPr>
        <w:spacing w:after="0" w:line="25" w:lineRule="exact"/>
        <w:rPr>
          <w:sz w:val="24"/>
          <w:szCs w:val="24"/>
          <w:color w:val="auto"/>
        </w:rPr>
      </w:pPr>
    </w:p>
    <w:p>
      <w:pPr>
        <w:ind w:left="93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MEDPACE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8"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880" w:type="dxa"/>
            <w:vAlign w:val="bottom"/>
          </w:tcPr>
          <w:p>
            <w:pPr>
              <w:jc w:val="center"/>
              <w:ind w:right="1012"/>
              <w:spacing w:after="0"/>
              <w:rPr>
                <w:sz w:val="20"/>
                <w:szCs w:val="20"/>
                <w:color w:val="auto"/>
              </w:rPr>
            </w:pPr>
            <w:r>
              <w:rPr>
                <w:rFonts w:ascii="Arial" w:cs="Arial" w:eastAsia="Arial" w:hAnsi="Arial"/>
                <w:sz w:val="15"/>
                <w:szCs w:val="15"/>
                <w:b w:val="1"/>
                <w:bCs w:val="1"/>
                <w:color w:val="auto"/>
              </w:rPr>
              <w:t>Delaware</w:t>
            </w:r>
          </w:p>
        </w:tc>
        <w:tc>
          <w:tcPr>
            <w:tcW w:w="3980" w:type="dxa"/>
            <w:vAlign w:val="bottom"/>
          </w:tcPr>
          <w:p>
            <w:pPr>
              <w:jc w:val="center"/>
              <w:ind w:right="52"/>
              <w:spacing w:after="0"/>
              <w:rPr>
                <w:sz w:val="20"/>
                <w:szCs w:val="20"/>
                <w:color w:val="auto"/>
              </w:rPr>
            </w:pPr>
            <w:r>
              <w:rPr>
                <w:rFonts w:ascii="Arial" w:cs="Arial" w:eastAsia="Arial" w:hAnsi="Arial"/>
                <w:sz w:val="15"/>
                <w:szCs w:val="15"/>
                <w:b w:val="1"/>
                <w:bCs w:val="1"/>
                <w:color w:val="auto"/>
              </w:rPr>
              <w:t>8731</w:t>
            </w:r>
          </w:p>
        </w:tc>
        <w:tc>
          <w:tcPr>
            <w:tcW w:w="2260" w:type="dxa"/>
            <w:vAlign w:val="bottom"/>
          </w:tcPr>
          <w:p>
            <w:pPr>
              <w:jc w:val="center"/>
              <w:ind w:left="1132"/>
              <w:spacing w:after="0"/>
              <w:rPr>
                <w:sz w:val="20"/>
                <w:szCs w:val="20"/>
                <w:color w:val="auto"/>
              </w:rPr>
            </w:pPr>
            <w:r>
              <w:rPr>
                <w:rFonts w:ascii="Arial" w:cs="Arial" w:eastAsia="Arial" w:hAnsi="Arial"/>
                <w:sz w:val="15"/>
                <w:szCs w:val="15"/>
                <w:b w:val="1"/>
                <w:bCs w:val="1"/>
                <w:color w:val="auto"/>
              </w:rPr>
              <w:t>32-0434904</w:t>
            </w:r>
          </w:p>
        </w:tc>
      </w:tr>
      <w:tr>
        <w:trPr>
          <w:trHeight w:val="135"/>
        </w:trPr>
        <w:tc>
          <w:tcPr>
            <w:tcW w:w="2880" w:type="dxa"/>
            <w:vAlign w:val="bottom"/>
          </w:tcPr>
          <w:p>
            <w:pPr>
              <w:jc w:val="center"/>
              <w:ind w:right="992"/>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398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260" w:type="dxa"/>
            <w:vAlign w:val="bottom"/>
          </w:tcPr>
          <w:p>
            <w:pPr>
              <w:jc w:val="center"/>
              <w:ind w:left="1132"/>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80" w:type="dxa"/>
            <w:vAlign w:val="bottom"/>
          </w:tcPr>
          <w:p>
            <w:pPr>
              <w:jc w:val="center"/>
              <w:ind w:right="1012"/>
              <w:spacing w:after="0"/>
              <w:rPr>
                <w:sz w:val="20"/>
                <w:szCs w:val="20"/>
                <w:color w:val="auto"/>
              </w:rPr>
            </w:pPr>
            <w:r>
              <w:rPr>
                <w:rFonts w:ascii="Arial" w:cs="Arial" w:eastAsia="Arial" w:hAnsi="Arial"/>
                <w:sz w:val="13"/>
                <w:szCs w:val="13"/>
                <w:b w:val="1"/>
                <w:bCs w:val="1"/>
                <w:color w:val="auto"/>
                <w:w w:val="96"/>
              </w:rPr>
              <w:t>incorporation or organization)</w:t>
            </w:r>
          </w:p>
        </w:tc>
        <w:tc>
          <w:tcPr>
            <w:tcW w:w="3980" w:type="dxa"/>
            <w:vAlign w:val="bottom"/>
          </w:tcPr>
          <w:p>
            <w:pPr>
              <w:jc w:val="center"/>
              <w:ind w:right="72"/>
              <w:spacing w:after="0"/>
              <w:rPr>
                <w:sz w:val="20"/>
                <w:szCs w:val="20"/>
                <w:color w:val="auto"/>
              </w:rPr>
            </w:pPr>
            <w:r>
              <w:rPr>
                <w:rFonts w:ascii="Arial" w:cs="Arial" w:eastAsia="Arial" w:hAnsi="Arial"/>
                <w:sz w:val="13"/>
                <w:szCs w:val="13"/>
                <w:b w:val="1"/>
                <w:bCs w:val="1"/>
                <w:color w:val="auto"/>
                <w:w w:val="96"/>
              </w:rPr>
              <w:t>Classification Code Number)</w:t>
            </w:r>
          </w:p>
        </w:tc>
        <w:tc>
          <w:tcPr>
            <w:tcW w:w="2260" w:type="dxa"/>
            <w:vAlign w:val="bottom"/>
          </w:tcPr>
          <w:p>
            <w:pPr>
              <w:jc w:val="center"/>
              <w:ind w:left="1132"/>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Medpace Holdings, Inc.</w:t>
      </w:r>
    </w:p>
    <w:p>
      <w:pPr>
        <w:jc w:val="center"/>
        <w:ind w:right="-19"/>
        <w:spacing w:after="0" w:line="236" w:lineRule="auto"/>
        <w:rPr>
          <w:sz w:val="20"/>
          <w:szCs w:val="20"/>
          <w:color w:val="auto"/>
        </w:rPr>
      </w:pPr>
      <w:r>
        <w:rPr>
          <w:rFonts w:ascii="Arial" w:cs="Arial" w:eastAsia="Arial" w:hAnsi="Arial"/>
          <w:sz w:val="15"/>
          <w:szCs w:val="15"/>
          <w:b w:val="1"/>
          <w:bCs w:val="1"/>
          <w:color w:val="auto"/>
        </w:rPr>
        <w:t>5375 Medpace Way</w:t>
      </w:r>
    </w:p>
    <w:p>
      <w:pPr>
        <w:jc w:val="center"/>
        <w:ind w:right="-19"/>
        <w:spacing w:after="0" w:line="225" w:lineRule="auto"/>
        <w:rPr>
          <w:sz w:val="20"/>
          <w:szCs w:val="20"/>
          <w:color w:val="auto"/>
        </w:rPr>
      </w:pPr>
      <w:r>
        <w:rPr>
          <w:rFonts w:ascii="Arial" w:cs="Arial" w:eastAsia="Arial" w:hAnsi="Arial"/>
          <w:sz w:val="15"/>
          <w:szCs w:val="15"/>
          <w:b w:val="1"/>
          <w:bCs w:val="1"/>
          <w:color w:val="auto"/>
        </w:rPr>
        <w:t>Cincinnati, Ohio 45227</w:t>
      </w:r>
    </w:p>
    <w:p>
      <w:pPr>
        <w:jc w:val="center"/>
        <w:ind w:right="-19"/>
        <w:spacing w:after="0" w:line="222" w:lineRule="auto"/>
        <w:rPr>
          <w:sz w:val="20"/>
          <w:szCs w:val="20"/>
          <w:color w:val="auto"/>
        </w:rPr>
      </w:pPr>
      <w:r>
        <w:rPr>
          <w:rFonts w:ascii="Arial" w:cs="Arial" w:eastAsia="Arial" w:hAnsi="Arial"/>
          <w:sz w:val="15"/>
          <w:szCs w:val="15"/>
          <w:b w:val="1"/>
          <w:bCs w:val="1"/>
          <w:color w:val="auto"/>
        </w:rPr>
        <w:t>(513) 579-9911</w:t>
      </w: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106045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Dr. August J. Troendle</w:t>
      </w:r>
    </w:p>
    <w:p>
      <w:pPr>
        <w:jc w:val="center"/>
        <w:ind w:right="-19"/>
        <w:spacing w:after="0" w:line="236"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9"/>
        <w:spacing w:after="0" w:line="225" w:lineRule="auto"/>
        <w:rPr>
          <w:sz w:val="20"/>
          <w:szCs w:val="20"/>
          <w:color w:val="auto"/>
        </w:rPr>
      </w:pPr>
      <w:r>
        <w:rPr>
          <w:rFonts w:ascii="Arial" w:cs="Arial" w:eastAsia="Arial" w:hAnsi="Arial"/>
          <w:sz w:val="15"/>
          <w:szCs w:val="15"/>
          <w:b w:val="1"/>
          <w:bCs w:val="1"/>
          <w:color w:val="auto"/>
        </w:rPr>
        <w:t>Jesse J. Geiger</w:t>
      </w:r>
    </w:p>
    <w:p>
      <w:pPr>
        <w:jc w:val="center"/>
        <w:ind w:right="-19"/>
        <w:spacing w:after="0" w:line="226" w:lineRule="auto"/>
        <w:rPr>
          <w:sz w:val="20"/>
          <w:szCs w:val="20"/>
          <w:color w:val="auto"/>
        </w:rPr>
      </w:pPr>
      <w:r>
        <w:rPr>
          <w:rFonts w:ascii="Arial" w:cs="Arial" w:eastAsia="Arial" w:hAnsi="Arial"/>
          <w:sz w:val="15"/>
          <w:szCs w:val="15"/>
          <w:b w:val="1"/>
          <w:bCs w:val="1"/>
          <w:color w:val="auto"/>
        </w:rPr>
        <w:t>Chief Financial Officer</w:t>
      </w:r>
    </w:p>
    <w:p>
      <w:pPr>
        <w:jc w:val="center"/>
        <w:ind w:right="-19"/>
        <w:spacing w:after="0" w:line="225" w:lineRule="auto"/>
        <w:rPr>
          <w:sz w:val="20"/>
          <w:szCs w:val="20"/>
          <w:color w:val="auto"/>
        </w:rPr>
      </w:pPr>
      <w:r>
        <w:rPr>
          <w:rFonts w:ascii="Arial" w:cs="Arial" w:eastAsia="Arial" w:hAnsi="Arial"/>
          <w:sz w:val="15"/>
          <w:szCs w:val="15"/>
          <w:b w:val="1"/>
          <w:bCs w:val="1"/>
          <w:color w:val="auto"/>
        </w:rPr>
        <w:t>Medpace Holdings, Inc.</w:t>
      </w:r>
    </w:p>
    <w:p>
      <w:pPr>
        <w:jc w:val="center"/>
        <w:ind w:right="-19"/>
        <w:spacing w:after="0" w:line="226" w:lineRule="auto"/>
        <w:rPr>
          <w:sz w:val="20"/>
          <w:szCs w:val="20"/>
          <w:color w:val="auto"/>
        </w:rPr>
      </w:pPr>
      <w:r>
        <w:rPr>
          <w:rFonts w:ascii="Arial" w:cs="Arial" w:eastAsia="Arial" w:hAnsi="Arial"/>
          <w:sz w:val="15"/>
          <w:szCs w:val="15"/>
          <w:b w:val="1"/>
          <w:bCs w:val="1"/>
          <w:color w:val="auto"/>
        </w:rPr>
        <w:t>5375 Medpace Way</w:t>
      </w:r>
    </w:p>
    <w:p>
      <w:pPr>
        <w:jc w:val="center"/>
        <w:ind w:right="-19"/>
        <w:spacing w:after="0" w:line="225" w:lineRule="auto"/>
        <w:rPr>
          <w:sz w:val="20"/>
          <w:szCs w:val="20"/>
          <w:color w:val="auto"/>
        </w:rPr>
      </w:pPr>
      <w:r>
        <w:rPr>
          <w:rFonts w:ascii="Arial" w:cs="Arial" w:eastAsia="Arial" w:hAnsi="Arial"/>
          <w:sz w:val="15"/>
          <w:szCs w:val="15"/>
          <w:b w:val="1"/>
          <w:bCs w:val="1"/>
          <w:color w:val="auto"/>
        </w:rPr>
        <w:t>Cincinnati, Ohio 45227</w:t>
      </w:r>
    </w:p>
    <w:p>
      <w:pPr>
        <w:jc w:val="center"/>
        <w:ind w:right="-19"/>
        <w:spacing w:after="0" w:line="222" w:lineRule="auto"/>
        <w:rPr>
          <w:sz w:val="20"/>
          <w:szCs w:val="20"/>
          <w:color w:val="auto"/>
        </w:rPr>
      </w:pPr>
      <w:r>
        <w:rPr>
          <w:rFonts w:ascii="Arial" w:cs="Arial" w:eastAsia="Arial" w:hAnsi="Arial"/>
          <w:sz w:val="15"/>
          <w:szCs w:val="15"/>
          <w:b w:val="1"/>
          <w:bCs w:val="1"/>
          <w:color w:val="auto"/>
        </w:rPr>
        <w:t>(513) 579-9911</w:t>
      </w:r>
    </w:p>
    <w:p>
      <w:pPr>
        <w:jc w:val="center"/>
        <w:ind w:right="-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106045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58" w:lineRule="exact"/>
        <w:rPr>
          <w:sz w:val="24"/>
          <w:szCs w:val="24"/>
          <w:color w:val="auto"/>
        </w:rPr>
      </w:pPr>
    </w:p>
    <w:p>
      <w:pPr>
        <w:ind w:left="2080"/>
        <w:spacing w:after="0"/>
        <w:tabs>
          <w:tab w:leader="none" w:pos="7840" w:val="left"/>
        </w:tabs>
        <w:rPr>
          <w:sz w:val="20"/>
          <w:szCs w:val="20"/>
          <w:color w:val="auto"/>
        </w:rPr>
      </w:pPr>
      <w:r>
        <w:rPr>
          <w:rFonts w:ascii="Arial" w:cs="Arial" w:eastAsia="Arial" w:hAnsi="Arial"/>
          <w:sz w:val="15"/>
          <w:szCs w:val="15"/>
          <w:b w:val="1"/>
          <w:bCs w:val="1"/>
          <w:color w:val="auto"/>
        </w:rPr>
        <w:t>Howard A. Sobel, Esq.</w:t>
      </w:r>
      <w:r>
        <w:rPr>
          <w:sz w:val="20"/>
          <w:szCs w:val="20"/>
          <w:color w:val="auto"/>
        </w:rPr>
        <w:tab/>
      </w:r>
      <w:r>
        <w:rPr>
          <w:rFonts w:ascii="Arial" w:cs="Arial" w:eastAsia="Arial" w:hAnsi="Arial"/>
          <w:sz w:val="15"/>
          <w:szCs w:val="15"/>
          <w:b w:val="1"/>
          <w:bCs w:val="1"/>
          <w:color w:val="auto"/>
        </w:rPr>
        <w:t>Glenn R. Pollner, Esq.</w:t>
      </w:r>
    </w:p>
    <w:p>
      <w:pPr>
        <w:ind w:left="1980"/>
        <w:spacing w:after="0" w:line="236" w:lineRule="auto"/>
        <w:tabs>
          <w:tab w:leader="none" w:pos="7540" w:val="left"/>
        </w:tabs>
        <w:rPr>
          <w:sz w:val="20"/>
          <w:szCs w:val="20"/>
          <w:color w:val="auto"/>
        </w:rPr>
      </w:pPr>
      <w:r>
        <w:rPr>
          <w:rFonts w:ascii="Arial" w:cs="Arial" w:eastAsia="Arial" w:hAnsi="Arial"/>
          <w:sz w:val="15"/>
          <w:szCs w:val="15"/>
          <w:b w:val="1"/>
          <w:bCs w:val="1"/>
          <w:color w:val="auto"/>
        </w:rPr>
        <w:t>Gregory P. Rodgers, Esq.</w:t>
      </w:r>
      <w:r>
        <w:rPr>
          <w:sz w:val="20"/>
          <w:szCs w:val="20"/>
          <w:color w:val="auto"/>
        </w:rPr>
        <w:tab/>
      </w:r>
      <w:r>
        <w:rPr>
          <w:rFonts w:ascii="Arial" w:cs="Arial" w:eastAsia="Arial" w:hAnsi="Arial"/>
          <w:sz w:val="15"/>
          <w:szCs w:val="15"/>
          <w:b w:val="1"/>
          <w:bCs w:val="1"/>
          <w:color w:val="auto"/>
        </w:rPr>
        <w:t>Gibson, Dunn &amp; Crutcher LLP</w:t>
      </w:r>
    </w:p>
    <w:p>
      <w:pPr>
        <w:ind w:left="2060"/>
        <w:spacing w:after="0" w:line="225" w:lineRule="auto"/>
        <w:tabs>
          <w:tab w:leader="none" w:pos="8020" w:val="left"/>
        </w:tabs>
        <w:rPr>
          <w:sz w:val="20"/>
          <w:szCs w:val="20"/>
          <w:color w:val="auto"/>
        </w:rPr>
      </w:pPr>
      <w:r>
        <w:rPr>
          <w:rFonts w:ascii="Arial" w:cs="Arial" w:eastAsia="Arial" w:hAnsi="Arial"/>
          <w:sz w:val="15"/>
          <w:szCs w:val="15"/>
          <w:b w:val="1"/>
          <w:bCs w:val="1"/>
          <w:color w:val="auto"/>
        </w:rPr>
        <w:t>Latham &amp; Watkins LLP</w:t>
      </w:r>
      <w:r>
        <w:rPr>
          <w:sz w:val="20"/>
          <w:szCs w:val="20"/>
          <w:color w:val="auto"/>
        </w:rPr>
        <w:tab/>
      </w:r>
      <w:r>
        <w:rPr>
          <w:rFonts w:ascii="Arial" w:cs="Arial" w:eastAsia="Arial" w:hAnsi="Arial"/>
          <w:sz w:val="15"/>
          <w:szCs w:val="15"/>
          <w:b w:val="1"/>
          <w:bCs w:val="1"/>
          <w:color w:val="auto"/>
        </w:rPr>
        <w:t>200 Park Avenue</w:t>
      </w:r>
    </w:p>
    <w:p>
      <w:pPr>
        <w:ind w:left="2260"/>
        <w:spacing w:after="0" w:line="226" w:lineRule="auto"/>
        <w:tabs>
          <w:tab w:leader="none" w:pos="7900" w:val="left"/>
        </w:tabs>
        <w:rPr>
          <w:sz w:val="20"/>
          <w:szCs w:val="20"/>
          <w:color w:val="auto"/>
        </w:rPr>
      </w:pPr>
      <w:r>
        <w:rPr>
          <w:rFonts w:ascii="Arial" w:cs="Arial" w:eastAsia="Arial" w:hAnsi="Arial"/>
          <w:sz w:val="15"/>
          <w:szCs w:val="15"/>
          <w:b w:val="1"/>
          <w:bCs w:val="1"/>
          <w:color w:val="auto"/>
        </w:rPr>
        <w:t>885 Third Avenue</w:t>
      </w:r>
      <w:r>
        <w:rPr>
          <w:sz w:val="20"/>
          <w:szCs w:val="20"/>
          <w:color w:val="auto"/>
        </w:rPr>
        <w:tab/>
      </w:r>
      <w:r>
        <w:rPr>
          <w:rFonts w:ascii="Arial" w:cs="Arial" w:eastAsia="Arial" w:hAnsi="Arial"/>
          <w:sz w:val="15"/>
          <w:szCs w:val="15"/>
          <w:b w:val="1"/>
          <w:bCs w:val="1"/>
          <w:color w:val="auto"/>
        </w:rPr>
        <w:t>New York, NY 10166</w:t>
      </w:r>
    </w:p>
    <w:p>
      <w:pPr>
        <w:ind w:left="2160"/>
        <w:spacing w:after="0" w:line="225" w:lineRule="auto"/>
        <w:tabs>
          <w:tab w:leader="none" w:pos="7680" w:val="left"/>
        </w:tabs>
        <w:rPr>
          <w:sz w:val="20"/>
          <w:szCs w:val="20"/>
          <w:color w:val="auto"/>
        </w:rPr>
      </w:pPr>
      <w:r>
        <w:rPr>
          <w:rFonts w:ascii="Arial" w:cs="Arial" w:eastAsia="Arial" w:hAnsi="Arial"/>
          <w:sz w:val="15"/>
          <w:szCs w:val="15"/>
          <w:b w:val="1"/>
          <w:bCs w:val="1"/>
          <w:color w:val="auto"/>
        </w:rPr>
        <w:t>New York, NY 10022</w:t>
      </w:r>
      <w:r>
        <w:rPr>
          <w:sz w:val="20"/>
          <w:szCs w:val="20"/>
          <w:color w:val="auto"/>
        </w:rPr>
        <w:tab/>
      </w:r>
      <w:r>
        <w:rPr>
          <w:rFonts w:ascii="Arial" w:cs="Arial" w:eastAsia="Arial" w:hAnsi="Arial"/>
          <w:sz w:val="15"/>
          <w:szCs w:val="15"/>
          <w:b w:val="1"/>
          <w:bCs w:val="1"/>
          <w:color w:val="auto"/>
        </w:rPr>
        <w:t>Telephone: (212) 351-4000</w:t>
      </w:r>
    </w:p>
    <w:p>
      <w:pPr>
        <w:ind w:left="1940"/>
        <w:spacing w:after="0" w:line="226" w:lineRule="auto"/>
        <w:tabs>
          <w:tab w:leader="none" w:pos="7920" w:val="left"/>
        </w:tabs>
        <w:rPr>
          <w:sz w:val="20"/>
          <w:szCs w:val="20"/>
          <w:color w:val="auto"/>
        </w:rPr>
      </w:pPr>
      <w:r>
        <w:rPr>
          <w:rFonts w:ascii="Arial" w:cs="Arial" w:eastAsia="Arial" w:hAnsi="Arial"/>
          <w:sz w:val="15"/>
          <w:szCs w:val="15"/>
          <w:b w:val="1"/>
          <w:bCs w:val="1"/>
          <w:color w:val="auto"/>
        </w:rPr>
        <w:t>Telephone: (212) 906-1200</w:t>
      </w:r>
      <w:r>
        <w:rPr>
          <w:sz w:val="20"/>
          <w:szCs w:val="20"/>
          <w:color w:val="auto"/>
        </w:rPr>
        <w:tab/>
      </w:r>
      <w:r>
        <w:rPr>
          <w:rFonts w:ascii="Arial" w:cs="Arial" w:eastAsia="Arial" w:hAnsi="Arial"/>
          <w:sz w:val="15"/>
          <w:szCs w:val="15"/>
          <w:b w:val="1"/>
          <w:bCs w:val="1"/>
          <w:color w:val="auto"/>
        </w:rPr>
        <w:t>Fax: (212) 351-4035</w:t>
      </w:r>
    </w:p>
    <w:p>
      <w:pPr>
        <w:ind w:left="2180"/>
        <w:spacing w:after="0"/>
        <w:rPr>
          <w:sz w:val="20"/>
          <w:szCs w:val="20"/>
          <w:color w:val="auto"/>
        </w:rPr>
      </w:pPr>
      <w:r>
        <w:rPr>
          <w:rFonts w:ascii="Arial" w:cs="Arial" w:eastAsia="Arial" w:hAnsi="Arial"/>
          <w:sz w:val="15"/>
          <w:szCs w:val="15"/>
          <w:b w:val="1"/>
          <w:bCs w:val="1"/>
          <w:color w:val="auto"/>
        </w:rPr>
        <w:t>Fax: (212) 751-4864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107315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PPROXIMATE DATE OF COMMENCEMENT OF PROPOSED SALE TO THE PUBLIC</w:t>
      </w:r>
      <w:r>
        <w:rPr>
          <w:rFonts w:ascii="Arial" w:cs="Arial" w:eastAsia="Arial" w:hAnsi="Arial"/>
          <w:sz w:val="14"/>
          <w:szCs w:val="14"/>
          <w:b w:val="1"/>
          <w:bCs w:val="1"/>
          <w:color w:val="auto"/>
        </w:rPr>
        <w:t>: A</w:t>
      </w:r>
      <w:r>
        <w:rPr>
          <w:rFonts w:ascii="Arial" w:cs="Arial" w:eastAsia="Arial" w:hAnsi="Arial"/>
          <w:sz w:val="11"/>
          <w:szCs w:val="11"/>
          <w:b w:val="1"/>
          <w:bCs w:val="1"/>
          <w:color w:val="auto"/>
        </w:rPr>
        <w:t>S SOON AS PRACTICABLE AFTER THIS</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EGISTRATION</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 IS DECLARED EFFECTIVE</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120650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62" w:lineRule="exact"/>
        <w:rPr>
          <w:sz w:val="24"/>
          <w:szCs w:val="24"/>
          <w:color w:val="auto"/>
        </w:rPr>
      </w:pPr>
    </w:p>
    <w:p>
      <w:pPr>
        <w:ind w:right="160" w:firstLine="342"/>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right="460" w:firstLine="342"/>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14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12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firstLine="342"/>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4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54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20" w:type="dxa"/>
            <w:vAlign w:val="bottom"/>
          </w:tcPr>
          <w:p>
            <w:pPr>
              <w:ind w:left="2200"/>
              <w:spacing w:after="0"/>
              <w:rPr>
                <w:sz w:val="20"/>
                <w:szCs w:val="20"/>
                <w:color w:val="auto"/>
              </w:rPr>
            </w:pPr>
            <w:r>
              <w:rPr>
                <w:rFonts w:ascii="Arial" w:cs="Arial" w:eastAsia="Arial" w:hAnsi="Arial"/>
                <w:sz w:val="14"/>
                <w:szCs w:val="14"/>
                <w:color w:val="auto"/>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100330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5" w:lineRule="exact"/>
        <w:rPr>
          <w:sz w:val="24"/>
          <w:szCs w:val="24"/>
          <w:color w:val="auto"/>
        </w:rPr>
      </w:pPr>
    </w:p>
    <w:p>
      <w:pPr>
        <w:sectPr>
          <w:pgSz w:w="11900" w:h="16838" w:orient="portrait"/>
          <w:cols w:equalWidth="0" w:num="2">
            <w:col w:w="11180" w:space="100"/>
            <w:col w:w="140"/>
          </w:cols>
          <w:pgMar w:left="240" w:top="230" w:right="239" w:bottom="1440" w:gutter="0" w:footer="0" w:header="0"/>
          <w:type w:val="continuous"/>
        </w:sectPr>
      </w:pP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82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6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18"/>
              <w:spacing w:after="0" w:line="94" w:lineRule="exact"/>
              <w:rPr>
                <w:sz w:val="20"/>
                <w:szCs w:val="20"/>
                <w:color w:val="auto"/>
              </w:rPr>
            </w:pPr>
            <w:r>
              <w:rPr>
                <w:rFonts w:ascii="Arial" w:cs="Arial" w:eastAsia="Arial" w:hAnsi="Arial"/>
                <w:sz w:val="9"/>
                <w:szCs w:val="9"/>
                <w:b w:val="1"/>
                <w:bCs w:val="1"/>
                <w:color w:val="auto"/>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MAXIMUM</w:t>
            </w:r>
          </w:p>
        </w:tc>
        <w:tc>
          <w:tcPr>
            <w:tcW w:w="1560" w:type="dxa"/>
            <w:vAlign w:val="bottom"/>
            <w:vMerge w:val="restart"/>
          </w:tcPr>
          <w:p>
            <w:pPr>
              <w:jc w:val="center"/>
              <w:ind w:left="14"/>
              <w:spacing w:after="0"/>
              <w:rPr>
                <w:sz w:val="20"/>
                <w:szCs w:val="20"/>
                <w:color w:val="auto"/>
              </w:rPr>
            </w:pPr>
            <w:r>
              <w:rPr>
                <w:rFonts w:ascii="Arial" w:cs="Arial" w:eastAsia="Arial" w:hAnsi="Arial"/>
                <w:sz w:val="13"/>
                <w:szCs w:val="13"/>
                <w:b w:val="1"/>
                <w:bCs w:val="1"/>
                <w:color w:val="auto"/>
                <w:w w:val="96"/>
              </w:rPr>
              <w:t>AMOUNT OF</w:t>
            </w:r>
          </w:p>
        </w:tc>
        <w:tc>
          <w:tcPr>
            <w:tcW w:w="0" w:type="dxa"/>
            <w:vAlign w:val="bottom"/>
          </w:tcPr>
          <w:p>
            <w:pPr>
              <w:spacing w:after="0"/>
              <w:rPr>
                <w:sz w:val="1"/>
                <w:szCs w:val="1"/>
                <w:color w:val="auto"/>
              </w:rPr>
            </w:pPr>
          </w:p>
        </w:tc>
      </w:tr>
      <w:tr>
        <w:trPr>
          <w:trHeight w:val="130"/>
        </w:trPr>
        <w:tc>
          <w:tcPr>
            <w:tcW w:w="826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jc w:val="center"/>
              <w:ind w:left="18"/>
              <w:spacing w:after="0" w:line="130" w:lineRule="exact"/>
              <w:rPr>
                <w:sz w:val="20"/>
                <w:szCs w:val="20"/>
                <w:color w:val="auto"/>
              </w:rPr>
            </w:pPr>
            <w:r>
              <w:rPr>
                <w:rFonts w:ascii="Arial" w:cs="Arial" w:eastAsia="Arial" w:hAnsi="Arial"/>
                <w:sz w:val="13"/>
                <w:szCs w:val="13"/>
                <w:b w:val="1"/>
                <w:bCs w:val="1"/>
                <w:color w:val="auto"/>
                <w:w w:val="95"/>
              </w:rPr>
              <w:t>AGGREGATE</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60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98"/>
              </w:rPr>
              <w:t xml:space="preserve">OFFERING PRICE </w:t>
            </w:r>
            <w:r>
              <w:rPr>
                <w:rFonts w:ascii="Arial" w:cs="Arial" w:eastAsia="Arial" w:hAnsi="Arial"/>
                <w:sz w:val="10"/>
                <w:szCs w:val="10"/>
                <w:b w:val="1"/>
                <w:bCs w:val="1"/>
                <w:color w:val="auto"/>
                <w:w w:val="98"/>
              </w:rPr>
              <w:t>(1)(2)</w:t>
            </w:r>
          </w:p>
        </w:tc>
        <w:tc>
          <w:tcPr>
            <w:tcW w:w="156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5"/>
              </w:rPr>
              <w:t>REGISTRATION FEE</w:t>
            </w:r>
          </w:p>
        </w:tc>
        <w:tc>
          <w:tcPr>
            <w:tcW w:w="0" w:type="dxa"/>
            <w:vAlign w:val="bottom"/>
          </w:tcPr>
          <w:p>
            <w:pPr>
              <w:spacing w:after="0"/>
              <w:rPr>
                <w:sz w:val="1"/>
                <w:szCs w:val="1"/>
                <w:color w:val="auto"/>
              </w:rPr>
            </w:pPr>
          </w:p>
        </w:tc>
      </w:tr>
      <w:tr>
        <w:trPr>
          <w:trHeight w:val="156"/>
        </w:trPr>
        <w:tc>
          <w:tcPr>
            <w:tcW w:w="82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$0.01 par value per share</w:t>
            </w:r>
          </w:p>
        </w:tc>
        <w:tc>
          <w:tcPr>
            <w:tcW w:w="1600" w:type="dxa"/>
            <w:vAlign w:val="bottom"/>
            <w:tcBorders>
              <w:bottom w:val="single" w:sz="8" w:color="auto"/>
              <w:right w:val="single" w:sz="8" w:color="auto"/>
            </w:tcBorders>
          </w:tcPr>
          <w:p>
            <w:pPr>
              <w:jc w:val="center"/>
              <w:ind w:left="18"/>
              <w:spacing w:after="0" w:line="155" w:lineRule="exact"/>
              <w:rPr>
                <w:sz w:val="20"/>
                <w:szCs w:val="20"/>
                <w:color w:val="auto"/>
              </w:rPr>
            </w:pPr>
            <w:r>
              <w:rPr>
                <w:rFonts w:ascii="Arial" w:cs="Arial" w:eastAsia="Arial" w:hAnsi="Arial"/>
                <w:sz w:val="14"/>
                <w:szCs w:val="14"/>
                <w:color w:val="auto"/>
              </w:rPr>
              <w:t>$150,000,000.00</w:t>
            </w:r>
          </w:p>
        </w:tc>
        <w:tc>
          <w:tcPr>
            <w:tcW w:w="1560" w:type="dxa"/>
            <w:vAlign w:val="bottom"/>
            <w:tcBorders>
              <w:bottom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rPr>
              <w:t>$15,105.00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265"/>
        <w:spacing w:after="0" w:line="188" w:lineRule="auto"/>
        <w:tabs>
          <w:tab w:leader="none" w:pos="34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Estimated solely for the purpose of calculating the registration fee pursuant to Rule 457(o) under the Securities Act of 1933, as amended.</w:t>
      </w:r>
    </w:p>
    <w:p>
      <w:pPr>
        <w:ind w:left="340" w:right="700" w:hanging="265"/>
        <w:spacing w:after="0" w:line="183"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Includes the offering price of shares of common stock that may be sold if the option to purchase additional shares of common stock granted by the Registrant to the underwriters is exercised.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102870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6" w:lineRule="exact"/>
        <w:rPr>
          <w:sz w:val="24"/>
          <w:szCs w:val="24"/>
          <w:color w:val="auto"/>
        </w:rPr>
      </w:pPr>
    </w:p>
    <w:p>
      <w:pPr>
        <w:ind w:right="80" w:firstLine="342"/>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JUNE 24,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Medpace Holdings,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55"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Medpace Holdings, Inc. is offering</w:t>
      </w:r>
      <w:r>
        <w:rPr>
          <w:sz w:val="20"/>
          <w:szCs w:val="20"/>
          <w:color w:val="auto"/>
        </w:rPr>
        <w:tab/>
      </w:r>
      <w:r>
        <w:rPr>
          <w:rFonts w:ascii="Arial" w:cs="Arial" w:eastAsia="Arial" w:hAnsi="Arial"/>
          <w:sz w:val="17"/>
          <w:szCs w:val="17"/>
          <w:color w:val="auto"/>
        </w:rPr>
        <w:t>shares of its common stock. This is our initial public offering, and no public market currently exists</w:t>
      </w:r>
    </w:p>
    <w:p>
      <w:pPr>
        <w:spacing w:after="0"/>
        <w:tabs>
          <w:tab w:leader="none" w:pos="7020" w:val="left"/>
          <w:tab w:leader="none" w:pos="8120" w:val="left"/>
        </w:tabs>
        <w:rPr>
          <w:sz w:val="20"/>
          <w:szCs w:val="20"/>
          <w:color w:val="auto"/>
        </w:rPr>
      </w:pPr>
      <w:r>
        <w:rPr>
          <w:rFonts w:ascii="Arial" w:cs="Arial" w:eastAsia="Arial" w:hAnsi="Arial"/>
          <w:sz w:val="18"/>
          <w:szCs w:val="18"/>
          <w:color w:val="auto"/>
        </w:rPr>
        <w:t>for our common stock. We expect 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per share. We have applied to list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on the NASDAQ Global Select Market under the symbol “MEDP.”</w:t>
      </w:r>
    </w:p>
    <w:p>
      <w:pPr>
        <w:spacing w:after="0" w:line="212"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and future filings.</w:t>
      </w:r>
    </w:p>
    <w:p>
      <w:pPr>
        <w:spacing w:after="0" w:line="175" w:lineRule="exact"/>
        <w:rPr>
          <w:sz w:val="20"/>
          <w:szCs w:val="20"/>
          <w:color w:val="auto"/>
        </w:rPr>
      </w:pPr>
    </w:p>
    <w:p>
      <w:pPr>
        <w:jc w:val="both"/>
        <w:ind w:right="18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26">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beginning on page 20 to read about factors you should consider before purchasing our common stock.</w:t>
      </w:r>
    </w:p>
    <w:p>
      <w:pPr>
        <w:spacing w:after="0" w:line="15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3"/>
        </w:trPr>
        <w:tc>
          <w:tcPr>
            <w:tcW w:w="7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18"/>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7340" w:type="dxa"/>
            <w:vAlign w:val="bottom"/>
          </w:tcPr>
          <w:p>
            <w:pPr>
              <w:spacing w:after="0" w:line="18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8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tcPr>
          <w:p>
            <w:pPr>
              <w:spacing w:after="0"/>
              <w:rPr>
                <w:sz w:val="16"/>
                <w:szCs w:val="16"/>
                <w:color w:val="auto"/>
              </w:rPr>
            </w:pPr>
          </w:p>
        </w:tc>
        <w:tc>
          <w:tcPr>
            <w:tcW w:w="700" w:type="dxa"/>
            <w:vAlign w:val="bottom"/>
          </w:tcPr>
          <w:p>
            <w:pPr>
              <w:jc w:val="right"/>
              <w:ind w:right="518"/>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r>
      <w:tr>
        <w:trPr>
          <w:trHeight w:val="189"/>
        </w:trPr>
        <w:tc>
          <w:tcPr>
            <w:tcW w:w="7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Medpace Holdings, Inc., before expenses</w:t>
            </w:r>
          </w:p>
        </w:tc>
        <w:tc>
          <w:tcPr>
            <w:tcW w:w="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18"/>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We have agreed to reimburse the underwriters for certain expenses in connection with this offering. See “Underwriting.”</w:t>
      </w:r>
    </w:p>
    <w:p>
      <w:pPr>
        <w:spacing w:after="0" w:line="196" w:lineRule="exact"/>
        <w:rPr>
          <w:sz w:val="20"/>
          <w:szCs w:val="20"/>
          <w:color w:val="auto"/>
        </w:rPr>
      </w:pPr>
    </w:p>
    <w:p>
      <w:pPr>
        <w:spacing w:after="0"/>
        <w:tabs>
          <w:tab w:leader="none" w:pos="8680" w:val="left"/>
        </w:tabs>
        <w:rPr>
          <w:sz w:val="20"/>
          <w:szCs w:val="20"/>
          <w:color w:val="auto"/>
        </w:rPr>
      </w:pPr>
      <w:r>
        <w:rPr>
          <w:rFonts w:ascii="Arial" w:cs="Arial" w:eastAsia="Arial" w:hAnsi="Arial"/>
          <w:sz w:val="17"/>
          <w:szCs w:val="17"/>
          <w:color w:val="auto"/>
        </w:rPr>
        <w:t>Our Chief Executive Officer and founder, Dr. August J. Troendle, has indicated an interest to purchase up to $</w:t>
      </w:r>
      <w:r>
        <w:rPr>
          <w:sz w:val="20"/>
          <w:szCs w:val="20"/>
          <w:color w:val="auto"/>
        </w:rPr>
        <w:tab/>
      </w:r>
      <w:r>
        <w:rPr>
          <w:rFonts w:ascii="Arial" w:cs="Arial" w:eastAsia="Arial" w:hAnsi="Arial"/>
          <w:sz w:val="16"/>
          <w:szCs w:val="16"/>
          <w:color w:val="auto"/>
        </w:rPr>
        <w:t>million in shares of our common</w:t>
      </w:r>
    </w:p>
    <w:p>
      <w:pPr>
        <w:spacing w:after="0" w:line="235" w:lineRule="auto"/>
        <w:rPr>
          <w:sz w:val="20"/>
          <w:szCs w:val="20"/>
          <w:color w:val="auto"/>
        </w:rPr>
      </w:pPr>
      <w:r>
        <w:rPr>
          <w:rFonts w:ascii="Arial" w:cs="Arial" w:eastAsia="Arial" w:hAnsi="Arial"/>
          <w:sz w:val="17"/>
          <w:szCs w:val="17"/>
          <w:color w:val="auto"/>
        </w:rPr>
        <w:t>stock in this offering at the initial public offering price.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shareholder will be made at our direction. The underwriters will receive the same underwriting discount on any shares purchased by Dr. Troendle as they will on any other shares sold to the public in this offering.</w:t>
      </w:r>
    </w:p>
    <w:p>
      <w:pPr>
        <w:spacing w:after="0" w:line="198" w:lineRule="exact"/>
        <w:rPr>
          <w:sz w:val="20"/>
          <w:szCs w:val="20"/>
          <w:color w:val="auto"/>
        </w:rPr>
      </w:pPr>
    </w:p>
    <w:p>
      <w:pPr>
        <w:spacing w:after="0"/>
        <w:tabs>
          <w:tab w:leader="none" w:pos="63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7"/>
          <w:szCs w:val="17"/>
          <w:color w:val="auto"/>
        </w:rPr>
        <w:t>. We have granted the underwriters an option for a period of 30</w:t>
      </w:r>
    </w:p>
    <w:p>
      <w:pPr>
        <w:spacing w:after="0" w:line="232" w:lineRule="auto"/>
        <w:tabs>
          <w:tab w:leader="none" w:pos="3360" w:val="left"/>
        </w:tabs>
        <w:rPr>
          <w:sz w:val="20"/>
          <w:szCs w:val="20"/>
          <w:color w:val="auto"/>
        </w:rPr>
      </w:pPr>
      <w:r>
        <w:rPr>
          <w:rFonts w:ascii="Arial" w:cs="Arial" w:eastAsia="Arial" w:hAnsi="Arial"/>
          <w:sz w:val="17"/>
          <w:szCs w:val="17"/>
          <w:color w:val="auto"/>
        </w:rPr>
        <w:t>days to purchase up to an additional</w:t>
      </w:r>
      <w:r>
        <w:rPr>
          <w:sz w:val="20"/>
          <w:szCs w:val="20"/>
          <w:color w:val="auto"/>
        </w:rPr>
        <w:tab/>
      </w:r>
      <w:r>
        <w:rPr>
          <w:rFonts w:ascii="Arial" w:cs="Arial" w:eastAsia="Arial" w:hAnsi="Arial"/>
          <w:sz w:val="17"/>
          <w:szCs w:val="17"/>
          <w:color w:val="auto"/>
        </w:rPr>
        <w:t>shares of our common stock. If the underwriters exercise the option in full, the total underwriting discounts</w:t>
      </w:r>
    </w:p>
    <w:p>
      <w:pPr>
        <w:spacing w:after="0"/>
        <w:tabs>
          <w:tab w:leader="none" w:pos="3640" w:val="left"/>
          <w:tab w:leader="none" w:pos="8440" w:val="left"/>
        </w:tabs>
        <w:rPr>
          <w:sz w:val="20"/>
          <w:szCs w:val="20"/>
          <w:color w:val="auto"/>
        </w:rPr>
      </w:pPr>
      <w:r>
        <w:rPr>
          <w:rFonts w:ascii="Arial" w:cs="Arial" w:eastAsia="Arial" w:hAnsi="Arial"/>
          <w:sz w:val="17"/>
          <w:szCs w:val="17"/>
          <w:color w:val="auto"/>
        </w:rPr>
        <w:t>and commissions payable by us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7"/>
          <w:szCs w:val="17"/>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25" w:lineRule="exact"/>
        <w:rPr>
          <w:sz w:val="20"/>
          <w:szCs w:val="20"/>
          <w:color w:val="auto"/>
        </w:rPr>
      </w:pPr>
    </w:p>
    <w:p>
      <w:pPr>
        <w:spacing w:after="0"/>
        <w:tabs>
          <w:tab w:leader="none" w:pos="9560" w:val="left"/>
        </w:tabs>
        <w:rPr>
          <w:sz w:val="20"/>
          <w:szCs w:val="20"/>
          <w:color w:val="auto"/>
        </w:rPr>
      </w:pPr>
      <w:r>
        <w:rPr>
          <w:rFonts w:ascii="Arial" w:cs="Arial" w:eastAsia="Arial" w:hAnsi="Arial"/>
          <w:sz w:val="28"/>
          <w:szCs w:val="28"/>
          <w:b w:val="1"/>
          <w:bCs w:val="1"/>
          <w:color w:val="auto"/>
        </w:rPr>
        <w:t>Jefferies</w:t>
      </w:r>
      <w:r>
        <w:rPr>
          <w:sz w:val="20"/>
          <w:szCs w:val="20"/>
          <w:color w:val="auto"/>
        </w:rPr>
        <w:tab/>
      </w:r>
      <w:r>
        <w:rPr>
          <w:rFonts w:ascii="Arial" w:cs="Arial" w:eastAsia="Arial" w:hAnsi="Arial"/>
          <w:sz w:val="28"/>
          <w:szCs w:val="28"/>
          <w:b w:val="1"/>
          <w:bCs w:val="1"/>
          <w:color w:val="auto"/>
        </w:rPr>
        <w:t>Credit Suisse</w:t>
      </w:r>
    </w:p>
    <w:p>
      <w:pPr>
        <w:spacing w:after="0" w:line="57" w:lineRule="exact"/>
        <w:rPr>
          <w:sz w:val="20"/>
          <w:szCs w:val="20"/>
          <w:color w:val="auto"/>
        </w:rPr>
      </w:pPr>
    </w:p>
    <w:p>
      <w:pPr>
        <w:spacing w:after="0"/>
        <w:tabs>
          <w:tab w:leader="none" w:pos="7320" w:val="left"/>
        </w:tabs>
        <w:rPr>
          <w:sz w:val="20"/>
          <w:szCs w:val="20"/>
          <w:color w:val="auto"/>
        </w:rPr>
      </w:pP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5"/>
          <w:szCs w:val="25"/>
          <w:b w:val="1"/>
          <w:bCs w:val="1"/>
          <w:color w:val="auto"/>
        </w:rPr>
        <w:t>Wells Fargo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8" w:lineRule="exact"/>
        <w:rPr>
          <w:sz w:val="20"/>
          <w:szCs w:val="20"/>
          <w:color w:val="auto"/>
        </w:rPr>
      </w:pPr>
    </w:p>
    <w:p>
      <w:pPr>
        <w:spacing w:after="0"/>
        <w:tabs>
          <w:tab w:leader="none" w:pos="10100" w:val="left"/>
        </w:tabs>
        <w:rPr>
          <w:sz w:val="20"/>
          <w:szCs w:val="20"/>
          <w:color w:val="auto"/>
        </w:rPr>
      </w:pPr>
      <w:r>
        <w:rPr>
          <w:rFonts w:ascii="Arial" w:cs="Arial" w:eastAsia="Arial" w:hAnsi="Arial"/>
          <w:sz w:val="21"/>
          <w:szCs w:val="21"/>
          <w:b w:val="1"/>
          <w:bCs w:val="1"/>
          <w:color w:val="auto"/>
        </w:rPr>
        <w:t>Baird</w:t>
      </w:r>
      <w:r>
        <w:rPr>
          <w:sz w:val="20"/>
          <w:szCs w:val="20"/>
          <w:color w:val="auto"/>
        </w:rPr>
        <w:tab/>
      </w:r>
      <w:r>
        <w:rPr>
          <w:rFonts w:ascii="Arial" w:cs="Arial" w:eastAsia="Arial" w:hAnsi="Arial"/>
          <w:sz w:val="21"/>
          <w:szCs w:val="21"/>
          <w:b w:val="1"/>
          <w:bCs w:val="1"/>
          <w:color w:val="auto"/>
        </w:rPr>
        <w:t>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545465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20"/>
        <w:spacing w:after="0"/>
        <w:tabs>
          <w:tab w:leader="none" w:pos="64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8"/>
          <w:szCs w:val="18"/>
          <w:color w:val="auto"/>
        </w:rPr>
        <w:t>,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22"/>
            <w:vMerge w:val="restart"/>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22"/>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8"/>
              </w:rPr>
            </w:pPr>
            <w:hyperlink w:anchor="page26">
              <w:r>
                <w:rPr>
                  <w:rFonts w:ascii="Arial" w:cs="Arial" w:eastAsia="Arial" w:hAnsi="Arial"/>
                  <w:sz w:val="17"/>
                  <w:szCs w:val="17"/>
                  <w:color w:val="0000EE"/>
                  <w:w w:val="98"/>
                </w:rPr>
                <w:t>RISK FACTORS</w:t>
              </w:r>
            </w:hyperlink>
          </w:p>
        </w:tc>
        <w:tc>
          <w:tcPr>
            <w:tcW w:w="840" w:type="dxa"/>
            <w:vAlign w:val="bottom"/>
            <w:tcBorders>
              <w:top w:val="single" w:sz="8" w:color="0000EE"/>
            </w:tcBorders>
            <w:gridSpan w:val="6"/>
          </w:tcPr>
          <w:p>
            <w:pPr>
              <w:spacing w:after="0"/>
              <w:rPr>
                <w:sz w:val="24"/>
                <w:szCs w:val="24"/>
                <w:color w:val="auto"/>
              </w:rPr>
            </w:pPr>
          </w:p>
        </w:tc>
        <w:tc>
          <w:tcPr>
            <w:tcW w:w="8800" w:type="dxa"/>
            <w:vAlign w:val="bottom"/>
            <w:gridSpan w:val="11"/>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CAUTIONARY NOTE REGARDING FORWARD LOOKING STATEMENTS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85"/>
        </w:trPr>
        <w:tc>
          <w:tcPr>
            <w:tcW w:w="1660" w:type="dxa"/>
            <w:vAlign w:val="bottom"/>
            <w:tcBorders>
              <w:top w:val="single" w:sz="8" w:color="0000EE"/>
              <w:bottom w:val="single" w:sz="8" w:color="0000EE"/>
            </w:tcBorders>
            <w:gridSpan w:val="10"/>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USE OF PROCEEDS</w:t>
              </w:r>
            </w:hyperlink>
          </w:p>
        </w:tc>
        <w:tc>
          <w:tcPr>
            <w:tcW w:w="3980" w:type="dxa"/>
            <w:vAlign w:val="bottom"/>
            <w:tcBorders>
              <w:top w:val="single" w:sz="8" w:color="0000EE"/>
            </w:tcBorders>
            <w:gridSpan w:val="8"/>
          </w:tcPr>
          <w:p>
            <w:pPr>
              <w:spacing w:after="0"/>
              <w:rPr>
                <w:sz w:val="24"/>
                <w:szCs w:val="24"/>
                <w:color w:val="auto"/>
              </w:rPr>
            </w:pPr>
          </w:p>
        </w:tc>
        <w:tc>
          <w:tcPr>
            <w:tcW w:w="5260" w:type="dxa"/>
            <w:vAlign w:val="bottom"/>
            <w:gridSpan w:val="4"/>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85"/>
        </w:trPr>
        <w:tc>
          <w:tcPr>
            <w:tcW w:w="150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5">
              <w:r>
                <w:rPr>
                  <w:rFonts w:ascii="Arial" w:cs="Arial" w:eastAsia="Arial" w:hAnsi="Arial"/>
                  <w:sz w:val="17"/>
                  <w:szCs w:val="17"/>
                  <w:color w:val="0000EE"/>
                  <w:w w:val="99"/>
                </w:rPr>
                <w:t>DIVIDEND POLICY</w:t>
              </w:r>
            </w:hyperlink>
          </w:p>
        </w:tc>
        <w:tc>
          <w:tcPr>
            <w:tcW w:w="9400" w:type="dxa"/>
            <w:vAlign w:val="bottom"/>
            <w:gridSpan w:val="13"/>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85"/>
        </w:trPr>
        <w:tc>
          <w:tcPr>
            <w:tcW w:w="138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56">
              <w:r>
                <w:rPr>
                  <w:rFonts w:ascii="Arial" w:cs="Arial" w:eastAsia="Arial" w:hAnsi="Arial"/>
                  <w:sz w:val="17"/>
                  <w:szCs w:val="17"/>
                  <w:color w:val="0000EE"/>
                  <w:w w:val="98"/>
                </w:rPr>
                <w:t>CAPITALIZATION</w:t>
              </w:r>
            </w:hyperlink>
          </w:p>
        </w:tc>
        <w:tc>
          <w:tcPr>
            <w:tcW w:w="9520" w:type="dxa"/>
            <w:vAlign w:val="bottom"/>
            <w:gridSpan w:val="15"/>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DILUTION</w:t>
              </w:r>
            </w:hyperlink>
          </w:p>
        </w:tc>
        <w:tc>
          <w:tcPr>
            <w:tcW w:w="10080" w:type="dxa"/>
            <w:vAlign w:val="bottom"/>
            <w:gridSpan w:val="20"/>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85"/>
        </w:trPr>
        <w:tc>
          <w:tcPr>
            <w:tcW w:w="5840" w:type="dxa"/>
            <w:vAlign w:val="bottom"/>
            <w:tcBorders>
              <w:bottom w:val="single" w:sz="8" w:color="0000EE"/>
            </w:tcBorders>
            <w:gridSpan w:val="19"/>
          </w:tcPr>
          <w:p>
            <w:pPr>
              <w:spacing w:after="0"/>
              <w:rPr>
                <w:rFonts w:ascii="Arial" w:cs="Arial" w:eastAsia="Arial" w:hAnsi="Arial"/>
                <w:sz w:val="17"/>
                <w:szCs w:val="17"/>
                <w:color w:val="0000EE"/>
                <w:w w:val="99"/>
              </w:rPr>
            </w:pPr>
            <w:hyperlink w:anchor="page59">
              <w:r>
                <w:rPr>
                  <w:rFonts w:ascii="Arial" w:cs="Arial" w:eastAsia="Arial" w:hAnsi="Arial"/>
                  <w:sz w:val="17"/>
                  <w:szCs w:val="17"/>
                  <w:color w:val="0000EE"/>
                  <w:w w:val="99"/>
                </w:rPr>
                <w:t>SELECTED HISTORICAL CONSOLIDATED FINANCIAL AND OTHER DATA</w:t>
              </w:r>
            </w:hyperlink>
          </w:p>
        </w:tc>
        <w:tc>
          <w:tcPr>
            <w:tcW w:w="5060" w:type="dxa"/>
            <w:vAlign w:val="bottom"/>
            <w:gridSpan w:val="3"/>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385"/>
        </w:trPr>
        <w:tc>
          <w:tcPr>
            <w:tcW w:w="8680" w:type="dxa"/>
            <w:vAlign w:val="bottom"/>
            <w:tcBorders>
              <w:bottom w:val="single" w:sz="8" w:color="0000EE"/>
            </w:tcBorders>
            <w:gridSpan w:val="21"/>
          </w:tcPr>
          <w:p>
            <w:pPr>
              <w:spacing w:after="0"/>
              <w:rPr>
                <w:rFonts w:ascii="Arial" w:cs="Arial" w:eastAsia="Arial" w:hAnsi="Arial"/>
                <w:sz w:val="17"/>
                <w:szCs w:val="17"/>
                <w:color w:val="0000EE"/>
                <w:w w:val="99"/>
              </w:rPr>
            </w:pPr>
            <w:hyperlink w:anchor="page64">
              <w:r>
                <w:rPr>
                  <w:rFonts w:ascii="Arial" w:cs="Arial" w:eastAsia="Arial" w:hAnsi="Arial"/>
                  <w:sz w:val="17"/>
                  <w:szCs w:val="17"/>
                  <w:color w:val="0000EE"/>
                  <w:w w:val="99"/>
                </w:rPr>
                <w:t>MANAGEMENT’S DISCUSSION AND ANALYSIS OF FINANCIAL CONDITION AND RESULTS OF OPERATIONS</w:t>
              </w:r>
            </w:hyperlink>
          </w:p>
        </w:tc>
        <w:tc>
          <w:tcPr>
            <w:tcW w:w="22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85"/>
        </w:trPr>
        <w:tc>
          <w:tcPr>
            <w:tcW w:w="880" w:type="dxa"/>
            <w:vAlign w:val="bottom"/>
            <w:tcBorders>
              <w:bottom w:val="single" w:sz="8" w:color="0000EE"/>
            </w:tcBorders>
            <w:gridSpan w:val="3"/>
          </w:tcPr>
          <w:p>
            <w:pPr>
              <w:spacing w:after="0"/>
              <w:rPr>
                <w:rFonts w:ascii="Arial" w:cs="Arial" w:eastAsia="Arial" w:hAnsi="Arial"/>
                <w:sz w:val="17"/>
                <w:szCs w:val="17"/>
                <w:color w:val="0000EE"/>
                <w:w w:val="99"/>
              </w:rPr>
            </w:pPr>
            <w:hyperlink w:anchor="page93">
              <w:r>
                <w:rPr>
                  <w:rFonts w:ascii="Arial" w:cs="Arial" w:eastAsia="Arial" w:hAnsi="Arial"/>
                  <w:sz w:val="17"/>
                  <w:szCs w:val="17"/>
                  <w:color w:val="0000EE"/>
                  <w:w w:val="99"/>
                </w:rPr>
                <w:t>BUSINESS</w:t>
              </w:r>
            </w:hyperlink>
          </w:p>
        </w:tc>
        <w:tc>
          <w:tcPr>
            <w:tcW w:w="10020" w:type="dxa"/>
            <w:vAlign w:val="bottom"/>
            <w:gridSpan w:val="19"/>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385"/>
        </w:trPr>
        <w:tc>
          <w:tcPr>
            <w:tcW w:w="1240" w:type="dxa"/>
            <w:vAlign w:val="bottom"/>
            <w:tcBorders>
              <w:bottom w:val="single" w:sz="8" w:color="0000EE"/>
            </w:tcBorders>
            <w:gridSpan w:val="4"/>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MANAGEMENT</w:t>
              </w:r>
            </w:hyperlink>
          </w:p>
        </w:tc>
        <w:tc>
          <w:tcPr>
            <w:tcW w:w="9660" w:type="dxa"/>
            <w:vAlign w:val="bottom"/>
            <w:gridSpan w:val="18"/>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EXECUTIVE AND DIRECTOR COMPENSATION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40" w:type="dxa"/>
            <w:vAlign w:val="bottom"/>
            <w:tcBorders>
              <w:bottom w:val="single" w:sz="8" w:color="0000EE"/>
            </w:tcBorders>
            <w:gridSpan w:val="17"/>
          </w:tcPr>
          <w:p>
            <w:pPr>
              <w:spacing w:after="0"/>
              <w:rPr>
                <w:rFonts w:ascii="Arial" w:cs="Arial" w:eastAsia="Arial" w:hAnsi="Arial"/>
                <w:sz w:val="17"/>
                <w:szCs w:val="17"/>
                <w:color w:val="0000EE"/>
                <w:w w:val="99"/>
              </w:rPr>
            </w:pPr>
            <w:hyperlink w:anchor="page125">
              <w:r>
                <w:rPr>
                  <w:rFonts w:ascii="Arial" w:cs="Arial" w:eastAsia="Arial" w:hAnsi="Arial"/>
                  <w:sz w:val="17"/>
                  <w:szCs w:val="17"/>
                  <w:color w:val="0000EE"/>
                  <w:w w:val="99"/>
                </w:rPr>
                <w:t>CERTAIN RELATIONSHIPS AND RELATED PERSON TRANSACTIONS</w:t>
              </w:r>
            </w:hyperlink>
          </w:p>
        </w:tc>
        <w:tc>
          <w:tcPr>
            <w:tcW w:w="5360" w:type="dxa"/>
            <w:vAlign w:val="bottom"/>
            <w:gridSpan w:val="5"/>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PRINCIPAL SHAREHOLDERS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DESCRIPTION OF CAPITAL STOCK</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60" w:type="dxa"/>
            <w:vAlign w:val="bottom"/>
            <w:tcBorders>
              <w:bottom w:val="single" w:sz="8" w:color="0000EE"/>
            </w:tcBorders>
            <w:gridSpan w:val="14"/>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SHARES ELIGIBLE FOR FUTURE SALE</w:t>
              </w:r>
            </w:hyperlink>
          </w:p>
        </w:tc>
        <w:tc>
          <w:tcPr>
            <w:tcW w:w="7740" w:type="dxa"/>
            <w:vAlign w:val="bottom"/>
            <w:gridSpan w:val="8"/>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385"/>
        </w:trPr>
        <w:tc>
          <w:tcPr>
            <w:tcW w:w="6640" w:type="dxa"/>
            <w:vAlign w:val="bottom"/>
            <w:tcBorders>
              <w:bottom w:val="single" w:sz="8" w:color="0000EE"/>
            </w:tcBorders>
            <w:gridSpan w:val="20"/>
          </w:tcPr>
          <w:p>
            <w:pPr>
              <w:spacing w:after="0"/>
              <w:rPr>
                <w:rFonts w:ascii="Arial" w:cs="Arial" w:eastAsia="Arial" w:hAnsi="Arial"/>
                <w:sz w:val="17"/>
                <w:szCs w:val="17"/>
                <w:color w:val="0000EE"/>
                <w:w w:val="99"/>
              </w:rPr>
            </w:pPr>
            <w:hyperlink w:anchor="page139">
              <w:r>
                <w:rPr>
                  <w:rFonts w:ascii="Arial" w:cs="Arial" w:eastAsia="Arial" w:hAnsi="Arial"/>
                  <w:sz w:val="17"/>
                  <w:szCs w:val="17"/>
                  <w:color w:val="0000EE"/>
                  <w:w w:val="99"/>
                </w:rPr>
                <w:t>MATERIAL U.S. FEDERAL INCOME TAX CONSEQUENCES TO NON-U.S. HOLDERS</w:t>
              </w:r>
            </w:hyperlink>
          </w:p>
        </w:tc>
        <w:tc>
          <w:tcPr>
            <w:tcW w:w="4260" w:type="dxa"/>
            <w:vAlign w:val="bottom"/>
            <w:gridSpan w:val="2"/>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385"/>
        </w:trPr>
        <w:tc>
          <w:tcPr>
            <w:tcW w:w="1360" w:type="dxa"/>
            <w:vAlign w:val="bottom"/>
            <w:tcBorders>
              <w:bottom w:val="single" w:sz="8" w:color="0000EE"/>
            </w:tcBorders>
            <w:gridSpan w:val="6"/>
          </w:tcPr>
          <w:p>
            <w:pPr>
              <w:spacing w:after="0"/>
              <w:rPr>
                <w:rFonts w:ascii="Arial" w:cs="Arial" w:eastAsia="Arial" w:hAnsi="Arial"/>
                <w:sz w:val="17"/>
                <w:szCs w:val="17"/>
                <w:color w:val="0000EE"/>
                <w:w w:val="99"/>
              </w:rPr>
            </w:pPr>
            <w:hyperlink w:anchor="page143">
              <w:r>
                <w:rPr>
                  <w:rFonts w:ascii="Arial" w:cs="Arial" w:eastAsia="Arial" w:hAnsi="Arial"/>
                  <w:sz w:val="17"/>
                  <w:szCs w:val="17"/>
                  <w:color w:val="0000EE"/>
                  <w:w w:val="99"/>
                </w:rPr>
                <w:t>UNDERWRITING</w:t>
              </w:r>
            </w:hyperlink>
          </w:p>
        </w:tc>
        <w:tc>
          <w:tcPr>
            <w:tcW w:w="9540" w:type="dxa"/>
            <w:vAlign w:val="bottom"/>
            <w:gridSpan w:val="16"/>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385"/>
        </w:trPr>
        <w:tc>
          <w:tcPr>
            <w:tcW w:w="142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150">
              <w:r>
                <w:rPr>
                  <w:rFonts w:ascii="Arial" w:cs="Arial" w:eastAsia="Arial" w:hAnsi="Arial"/>
                  <w:sz w:val="17"/>
                  <w:szCs w:val="17"/>
                  <w:color w:val="0000EE"/>
                  <w:w w:val="99"/>
                </w:rPr>
                <w:t>LEGAL MATTERS</w:t>
              </w:r>
            </w:hyperlink>
          </w:p>
        </w:tc>
        <w:tc>
          <w:tcPr>
            <w:tcW w:w="9480" w:type="dxa"/>
            <w:vAlign w:val="bottom"/>
            <w:gridSpan w:val="14"/>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EXPERTS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WHERE YOU CAN FIND MORE INFORMATION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3700" w:type="dxa"/>
            <w:vAlign w:val="bottom"/>
            <w:gridSpan w:val="15"/>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1">
              <w:r>
                <w:rPr>
                  <w:rFonts w:ascii="Arial" w:cs="Arial" w:eastAsia="Arial" w:hAnsi="Arial"/>
                  <w:sz w:val="17"/>
                  <w:szCs w:val="17"/>
                  <w:color w:val="0000EE"/>
                </w:rPr>
                <w:t>INDEX TO CONSOLIDATED FINANCIAL STATEMENTS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60" w:type="dxa"/>
            <w:vAlign w:val="bottom"/>
            <w:tcBorders>
              <w:top w:val="single" w:sz="8" w:color="0000EE"/>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10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440" w:type="dxa"/>
            <w:vAlign w:val="bottom"/>
            <w:tcBorders>
              <w:top w:val="single" w:sz="8" w:color="0000EE"/>
              <w:bottom w:val="single" w:sz="8" w:color="auto"/>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480" w:type="dxa"/>
            <w:vAlign w:val="bottom"/>
            <w:tcBorders>
              <w:top w:val="single" w:sz="8" w:color="0000EE"/>
              <w:bottom w:val="single" w:sz="8" w:color="auto"/>
            </w:tcBorders>
          </w:tcPr>
          <w:p>
            <w:pPr>
              <w:spacing w:after="0"/>
              <w:rPr>
                <w:sz w:val="19"/>
                <w:szCs w:val="19"/>
                <w:color w:val="auto"/>
              </w:rPr>
            </w:pPr>
          </w:p>
        </w:tc>
        <w:tc>
          <w:tcPr>
            <w:tcW w:w="320" w:type="dxa"/>
            <w:vAlign w:val="bottom"/>
            <w:tcBorders>
              <w:top w:val="single" w:sz="8" w:color="0000EE"/>
              <w:bottom w:val="single" w:sz="8" w:color="auto"/>
            </w:tcBorders>
          </w:tcPr>
          <w:p>
            <w:pPr>
              <w:spacing w:after="0"/>
              <w:rPr>
                <w:sz w:val="19"/>
                <w:szCs w:val="19"/>
                <w:color w:val="auto"/>
              </w:rPr>
            </w:pPr>
          </w:p>
        </w:tc>
        <w:tc>
          <w:tcPr>
            <w:tcW w:w="540" w:type="dxa"/>
            <w:vAlign w:val="bottom"/>
            <w:tcBorders>
              <w:top w:val="single" w:sz="8" w:color="0000EE"/>
              <w:bottom w:val="single" w:sz="8" w:color="auto"/>
            </w:tcBorders>
          </w:tcPr>
          <w:p>
            <w:pPr>
              <w:spacing w:after="0"/>
              <w:rPr>
                <w:sz w:val="19"/>
                <w:szCs w:val="19"/>
                <w:color w:val="auto"/>
              </w:rPr>
            </w:pPr>
          </w:p>
        </w:tc>
        <w:tc>
          <w:tcPr>
            <w:tcW w:w="600" w:type="dxa"/>
            <w:vAlign w:val="bottom"/>
            <w:tcBorders>
              <w:top w:val="single" w:sz="8" w:color="0000EE"/>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We own or have the rights to use various trademarks referred to in this prospectus, including, among others, Medpace and ClinTrak and their respective logos. Solely for convenience, we may refer to trademarks in this prospectus without the TM and </w:t>
      </w:r>
      <w:r>
        <w:rPr>
          <w:rFonts w:ascii="Arial" w:cs="Arial" w:eastAsia="Arial" w:hAnsi="Arial"/>
          <w:sz w:val="14"/>
          <w:szCs w:val="14"/>
          <w:color w:val="auto"/>
        </w:rPr>
        <w:t>®</w:t>
      </w:r>
      <w:r>
        <w:rPr>
          <w:rFonts w:ascii="Arial" w:cs="Arial" w:eastAsia="Arial" w:hAnsi="Arial"/>
          <w:sz w:val="17"/>
          <w:szCs w:val="17"/>
          <w:color w:val="auto"/>
        </w:rPr>
        <w:t xml:space="preserve"> symbols. Such references are not intended to indicate, in any way, that we will not assert, to the fullest extent permitted by law, our rights to our trademarks. Other trademarks appearing in this prospectus are the property of their respective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INFORMATION</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Market data used throughout this prospectus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prospectus and while we believe that each of the publications, studies and surveys used throughout this prospectus are prepared by reputable sources, neither we nor the underwriters have independently verified market and industry data from third-party sources.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All of the market data used in this prospectus involves a number of assumptions and limitations, and you are cautioned not to give undue weight to such estimates. While we believe the estimated market position, market opportunity and market size information included in this prospectus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These and other factors could cause results to differ materially from those expressed in our estimates and beliefs and in the estimates prepared by independent parties. See “Cautionary Note Regarding Forward 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define the terms below that appear throughout this prospectus as follows:</w:t>
      </w:r>
    </w:p>
    <w:p>
      <w:pPr>
        <w:spacing w:after="0" w:line="136"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Backlog</w:t>
      </w:r>
      <w:r>
        <w:rPr>
          <w:rFonts w:ascii="Arial" w:cs="Arial" w:eastAsia="Arial" w:hAnsi="Arial"/>
          <w:sz w:val="17"/>
          <w:szCs w:val="17"/>
          <w:b w:val="1"/>
          <w:bCs w:val="1"/>
          <w:color w:val="auto"/>
        </w:rPr>
        <w:t>.</w:t>
      </w:r>
      <w:r>
        <w:rPr>
          <w:rFonts w:ascii="Arial" w:cs="Arial" w:eastAsia="Arial" w:hAnsi="Arial"/>
          <w:sz w:val="17"/>
          <w:szCs w:val="17"/>
          <w:color w:val="auto"/>
        </w:rPr>
        <w:t>” Backlog represents anticipated future net service revenue from net new business awards that have not commenced or are currently in process but not complete.</w:t>
      </w:r>
    </w:p>
    <w:p>
      <w:pPr>
        <w:spacing w:after="0" w:line="10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Large pharmaceutical companies</w:t>
      </w:r>
      <w:r>
        <w:rPr>
          <w:rFonts w:ascii="Arial" w:cs="Arial" w:eastAsia="Arial" w:hAnsi="Arial"/>
          <w:sz w:val="17"/>
          <w:szCs w:val="17"/>
          <w:b w:val="1"/>
          <w:bCs w:val="1"/>
          <w:color w:val="auto"/>
        </w:rPr>
        <w:t>.</w:t>
      </w:r>
      <w:r>
        <w:rPr>
          <w:rFonts w:ascii="Arial" w:cs="Arial" w:eastAsia="Arial" w:hAnsi="Arial"/>
          <w:sz w:val="17"/>
          <w:szCs w:val="17"/>
          <w:color w:val="auto"/>
        </w:rPr>
        <w:t>” Large pharmaceutical companies represent the top 20 pharmaceutical companies by worldwide prescription drug sales in the year ended December 31, 2014 as classified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2015 Outlook to 2020, an industry report.</w:t>
      </w:r>
    </w:p>
    <w:p>
      <w:pPr>
        <w:spacing w:after="0" w:line="118"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Mid-sized pharmaceutical companies.</w:t>
      </w:r>
      <w:r>
        <w:rPr>
          <w:rFonts w:ascii="Arial" w:cs="Arial" w:eastAsia="Arial" w:hAnsi="Arial"/>
          <w:sz w:val="17"/>
          <w:szCs w:val="17"/>
          <w:color w:val="auto"/>
        </w:rPr>
        <w:t>” Mid-sized pharmaceutical companies represent pharmaceutical companies with at least $250 million in sales in the year ended December 31, 2014, based on publicly available data and management’s knowledge, that are not classified as a top 20 pharmaceutical company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2015 Outlook to 2020, an industry report.</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new business awards.</w:t>
      </w:r>
      <w:r>
        <w:rPr>
          <w:rFonts w:ascii="Arial" w:cs="Arial" w:eastAsia="Arial" w:hAnsi="Arial"/>
          <w:sz w:val="17"/>
          <w:szCs w:val="17"/>
          <w:color w:val="auto"/>
        </w:rPr>
        <w:t>” 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w:t>
      </w:r>
    </w:p>
    <w:p>
      <w:pPr>
        <w:spacing w:after="0" w:line="12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w:t>
      </w:r>
      <w:r>
        <w:rPr>
          <w:rFonts w:ascii="Arial" w:cs="Arial" w:eastAsia="Arial" w:hAnsi="Arial"/>
          <w:sz w:val="17"/>
          <w:szCs w:val="17"/>
          <w:color w:val="auto"/>
        </w:rPr>
        <w:t>” Phase I trials are typically conducted in healthy individuals or, on occasion, in patients, and typically involve 20 to 80 subjects and range from a 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w:t>
      </w:r>
      <w:r>
        <w:rPr>
          <w:rFonts w:ascii="Arial" w:cs="Arial" w:eastAsia="Arial" w:hAnsi="Arial"/>
          <w:sz w:val="17"/>
          <w:szCs w:val="17"/>
          <w:color w:val="auto"/>
        </w:rPr>
        <w:t>” Phase II trials are conducted in a limited population of patients with the disease or condition that the clinical product candidate is intended to 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29"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III.</w:t>
      </w:r>
      <w:r>
        <w:rPr>
          <w:rFonts w:ascii="Arial" w:cs="Arial" w:eastAsia="Arial" w:hAnsi="Arial"/>
          <w:sz w:val="17"/>
          <w:szCs w:val="17"/>
          <w:color w:val="auto"/>
        </w:rPr>
        <w:t>” Phase III trials evaluate the clinical product candidate in significantly larger and more diverse patient populations than Phase I and II trials and are conducted at multiple, geographically dispersed sites. On average, this phase lasts from one to three years. Depending on the size and complexity, Phase III 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 States Food and Drug Administration, or FDA, or a similar marketing authorization application for approval by non-U.S. regulatory agencies.</w:t>
      </w:r>
    </w:p>
    <w:p>
      <w:pPr>
        <w:spacing w:after="0" w:line="12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IV.</w:t>
      </w:r>
      <w:r>
        <w:rPr>
          <w:rFonts w:ascii="Arial" w:cs="Arial" w:eastAsia="Arial" w:hAnsi="Arial"/>
          <w:sz w:val="17"/>
          <w:szCs w:val="17"/>
          <w:color w:val="auto"/>
        </w:rPr>
        <w:t>” Phase IV or “post-approval” trials are intended to monitor the drug’s long-term risks and benefits, to analyze different dosage levels, to evaluate 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2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Small- and mid-sized biotechnology companies.</w:t>
      </w:r>
      <w:r>
        <w:rPr>
          <w:rFonts w:ascii="Arial" w:cs="Arial" w:eastAsia="Arial" w:hAnsi="Arial"/>
          <w:sz w:val="17"/>
          <w:szCs w:val="17"/>
          <w:color w:val="auto"/>
        </w:rPr>
        <w:t>” Small- and mid-sized biotechnology companies represent biotechnology companies that have less than $250 million in sales in the year ended December 31, 2014, based on publicly available data and management’s knowledge.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3"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Certain financial measures presented in this prospectus, such as EBITDA, Adjusted EBITDA, Adjusted Net Income and Free Cash Flow, are not recognized under generally accepted accounting principles in the United States of America, or U.S. GAAP. Management uses EBITDA, Adjusted EBITDA, Adjusted Net Income and Free Cash Flow or comparable metrics:</w:t>
      </w:r>
    </w:p>
    <w:p>
      <w:pPr>
        <w:spacing w:after="0" w:line="106" w:lineRule="exact"/>
        <w:rPr>
          <w:sz w:val="20"/>
          <w:szCs w:val="20"/>
          <w:color w:val="auto"/>
        </w:rPr>
      </w:pPr>
    </w:p>
    <w:p>
      <w:pPr>
        <w:ind w:left="800" w:hanging="454"/>
        <w:spacing w:after="0"/>
        <w:tabs>
          <w:tab w:leader="none" w:pos="800" w:val="left"/>
        </w:tabs>
        <w:numPr>
          <w:ilvl w:val="0"/>
          <w:numId w:val="2"/>
        </w:numPr>
        <w:rPr>
          <w:rFonts w:ascii="Arial" w:cs="Arial" w:eastAsia="Arial" w:hAnsi="Arial"/>
          <w:sz w:val="25"/>
          <w:szCs w:val="25"/>
          <w:color w:val="auto"/>
          <w:vertAlign w:val="superscript"/>
        </w:rPr>
      </w:pPr>
      <w:r>
        <w:rPr>
          <w:rFonts w:ascii="Arial" w:cs="Arial" w:eastAsia="Arial" w:hAnsi="Arial"/>
          <w:sz w:val="17"/>
          <w:szCs w:val="17"/>
          <w:color w:val="auto"/>
        </w:rPr>
        <w:t>as a measurement used in evaluating our operating performance on a consistent basis;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as a consideration to assess incentive compensation for our employees;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for planning purposes, including the preparation of our internal annual operating budget;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to evaluate the performance and effectiveness of our operational strategies.</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that EBITDA and Adjusted EBITDA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accordance with U.S. GAAP. EBITDA is calculated as net income (loss) attributable to Medpace Holdings, Inc. before income tax expense, interest expense, net, depreciation and amortization with Adjusted EBITDA being further adjusted for unusual and other items. Our presentation of Adjusted EBITDA should not be construed as an inference that our future results will be unaffected by unusual or non-recurring items.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EBITDA, Adjusted EBITDA, Adjusted Net Income and Free Cash Flow have important limitations as analytical tools and you should not consider them in isolation, or as a substitute for, analysis of our results as reported under U.S. GAAP. See the consolidated financial statements included elsewhere in this prospectus for our U.S. GAAP results. Additionally, for reconciliations of EBITDA, Adjusted EBITDA, Adjusted Net Income and Free Cash Flow to our closest reported U.S. GAAP measures and a further discussion of these metrics, see “Prospectus Summary—Summary Historical Consolidated Financial and Other Data” and “Selected Historical Consolidated Financial and Other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common stock. You should read this entire prospectus carefully, including the risks of investing in our common stock discussed under “Risk Factors,” “Management’s Discussion and Analysis of Financial Condition and Results of Operations” and our consolidated financial statements and the related notes thereto included elsewhere in this prospectus, before making an investment decision.</w:t>
      </w:r>
    </w:p>
    <w:p>
      <w:pPr>
        <w:spacing w:after="0" w:line="127" w:lineRule="exact"/>
        <w:rPr>
          <w:sz w:val="20"/>
          <w:szCs w:val="20"/>
          <w:color w:val="auto"/>
        </w:rPr>
      </w:pPr>
    </w:p>
    <w:p>
      <w:pPr>
        <w:ind w:left="200" w:right="200"/>
        <w:spacing w:after="0" w:line="265" w:lineRule="auto"/>
        <w:rPr>
          <w:sz w:val="20"/>
          <w:szCs w:val="20"/>
          <w:color w:val="auto"/>
        </w:rPr>
      </w:pPr>
      <w:r>
        <w:rPr>
          <w:rFonts w:ascii="Arial" w:cs="Arial" w:eastAsia="Arial" w:hAnsi="Arial"/>
          <w:sz w:val="17"/>
          <w:szCs w:val="17"/>
          <w:i w:val="1"/>
          <w:iCs w:val="1"/>
          <w:color w:val="auto"/>
        </w:rPr>
        <w:t>As used in this prospectus, unless the context otherwise requires, references to “Medpace,” “the Company,” “our company,” “we,” “us,” and “our” refer to Medpace Holdings, Inc., its consolidated subsidiaries and its predecessor entities.</w:t>
      </w:r>
    </w:p>
    <w:p>
      <w:pPr>
        <w:spacing w:after="0" w:line="109"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i w:val="1"/>
          <w:iCs w:val="1"/>
          <w:color w:val="auto"/>
        </w:rPr>
        <w:t>Throughout this prospectus, we present financial information for two periods, Predecessor and Successor, which relate to the period preceding the consummation of the Transaction (as defined below) on April 1, 2014 and the period succeeding the consummation of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2,200 employees across 35 countries, providing our customers with broad access to diverse markets and patient populations as well as local regulatory expertise and market knowledge.</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08127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90"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and mid-sized biotechnology companies, mid-sized pharmaceutical companies and large pharmaceutical companies, respectively.</w:t>
      </w:r>
    </w:p>
    <w:p>
      <w:pPr>
        <w:spacing w:after="0" w:line="93"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 Adjusted EBITDA margins and strong Free Cash Flow. For the Successor year ended December 31, 2015, we generated total net service revenue of $320.1 million and Adjusted EBITDA of $101.2 million, representing net service revenue and Adjusted EBITDA compound annual growth rates, or CAGRs,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“—Summary Historical Consolidated Financial and Other Data.” Additionally, as of March 31, 2016 and December 31, 2015, we had total long-term debt, net, of $378.5 million and $377.9 million outstanding, respectively. We intend to use the net proceeds of this offering to repay a portion of this indebtedness. See “Use of Proceeds.”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Size</w:t>
      </w:r>
    </w:p>
    <w:p>
      <w:pPr>
        <w:spacing w:after="0" w:line="81"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92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5923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77"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i w:val="1"/>
          <w:iCs w:val="1"/>
          <w:color w:val="auto"/>
        </w:rPr>
        <w:t>Increasing Development Expenditures</w:t>
      </w:r>
      <w:r>
        <w:rPr>
          <w:rFonts w:ascii="Arial" w:cs="Arial" w:eastAsia="Arial" w:hAnsi="Arial"/>
          <w:sz w:val="17"/>
          <w:szCs w:val="17"/>
          <w:color w:val="auto"/>
        </w:rPr>
        <w:t>. We estimate that biopharmaceutical development expenditures will grow from approximately $100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39"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i w:val="1"/>
          <w:iCs w:val="1"/>
          <w:color w:val="auto"/>
        </w:rPr>
        <w:t>Increasing Outsourcing Penetration</w:t>
      </w:r>
      <w:r>
        <w:rPr>
          <w:rFonts w:ascii="Arial" w:cs="Arial" w:eastAsia="Arial" w:hAnsi="Arial"/>
          <w:sz w:val="17"/>
          <w:szCs w:val="17"/>
          <w:color w:val="auto"/>
        </w:rPr>
        <w:t>. Outsourcing penetration is the percentage of biopharmaceutical clinical development costs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outsourced to 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7"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i w:val="1"/>
          <w:iCs w:val="1"/>
          <w:color w:val="auto"/>
        </w:rPr>
        <w:t>Pressures Facing Biopharmaceutical Industry</w:t>
      </w:r>
      <w:r>
        <w:rPr>
          <w:rFonts w:ascii="Arial" w:cs="Arial" w:eastAsia="Arial" w:hAnsi="Arial"/>
          <w:sz w:val="17"/>
          <w:szCs w:val="17"/>
          <w:color w:val="auto"/>
        </w:rPr>
        <w:t>. The biopharmaceutical industry continues to experience significant challenges, including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7" w:lineRule="exact"/>
        <w:rPr>
          <w:sz w:val="20"/>
          <w:szCs w:val="20"/>
          <w:color w:val="auto"/>
        </w:rPr>
      </w:pPr>
    </w:p>
    <w:p>
      <w:pPr>
        <w:ind w:left="200" w:right="80"/>
        <w:spacing w:after="0" w:line="248" w:lineRule="auto"/>
        <w:rPr>
          <w:sz w:val="20"/>
          <w:szCs w:val="20"/>
          <w:color w:val="auto"/>
        </w:rPr>
      </w:pPr>
      <w:r>
        <w:rPr>
          <w:rFonts w:ascii="Arial" w:cs="Arial" w:eastAsia="Arial" w:hAnsi="Arial"/>
          <w:sz w:val="17"/>
          <w:szCs w:val="17"/>
          <w:i w:val="1"/>
          <w:iCs w:val="1"/>
          <w:color w:val="auto"/>
        </w:rPr>
        <w:t>Increasing Clinical Trial Complexity</w:t>
      </w:r>
      <w:r>
        <w:rPr>
          <w:rFonts w:ascii="Arial" w:cs="Arial" w:eastAsia="Arial" w:hAnsi="Arial"/>
          <w:sz w:val="17"/>
          <w:szCs w:val="17"/>
          <w:color w:val="auto"/>
        </w:rPr>
        <w:t>. Clinical trial design and structure has become increasingly complex based on regulatory agency</w:t>
      </w:r>
      <w:r>
        <w:rPr>
          <w:rFonts w:ascii="Arial" w:cs="Arial" w:eastAsia="Arial" w:hAnsi="Arial"/>
          <w:sz w:val="17"/>
          <w:szCs w:val="17"/>
          <w:i w:val="1"/>
          <w:iCs w:val="1"/>
          <w:color w:val="auto"/>
        </w:rPr>
        <w:t xml:space="preserve"> </w:t>
      </w:r>
      <w:r>
        <w:rPr>
          <w:rFonts w:ascii="Arial" w:cs="Arial" w:eastAsia="Arial" w:hAnsi="Arial"/>
          <w:sz w:val="17"/>
          <w:szCs w:val="17"/>
          <w:color w:val="auto"/>
        </w:rPr>
        <w:t>sophistication, more complicated protocols and a growing focus by biopharmaceutical companies on developing new cutting-edge drug therapies. This growing complexity brings new challenges in study feasibility, site selection, patient recruitment and retention.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36" w:lineRule="exact"/>
        <w:rPr>
          <w:sz w:val="20"/>
          <w:szCs w:val="20"/>
          <w:color w:val="auto"/>
        </w:rPr>
      </w:pPr>
    </w:p>
    <w:p>
      <w:pPr>
        <w:ind w:left="200" w:right="40"/>
        <w:spacing w:after="0" w:line="237" w:lineRule="auto"/>
        <w:rPr>
          <w:sz w:val="20"/>
          <w:szCs w:val="20"/>
          <w:color w:val="auto"/>
        </w:rPr>
      </w:pPr>
      <w:r>
        <w:rPr>
          <w:rFonts w:ascii="Arial" w:cs="Arial" w:eastAsia="Arial" w:hAnsi="Arial"/>
          <w:sz w:val="17"/>
          <w:szCs w:val="17"/>
          <w:b w:val="1"/>
          <w:bCs w:val="1"/>
          <w:i w:val="1"/>
          <w:iCs w:val="1"/>
          <w:color w:val="auto"/>
        </w:rPr>
        <w:t>Disciplined and Integrated Full-Service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our founding in 1992, we have focused on building and executing our disciplined, full-service 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have developed and consistently utilize effective standard operating procedures, or SOPs, that we believe result in high-quality and timely clinical development outcomes for our customers. Additionally, our operating model utilizes our proprietary ClinTrak clinical trial management software, or ClinTrak, which is customized and streamlined to our SOPs. We believe that a full-service approach delivers greater efficiency, better quality and, ultimately, higher value for our customers.</w:t>
      </w:r>
    </w:p>
    <w:p>
      <w:pPr>
        <w:spacing w:after="0" w:line="126" w:lineRule="exact"/>
        <w:rPr>
          <w:sz w:val="20"/>
          <w:szCs w:val="20"/>
          <w:color w:val="auto"/>
        </w:rPr>
      </w:pPr>
    </w:p>
    <w:p>
      <w:pPr>
        <w:ind w:left="200" w:right="140"/>
        <w:spacing w:after="0" w:line="237" w:lineRule="auto"/>
        <w:rPr>
          <w:sz w:val="20"/>
          <w:szCs w:val="20"/>
          <w:color w:val="auto"/>
        </w:rPr>
      </w:pPr>
      <w:r>
        <w:rPr>
          <w:rFonts w:ascii="Arial" w:cs="Arial" w:eastAsia="Arial" w:hAnsi="Arial"/>
          <w:sz w:val="17"/>
          <w:szCs w:val="17"/>
          <w:b w:val="1"/>
          <w:bCs w:val="1"/>
          <w:i w:val="1"/>
          <w:iCs w:val="1"/>
          <w:color w:val="auto"/>
        </w:rPr>
        <w:t>High-Science Approach with Deep Therapeutic Expertise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expertise encompasses areas that are among the largest,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 and fastest growing in pharmaceutical development, including Oncology, Cardiology, Metabolic Disease, 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82.7% of our backlog as of March 31, 2016. We leverage the insights of our senior leaders who have specific therapeutic expertise to employ a high-science approach to our projects.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30"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b w:val="1"/>
          <w:bCs w:val="1"/>
          <w:i w:val="1"/>
          <w:iCs w:val="1"/>
          <w:color w:val="auto"/>
        </w:rPr>
        <w:t>Attractive and 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strong track record of serving our core customer base of small- and mid-sized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w:t>
      </w:r>
    </w:p>
    <w:p>
      <w:pPr>
        <w:spacing w:after="0" w:line="149"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and mid-sized biotechnology companies, mid-sized pharmaceutical companies and large pharmaceutical companies, respectively. For the Successor three months ended March 31, 2016 and the Successor year ended December 31, 2015, our largest customer accounted for 8.1% and 6.9% of our net service revenue, respectively, and our top 10 customers represented 39.5% and 39.9% of our net service revenue, respectively.</w:t>
      </w:r>
    </w:p>
    <w:p>
      <w:pPr>
        <w:spacing w:after="0" w:line="128"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b w:val="1"/>
          <w:bCs w:val="1"/>
          <w:i w:val="1"/>
          <w:iCs w:val="1"/>
          <w:color w:val="auto"/>
        </w:rPr>
        <w:t>Partner of Choice for Biopharmaceutical Customers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our extensive operating history and therapeutic experience, we believe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These biopharmaceutical customers, sometimes new to the clinical development process, seek to partner with us based on our differentiated approach and expertise to execute trials in a timely and efficient manner. We believe we are viewed as a strategic and trusted partner by these customers given our full-service approach, disciplined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operating model and significant therapeutic expertise. As a result, our customers often grant us significant autonomy in executing clinical trials for their most valued assets.</w:t>
      </w:r>
    </w:p>
    <w:p>
      <w:pPr>
        <w:spacing w:after="0" w:line="124" w:lineRule="exact"/>
        <w:rPr>
          <w:sz w:val="20"/>
          <w:szCs w:val="20"/>
          <w:color w:val="auto"/>
        </w:rPr>
      </w:pPr>
    </w:p>
    <w:p>
      <w:pPr>
        <w:ind w:left="200" w:right="120"/>
        <w:spacing w:after="0" w:line="241" w:lineRule="auto"/>
        <w:rPr>
          <w:sz w:val="20"/>
          <w:szCs w:val="20"/>
          <w:color w:val="auto"/>
        </w:rPr>
      </w:pPr>
      <w:r>
        <w:rPr>
          <w:rFonts w:ascii="Arial" w:cs="Arial" w:eastAsia="Arial" w:hAnsi="Arial"/>
          <w:sz w:val="17"/>
          <w:szCs w:val="17"/>
          <w:b w:val="1"/>
          <w:bCs w:val="1"/>
          <w:i w:val="1"/>
          <w:iCs w:val="1"/>
          <w:color w:val="auto"/>
        </w:rPr>
        <w:t>Global Platform with Scalable Infrastructure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are one of the leading CROs with the scale and therapeutic expertise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effectively conduct global clinical trials. We began our disciplined international expansion in 2004 and have since increased the breadth and depth of our international footprint significantly, with approximately 46% of our clinical operations employees located outside of North America as of March 31, 2016. We now offer our services through a highly skilled staff of approximately 2,200 employees across 35 countries as of March 31, 2016.</w:t>
      </w:r>
    </w:p>
    <w:p>
      <w:pPr>
        <w:spacing w:after="0" w:line="12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b w:val="1"/>
          <w:bCs w:val="1"/>
          <w:i w:val="1"/>
          <w:iCs w:val="1"/>
          <w:color w:val="auto"/>
        </w:rPr>
        <w:t>Strong Financial Performance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proven track record of strong organic growth and achieved significant revenue and Adjusted EBITDA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robust Free Cash Flow over the past several years. For the Successor year ended December 31, 2015, we achieved net service revenue of $320.1 million and Adjusted EBITDA of $101.2 million, which represent a CAGR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For the Successor year ended December 31, 2015, our Adjusted EBITDA margin was 31.6%.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“—Summary Historical Consolidated Financial and Other Data.” Additionally, as of March 31, 2016 and December 31, 2015, we had total long-term debt, net, of $378.5 million and $377.9 million outstanding, respectively. We intend to use the net proceeds of this offering to repay a portion of this indebtedness. See “Use of Proceeds.”</w:t>
      </w:r>
    </w:p>
    <w:p>
      <w:pPr>
        <w:spacing w:after="0" w:line="127"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b w:val="1"/>
          <w:bCs w:val="1"/>
          <w:i w:val="1"/>
          <w:iCs w:val="1"/>
          <w:color w:val="auto"/>
        </w:rPr>
        <w:t xml:space="preserve">Highly Regarded, Experienced and Committed Management Team. </w:t>
      </w:r>
      <w:r>
        <w:rPr>
          <w:rFonts w:ascii="Arial" w:cs="Arial" w:eastAsia="Arial" w:hAnsi="Arial"/>
          <w:sz w:val="17"/>
          <w:szCs w:val="17"/>
          <w:color w:val="auto"/>
        </w:rPr>
        <w:t>We are led by a dedicated and experienced senior management team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Key elements of our growth strategy include:</w:t>
      </w:r>
    </w:p>
    <w:p>
      <w:pPr>
        <w:spacing w:after="0" w:line="82"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b w:val="1"/>
          <w:bCs w:val="1"/>
          <w:i w:val="1"/>
          <w:iCs w:val="1"/>
          <w:color w:val="auto"/>
        </w:rPr>
        <w:t>Continued Focus on Organic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strong organic growth has been the result of consistently reinvesting our positive cash flow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83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48837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right="180"/>
        <w:spacing w:after="0" w:line="241" w:lineRule="auto"/>
        <w:rPr>
          <w:sz w:val="20"/>
          <w:szCs w:val="20"/>
          <w:color w:val="auto"/>
        </w:rPr>
      </w:pPr>
      <w:r>
        <w:rPr>
          <w:rFonts w:ascii="Arial" w:cs="Arial" w:eastAsia="Arial" w:hAnsi="Arial"/>
          <w:sz w:val="17"/>
          <w:szCs w:val="17"/>
          <w:b w:val="1"/>
          <w:bCs w:val="1"/>
          <w:i w:val="1"/>
          <w:iCs w:val="1"/>
          <w:color w:val="auto"/>
        </w:rPr>
        <w:t>Continue to Sustain Industry-Leading Margins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last 15 years, we have maintained average Adjusted EBITDA margins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34%. 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b w:val="1"/>
          <w:bCs w:val="1"/>
          <w:i w:val="1"/>
          <w:iCs w:val="1"/>
          <w:color w:val="auto"/>
        </w:rPr>
        <w:t>Leverage Our Experience and Reputation in the Attractive, High-Growth Clinical Development Market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value the knowledge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therapeutic expertise we have developed from a long history of successfully executing clinical trials.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130"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b w:val="1"/>
          <w:bCs w:val="1"/>
          <w:i w:val="1"/>
          <w:iCs w:val="1"/>
          <w:color w:val="auto"/>
        </w:rPr>
        <w:t>Deepen Existing and Develop New Relationships with Our Core Customer Segment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look to continue to deepen our long-standing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 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w:t>
      </w:r>
    </w:p>
    <w:p>
      <w:pPr>
        <w:spacing w:after="0" w:line="126" w:lineRule="exact"/>
        <w:rPr>
          <w:sz w:val="20"/>
          <w:szCs w:val="20"/>
          <w:color w:val="auto"/>
        </w:rPr>
      </w:pPr>
    </w:p>
    <w:p>
      <w:pPr>
        <w:ind w:left="200" w:right="20"/>
        <w:spacing w:after="0" w:line="241" w:lineRule="auto"/>
        <w:rPr>
          <w:sz w:val="20"/>
          <w:szCs w:val="20"/>
          <w:color w:val="auto"/>
        </w:rPr>
      </w:pPr>
      <w:r>
        <w:rPr>
          <w:rFonts w:ascii="Arial" w:cs="Arial" w:eastAsia="Arial" w:hAnsi="Arial"/>
          <w:sz w:val="17"/>
          <w:szCs w:val="17"/>
          <w:b w:val="1"/>
          <w:bCs w:val="1"/>
          <w:i w:val="1"/>
          <w:iCs w:val="1"/>
          <w:color w:val="auto"/>
        </w:rPr>
        <w:t>Pursue Selective and Complementary Bolt-On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augment our organic growth with targeted acquisitions to expand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current 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b w:val="1"/>
          <w:bCs w:val="1"/>
          <w:i w:val="1"/>
          <w:iCs w:val="1"/>
          <w:color w:val="auto"/>
        </w:rPr>
        <w:t>Position Ourselves to Increase Our Presence Among Large Pharmaceutical Companies as These Customers Adopt and Appreciate the Full-Service Approach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the growing pressures large pharmaceutical companies are facing, these companies seek solutions beyond simply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3"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As a company with less than $1.0 billion in revenues during our last fiscal year, we qualify as an “emerging growth company” as defined in the Jumpstart Our Business Startups Act of 2012,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07" w:lineRule="exact"/>
        <w:rPr>
          <w:sz w:val="20"/>
          <w:szCs w:val="20"/>
          <w:color w:val="auto"/>
        </w:rPr>
      </w:pPr>
    </w:p>
    <w:p>
      <w:pPr>
        <w:ind w:left="960" w:hanging="439"/>
        <w:spacing w:after="0"/>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exemption from the auditor attestation requirement on the effectiveness of our system of internal control over financial reporting;</w:t>
      </w:r>
    </w:p>
    <w:p>
      <w:pPr>
        <w:spacing w:after="0" w:line="24" w:lineRule="exact"/>
        <w:rPr>
          <w:rFonts w:ascii="Arial" w:cs="Arial" w:eastAsia="Arial" w:hAnsi="Arial"/>
          <w:sz w:val="25"/>
          <w:szCs w:val="25"/>
          <w:color w:val="auto"/>
          <w:vertAlign w:val="superscript"/>
        </w:rPr>
      </w:pPr>
    </w:p>
    <w:p>
      <w:pPr>
        <w:ind w:left="960" w:hanging="439"/>
        <w:spacing w:after="0" w:line="185" w:lineRule="auto"/>
        <w:tabs>
          <w:tab w:leader="none" w:pos="96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25" w:lineRule="exact"/>
        <w:rPr>
          <w:rFonts w:ascii="Arial" w:cs="Arial" w:eastAsia="Arial" w:hAnsi="Arial"/>
          <w:sz w:val="23"/>
          <w:szCs w:val="23"/>
          <w:color w:val="auto"/>
          <w:vertAlign w:val="superscript"/>
        </w:rPr>
      </w:pPr>
    </w:p>
    <w:p>
      <w:pPr>
        <w:ind w:left="960" w:right="680" w:hanging="439"/>
        <w:spacing w:after="0" w:line="206"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5" w:lineRule="exact"/>
        <w:rPr>
          <w:rFonts w:ascii="Arial" w:cs="Arial" w:eastAsia="Arial" w:hAnsi="Arial"/>
          <w:sz w:val="25"/>
          <w:szCs w:val="25"/>
          <w:color w:val="auto"/>
          <w:vertAlign w:val="superscript"/>
        </w:rPr>
      </w:pPr>
    </w:p>
    <w:p>
      <w:pPr>
        <w:ind w:left="960" w:right="1140" w:hanging="439"/>
        <w:spacing w:after="0" w:line="195"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an exemption from the requirement to seek non-binding advisory votes on executive compensation and golden parachute arrangements; and</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reduced disclosure about executive compensation arrangements.</w:t>
      </w:r>
    </w:p>
    <w:p>
      <w:pPr>
        <w:spacing w:after="0" w:line="147"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of 1933, as amended, or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remain an emerging growth company for five years unless, prior to that time, we (i) have more than $1.0 billion in annual revenues,</w:t>
      </w:r>
    </w:p>
    <w:p>
      <w:pPr>
        <w:ind w:left="200" w:right="20" w:hanging="3"/>
        <w:spacing w:after="0" w:line="236" w:lineRule="auto"/>
        <w:tabs>
          <w:tab w:leader="none" w:pos="437"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a market value for our common stock held by non-affiliates of more than $700 million as of the last day of our second fiscal quarter of the fiscal year when a determination is made whether we are deemed to be a “large accelerated filer,” as defined in Rule 12b-2 promulgated under the Securities Exchange Act of 1934, as amended, or the Exchange Act, or (iii) issue more than $1.0 billion of non-convertible debt over a three-year period.</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have elected to take advantage of some of the reduced disclosure obligations listed above in this prospectus, and may elect to take advantage of other reduced reporting requirements in future filings. As a result, the information that we provide to our shareholders may be different than you might receive from other public reporting companies in which you hold equity interests. In addition, it is possible that some investors will find our common stock less attractive as a result of our elections, which may cause a less active trading market for our common stock and more volatility in our stock price.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Investing in our common stock involves a number of risks, including the following:</w:t>
      </w:r>
    </w:p>
    <w:p>
      <w:pPr>
        <w:spacing w:after="0" w:line="196" w:lineRule="exact"/>
        <w:rPr>
          <w:sz w:val="20"/>
          <w:szCs w:val="20"/>
          <w:color w:val="auto"/>
        </w:rPr>
      </w:pPr>
    </w:p>
    <w:p>
      <w:pPr>
        <w:ind w:left="960" w:right="30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The potential loss, delay or non-renewal of our contracts, or the non-payment by our customers for services that we have performed, could adversely affect our results.</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backlog may not convert to net service revenue at our historical conversion rates.</w:t>
      </w:r>
    </w:p>
    <w:p>
      <w:pPr>
        <w:spacing w:after="0" w:line="25" w:lineRule="exact"/>
        <w:rPr>
          <w:rFonts w:ascii="Arial" w:cs="Arial" w:eastAsia="Arial" w:hAnsi="Arial"/>
          <w:sz w:val="25"/>
          <w:szCs w:val="25"/>
          <w:color w:val="auto"/>
          <w:vertAlign w:val="superscript"/>
        </w:rPr>
      </w:pPr>
    </w:p>
    <w:p>
      <w:pPr>
        <w:ind w:left="960" w:right="30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operating results have historically fluctuated between fiscal quarters and years and may continue to fluctuate in the future, which may adversely affect the market price of our stock after this offering.</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operating margins could decrease due to increased pricing pressure or other pressures.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28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26" w:lineRule="exact"/>
        <w:rPr>
          <w:rFonts w:ascii="Arial" w:cs="Arial" w:eastAsia="Arial" w:hAnsi="Arial"/>
          <w:sz w:val="25"/>
          <w:szCs w:val="25"/>
          <w:color w:val="auto"/>
          <w:vertAlign w:val="superscript"/>
        </w:rPr>
      </w:pPr>
    </w:p>
    <w:p>
      <w:pPr>
        <w:ind w:left="960" w:right="18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Outsourcing trends in the biopharmaceutical industry and changes in aggregate expenditures and R&amp;D budgets could adversely affect our operating results and growth rate.</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We face intense competition in many areas of our business and, if we do not compete effectively, our business may be harmed.</w:t>
      </w:r>
    </w:p>
    <w:p>
      <w:pPr>
        <w:spacing w:after="0" w:line="25" w:lineRule="exact"/>
        <w:rPr>
          <w:rFonts w:ascii="Arial" w:cs="Arial" w:eastAsia="Arial" w:hAnsi="Arial"/>
          <w:sz w:val="25"/>
          <w:szCs w:val="25"/>
          <w:color w:val="auto"/>
          <w:vertAlign w:val="superscript"/>
        </w:rPr>
      </w:pPr>
    </w:p>
    <w:p>
      <w:pPr>
        <w:ind w:left="960" w:right="36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Our indebtedness could adversely affect our financial condition and prevent us from fulfilling our debt obligations and may otherwise restrict our activities.</w:t>
      </w:r>
    </w:p>
    <w:p>
      <w:pPr>
        <w:spacing w:after="0" w:line="26" w:lineRule="exact"/>
        <w:rPr>
          <w:rFonts w:ascii="Arial" w:cs="Arial" w:eastAsia="Arial" w:hAnsi="Arial"/>
          <w:sz w:val="25"/>
          <w:szCs w:val="25"/>
          <w:color w:val="auto"/>
          <w:vertAlign w:val="superscript"/>
        </w:rPr>
      </w:pPr>
    </w:p>
    <w:p>
      <w:pPr>
        <w:ind w:left="960" w:hanging="439"/>
        <w:spacing w:after="0" w:line="212"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Cinven (defined below) and Dr. August J. Troendle, our Chief Executive Officer and founder, will collectively own a substantial majority of our outstanding common stock after this offering, and they will have control over decisions that require the approval of shareholders, which could limit your ability to influence the outcome of matters submitted to shareholders for a vote. In addition, their interests may be different from or conflict with yours.</w:t>
      </w:r>
    </w:p>
    <w:p>
      <w:pPr>
        <w:spacing w:after="0" w:line="24" w:lineRule="exact"/>
        <w:rPr>
          <w:rFonts w:ascii="Arial" w:cs="Arial" w:eastAsia="Arial" w:hAnsi="Arial"/>
          <w:sz w:val="25"/>
          <w:szCs w:val="25"/>
          <w:color w:val="auto"/>
          <w:vertAlign w:val="superscript"/>
        </w:rPr>
      </w:pPr>
    </w:p>
    <w:p>
      <w:pPr>
        <w:ind w:left="960" w:right="40" w:hanging="439"/>
        <w:spacing w:after="0" w:line="206"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Upon the listing of our shares on the NASDAQ Global Select Market, or NASDAQ, we will be a “controlled company” within the meaning of the NASDAQ rules and, as a result, will qualify for, and intend to rely on, exemptions from certain corporate governance requirements. You will not have the same protections afforded to shareholders of companies that are subject to such requirements.</w:t>
      </w:r>
    </w:p>
    <w:p>
      <w:pPr>
        <w:spacing w:after="0" w:line="147"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These and other risks are more fully described in the section entitled “Risk Factors” below, which you should carefully read and consider before making a decision to invest in our common stock. If any of these risks actually occur, our business, financial condition, results of operations, cash flows or reputation would likely be materially adversely affected. In such case, the trading price of our common stock would likely decline, and you could lose all or part of your investment.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w:t>
      </w:r>
    </w:p>
    <w:p>
      <w:pPr>
        <w:spacing w:after="0" w:line="80"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“—Our Structure.”</w:t>
      </w:r>
    </w:p>
    <w:p>
      <w:pPr>
        <w:spacing w:after="0" w:line="148"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Private Equity Sponsor</w:t>
      </w:r>
    </w:p>
    <w:p>
      <w:pPr>
        <w:spacing w:after="0" w:line="93"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Cinven group is a leading private equity firm, founded in 1977, with offices in Guernsey, London, Frankfurt, Paris, Madrid, Milan, Luxembourg, Hong Kong and New York. The group focuses on investments across six core sectors: Healthcare, Financial Services, Business Services, Consumer, Industrials and Technology and Media and Telecommunications. Its funds acquire high-quality companies and work with them to help them grow and develop. The Cinven group is a responsible investor, seeking to build long-term value through sustainable growth in the portfolio companies of its funds with consideration for their employees, suppliers, local communities, the environment and society. Since 1977, the Cinven group has completed transactions valued at in excess of €85 billion.</w:t>
      </w:r>
    </w:p>
    <w:p>
      <w:pPr>
        <w:spacing w:after="0" w:line="162" w:lineRule="exact"/>
        <w:rPr>
          <w:sz w:val="20"/>
          <w:szCs w:val="20"/>
          <w:color w:val="auto"/>
        </w:rPr>
      </w:pPr>
    </w:p>
    <w:p>
      <w:pPr>
        <w:ind w:left="200" w:right="940"/>
        <w:spacing w:after="0" w:line="243" w:lineRule="auto"/>
        <w:rPr>
          <w:sz w:val="20"/>
          <w:szCs w:val="20"/>
          <w:color w:val="auto"/>
        </w:rPr>
      </w:pPr>
      <w:r>
        <w:rPr>
          <w:rFonts w:ascii="Arial" w:cs="Arial" w:eastAsia="Arial" w:hAnsi="Arial"/>
          <w:sz w:val="17"/>
          <w:szCs w:val="17"/>
          <w:color w:val="auto"/>
        </w:rPr>
        <w:t>Upon the completion of this offering, Cinven will own approximately % of the outstanding shares of our common stock (or % if the underwriters exercise their option to purchase additional shares in full).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93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6935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Accordingly, Cinven will be able to exert a significant degree of influence or actual control over our management and affairs. See “Risk Factors— Risks Relating to Our Common Stock and This Offering—Cinven and our Chief Executive Officer and founder will collectively own a substantial majority of our outstanding common stock following this offering and their interests may be different from or conflict with those of our other shareholders” and “Principal Shareholders.”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Structure</w:t>
      </w:r>
    </w:p>
    <w:p>
      <w:pPr>
        <w:spacing w:after="0" w:line="93"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The diagram below reflects a simplified overview of our organizational structure following this offering (including the application of the net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right="40" w:hanging="296"/>
        <w:spacing w:after="0" w:line="195" w:lineRule="auto"/>
        <w:tabs>
          <w:tab w:leader="none" w:pos="5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In conjunction with the Transaction, we entered into a new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As of March 31, 2016, as described under “Use of Proceeds,” on an as adjusted basis after giving effect to this offering and the use of proceeds</w:t>
      </w:r>
    </w:p>
    <w:p>
      <w:pPr>
        <w:ind w:left="520" w:right="20"/>
        <w:spacing w:after="0" w:line="250" w:lineRule="auto"/>
        <w:rPr>
          <w:rFonts w:ascii="Arial" w:cs="Arial" w:eastAsia="Arial" w:hAnsi="Arial"/>
          <w:sz w:val="24"/>
          <w:szCs w:val="24"/>
          <w:color w:val="auto"/>
          <w:vertAlign w:val="superscript"/>
        </w:rPr>
      </w:pPr>
      <w:r>
        <w:rPr>
          <w:rFonts w:ascii="Arial" w:cs="Arial" w:eastAsia="Arial" w:hAnsi="Arial"/>
          <w:sz w:val="14"/>
          <w:szCs w:val="14"/>
          <w:color w:val="auto"/>
        </w:rPr>
        <w:t>therefrom, we would have had approximately $ million of outstanding indebtedness under our Senior Secured Term Loan Facility and no borrowings outstanding under our Senior Secured Revolving Credit Facility. For additional information about our Senior Secured Credit Facilities, see “Management’s Discussion and Analysis of Financial Condition and Results of Operations—Liquidity and Capital Resources—Indebtedness.”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42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042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3"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are a Delaware corporation and were incorporated on February 18, 2014. Our principal executive offices are located at 5375 Medpace Way, Cincinnati, Ohio 45227, and our telephone number is (513) 579-9911. Our corporate website address is www.medpace.com. Our website and the information contained in,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460" w:type="dxa"/>
            <w:vAlign w:val="bottom"/>
          </w:tcPr>
          <w:p>
            <w:pPr>
              <w:ind w:left="760"/>
              <w:spacing w:after="0"/>
              <w:rPr>
                <w:sz w:val="20"/>
                <w:szCs w:val="20"/>
                <w:color w:val="auto"/>
              </w:rPr>
            </w:pPr>
            <w:r>
              <w:rPr>
                <w:rFonts w:ascii="Arial" w:cs="Arial" w:eastAsia="Arial" w:hAnsi="Arial"/>
                <w:sz w:val="17"/>
                <w:szCs w:val="17"/>
                <w:color w:val="auto"/>
              </w:rPr>
              <w:t>shares.</w:t>
            </w: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89"/>
        </w:trPr>
        <w:tc>
          <w:tcPr>
            <w:tcW w:w="9100" w:type="dxa"/>
            <w:vAlign w:val="bottom"/>
            <w:gridSpan w:val="4"/>
          </w:tcPr>
          <w:p>
            <w:pPr>
              <w:spacing w:after="0"/>
              <w:rPr>
                <w:sz w:val="20"/>
                <w:szCs w:val="20"/>
                <w:color w:val="auto"/>
              </w:rPr>
            </w:pPr>
            <w:r>
              <w:rPr>
                <w:rFonts w:ascii="Arial" w:cs="Arial" w:eastAsia="Arial" w:hAnsi="Arial"/>
                <w:sz w:val="17"/>
                <w:szCs w:val="17"/>
                <w:color w:val="auto"/>
              </w:rPr>
              <w:t>Option to purchase additional shares of common stock The underwriters have the option to purchase up to an additional</w:t>
            </w:r>
          </w:p>
        </w:tc>
        <w:tc>
          <w:tcPr>
            <w:tcW w:w="1920" w:type="dxa"/>
            <w:vAlign w:val="bottom"/>
          </w:tcPr>
          <w:p>
            <w:pPr>
              <w:jc w:val="right"/>
              <w:ind w:right="535"/>
              <w:spacing w:after="0"/>
              <w:rPr>
                <w:sz w:val="20"/>
                <w:szCs w:val="20"/>
                <w:color w:val="auto"/>
              </w:rPr>
            </w:pPr>
            <w:r>
              <w:rPr>
                <w:rFonts w:ascii="Arial" w:cs="Arial" w:eastAsia="Arial" w:hAnsi="Arial"/>
                <w:sz w:val="17"/>
                <w:szCs w:val="17"/>
                <w:color w:val="auto"/>
              </w:rPr>
              <w:t>shares of</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common stock from us. The underwriters can exercise this option at any time within 30</w:t>
            </w:r>
          </w:p>
        </w:tc>
      </w:tr>
      <w:tr>
        <w:trPr>
          <w:trHeight w:val="205"/>
        </w:trPr>
        <w:tc>
          <w:tcPr>
            <w:tcW w:w="4000" w:type="dxa"/>
            <w:vAlign w:val="bottom"/>
          </w:tcPr>
          <w:p>
            <w:pPr>
              <w:spacing w:after="0"/>
              <w:rPr>
                <w:sz w:val="17"/>
                <w:szCs w:val="17"/>
                <w:color w:val="auto"/>
              </w:rPr>
            </w:pPr>
          </w:p>
        </w:tc>
        <w:tc>
          <w:tcPr>
            <w:tcW w:w="3380" w:type="dxa"/>
            <w:vAlign w:val="bottom"/>
            <w:gridSpan w:val="2"/>
          </w:tcPr>
          <w:p>
            <w:pPr>
              <w:ind w:left="200"/>
              <w:spacing w:after="0"/>
              <w:rPr>
                <w:sz w:val="20"/>
                <w:szCs w:val="20"/>
                <w:color w:val="auto"/>
              </w:rPr>
            </w:pPr>
            <w:r>
              <w:rPr>
                <w:rFonts w:ascii="Arial" w:cs="Arial" w:eastAsia="Arial" w:hAnsi="Arial"/>
                <w:sz w:val="17"/>
                <w:szCs w:val="17"/>
                <w:color w:val="auto"/>
              </w:rPr>
              <w:t>days from the date of this prospectus.</w:t>
            </w: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1460" w:type="dxa"/>
            <w:vAlign w:val="bottom"/>
          </w:tcPr>
          <w:p>
            <w:pPr>
              <w:ind w:left="760"/>
              <w:spacing w:after="0"/>
              <w:rPr>
                <w:sz w:val="20"/>
                <w:szCs w:val="20"/>
                <w:color w:val="auto"/>
              </w:rPr>
            </w:pPr>
            <w:r>
              <w:rPr>
                <w:rFonts w:ascii="Arial" w:cs="Arial" w:eastAsia="Arial" w:hAnsi="Arial"/>
                <w:sz w:val="17"/>
                <w:szCs w:val="17"/>
                <w:color w:val="auto"/>
              </w:rPr>
              <w:t>shares (</w:t>
            </w:r>
          </w:p>
        </w:tc>
        <w:tc>
          <w:tcPr>
            <w:tcW w:w="5560" w:type="dxa"/>
            <w:vAlign w:val="bottom"/>
            <w:gridSpan w:val="3"/>
          </w:tcPr>
          <w:p>
            <w:pPr>
              <w:jc w:val="right"/>
              <w:ind w:right="415"/>
              <w:spacing w:after="0"/>
              <w:rPr>
                <w:sz w:val="20"/>
                <w:szCs w:val="20"/>
                <w:color w:val="auto"/>
              </w:rPr>
            </w:pPr>
            <w:r>
              <w:rPr>
                <w:rFonts w:ascii="Arial" w:cs="Arial" w:eastAsia="Arial" w:hAnsi="Arial"/>
                <w:sz w:val="17"/>
                <w:szCs w:val="17"/>
                <w:color w:val="auto"/>
              </w:rPr>
              <w:t>shares if the underwriters’ exercise their option to purchase</w:t>
            </w:r>
          </w:p>
        </w:tc>
      </w:tr>
      <w:tr>
        <w:trPr>
          <w:trHeight w:val="205"/>
        </w:trPr>
        <w:tc>
          <w:tcPr>
            <w:tcW w:w="4000" w:type="dxa"/>
            <w:vAlign w:val="bottom"/>
          </w:tcPr>
          <w:p>
            <w:pPr>
              <w:spacing w:after="0"/>
              <w:rPr>
                <w:sz w:val="17"/>
                <w:szCs w:val="17"/>
                <w:color w:val="auto"/>
              </w:rPr>
            </w:pPr>
          </w:p>
        </w:tc>
        <w:tc>
          <w:tcPr>
            <w:tcW w:w="3380" w:type="dxa"/>
            <w:vAlign w:val="bottom"/>
            <w:gridSpan w:val="2"/>
          </w:tcPr>
          <w:p>
            <w:pPr>
              <w:ind w:left="200"/>
              <w:spacing w:after="0"/>
              <w:rPr>
                <w:sz w:val="20"/>
                <w:szCs w:val="20"/>
                <w:color w:val="auto"/>
              </w:rPr>
            </w:pPr>
            <w:r>
              <w:rPr>
                <w:rFonts w:ascii="Arial" w:cs="Arial" w:eastAsia="Arial" w:hAnsi="Arial"/>
                <w:sz w:val="17"/>
                <w:szCs w:val="17"/>
                <w:color w:val="auto"/>
              </w:rPr>
              <w:t>additional shares in full).</w:t>
            </w: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7"/>
                <w:szCs w:val="17"/>
                <w:color w:val="auto"/>
              </w:rPr>
              <w:t>Use of proceeds</w:t>
            </w:r>
          </w:p>
        </w:tc>
        <w:tc>
          <w:tcPr>
            <w:tcW w:w="5100" w:type="dxa"/>
            <w:vAlign w:val="bottom"/>
            <w:gridSpan w:val="3"/>
          </w:tcPr>
          <w:p>
            <w:pPr>
              <w:ind w:left="200"/>
              <w:spacing w:after="0"/>
              <w:rPr>
                <w:sz w:val="20"/>
                <w:szCs w:val="20"/>
                <w:color w:val="auto"/>
              </w:rPr>
            </w:pPr>
            <w:r>
              <w:rPr>
                <w:rFonts w:ascii="Arial" w:cs="Arial" w:eastAsia="Arial" w:hAnsi="Arial"/>
                <w:sz w:val="17"/>
                <w:szCs w:val="17"/>
                <w:color w:val="auto"/>
              </w:rPr>
              <w:t>We estimate that the net proceeds to us from our sale of</w:t>
            </w:r>
          </w:p>
        </w:tc>
        <w:tc>
          <w:tcPr>
            <w:tcW w:w="1920" w:type="dxa"/>
            <w:vAlign w:val="bottom"/>
          </w:tcPr>
          <w:p>
            <w:pPr>
              <w:jc w:val="right"/>
              <w:spacing w:after="0"/>
              <w:rPr>
                <w:sz w:val="20"/>
                <w:szCs w:val="20"/>
                <w:color w:val="auto"/>
              </w:rPr>
            </w:pPr>
            <w:r>
              <w:rPr>
                <w:rFonts w:ascii="Arial" w:cs="Arial" w:eastAsia="Arial" w:hAnsi="Arial"/>
                <w:sz w:val="17"/>
                <w:szCs w:val="17"/>
                <w:color w:val="auto"/>
                <w:w w:val="99"/>
              </w:rPr>
              <w:t>shares of common stock</w:t>
            </w:r>
          </w:p>
        </w:tc>
      </w:tr>
      <w:tr>
        <w:trPr>
          <w:trHeight w:val="189"/>
        </w:trPr>
        <w:tc>
          <w:tcPr>
            <w:tcW w:w="4000" w:type="dxa"/>
            <w:vAlign w:val="bottom"/>
          </w:tcPr>
          <w:p>
            <w:pPr>
              <w:spacing w:after="0"/>
              <w:rPr>
                <w:sz w:val="16"/>
                <w:szCs w:val="16"/>
                <w:color w:val="auto"/>
              </w:rPr>
            </w:pPr>
          </w:p>
        </w:tc>
        <w:tc>
          <w:tcPr>
            <w:tcW w:w="338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in this offering will be approximately $</w:t>
            </w:r>
          </w:p>
        </w:tc>
        <w:tc>
          <w:tcPr>
            <w:tcW w:w="3640" w:type="dxa"/>
            <w:vAlign w:val="bottom"/>
            <w:gridSpan w:val="2"/>
          </w:tcPr>
          <w:p>
            <w:pPr>
              <w:jc w:val="right"/>
              <w:ind w:right="195"/>
              <w:spacing w:after="0" w:line="189" w:lineRule="exact"/>
              <w:rPr>
                <w:sz w:val="20"/>
                <w:szCs w:val="20"/>
                <w:color w:val="auto"/>
              </w:rPr>
            </w:pPr>
            <w:r>
              <w:rPr>
                <w:rFonts w:ascii="Arial" w:cs="Arial" w:eastAsia="Arial" w:hAnsi="Arial"/>
                <w:sz w:val="17"/>
                <w:szCs w:val="17"/>
                <w:color w:val="auto"/>
              </w:rPr>
              <w:t>million, assuming an initial public offering</w:t>
            </w:r>
          </w:p>
        </w:tc>
      </w:tr>
      <w:tr>
        <w:trPr>
          <w:trHeight w:val="189"/>
        </w:trPr>
        <w:tc>
          <w:tcPr>
            <w:tcW w:w="4000" w:type="dxa"/>
            <w:vAlign w:val="bottom"/>
          </w:tcPr>
          <w:p>
            <w:pPr>
              <w:spacing w:after="0"/>
              <w:rPr>
                <w:sz w:val="16"/>
                <w:szCs w:val="16"/>
                <w:color w:val="auto"/>
              </w:rPr>
            </w:pPr>
          </w:p>
        </w:tc>
        <w:tc>
          <w:tcPr>
            <w:tcW w:w="1460" w:type="dxa"/>
            <w:vAlign w:val="bottom"/>
          </w:tcPr>
          <w:p>
            <w:pPr>
              <w:ind w:left="200"/>
              <w:spacing w:after="0" w:line="189" w:lineRule="exact"/>
              <w:rPr>
                <w:sz w:val="20"/>
                <w:szCs w:val="20"/>
                <w:color w:val="auto"/>
              </w:rPr>
            </w:pPr>
            <w:r>
              <w:rPr>
                <w:rFonts w:ascii="Arial" w:cs="Arial" w:eastAsia="Arial" w:hAnsi="Arial"/>
                <w:sz w:val="17"/>
                <w:szCs w:val="17"/>
                <w:color w:val="auto"/>
              </w:rPr>
              <w:t>price of $</w:t>
            </w:r>
          </w:p>
        </w:tc>
        <w:tc>
          <w:tcPr>
            <w:tcW w:w="55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per share (the midpoint of the price range listed on the cover page of this</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prospectus), and after deducting estimated underwriting discounts and commissions and</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estimated expenses payable by us in connection with this offering. We intend to use the</w:t>
            </w:r>
          </w:p>
        </w:tc>
      </w:tr>
      <w:tr>
        <w:trPr>
          <w:trHeight w:val="189"/>
        </w:trPr>
        <w:tc>
          <w:tcPr>
            <w:tcW w:w="4000" w:type="dxa"/>
            <w:vAlign w:val="bottom"/>
          </w:tcPr>
          <w:p>
            <w:pPr>
              <w:spacing w:after="0"/>
              <w:rPr>
                <w:sz w:val="16"/>
                <w:szCs w:val="16"/>
                <w:color w:val="auto"/>
              </w:rPr>
            </w:pPr>
          </w:p>
        </w:tc>
        <w:tc>
          <w:tcPr>
            <w:tcW w:w="338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proceeds of this offering to repay $</w:t>
            </w:r>
          </w:p>
        </w:tc>
        <w:tc>
          <w:tcPr>
            <w:tcW w:w="3640" w:type="dxa"/>
            <w:vAlign w:val="bottom"/>
            <w:gridSpan w:val="2"/>
          </w:tcPr>
          <w:p>
            <w:pPr>
              <w:jc w:val="right"/>
              <w:ind w:right="235"/>
              <w:spacing w:after="0" w:line="189" w:lineRule="exact"/>
              <w:rPr>
                <w:sz w:val="20"/>
                <w:szCs w:val="20"/>
                <w:color w:val="auto"/>
              </w:rPr>
            </w:pPr>
            <w:r>
              <w:rPr>
                <w:rFonts w:ascii="Arial" w:cs="Arial" w:eastAsia="Arial" w:hAnsi="Arial"/>
                <w:sz w:val="17"/>
                <w:szCs w:val="17"/>
                <w:color w:val="auto"/>
              </w:rPr>
              <w:t>million in aggregate principal amount of</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outstanding borrowings under our Senior Secured Term Loan Facility. In the event that the</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underwriters exercise their option to purchase additional shares, we intend to use the net</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proceeds from the sale of such shares to repay additional borrowings outstanding under</w:t>
            </w:r>
          </w:p>
        </w:tc>
      </w:tr>
      <w:tr>
        <w:trPr>
          <w:trHeight w:val="205"/>
        </w:trPr>
        <w:tc>
          <w:tcPr>
            <w:tcW w:w="4000" w:type="dxa"/>
            <w:vAlign w:val="bottom"/>
          </w:tcPr>
          <w:p>
            <w:pPr>
              <w:spacing w:after="0"/>
              <w:rPr>
                <w:sz w:val="17"/>
                <w:szCs w:val="17"/>
                <w:color w:val="auto"/>
              </w:rPr>
            </w:pPr>
          </w:p>
        </w:tc>
        <w:tc>
          <w:tcPr>
            <w:tcW w:w="5100" w:type="dxa"/>
            <w:vAlign w:val="bottom"/>
            <w:gridSpan w:val="3"/>
          </w:tcPr>
          <w:p>
            <w:pPr>
              <w:ind w:left="200"/>
              <w:spacing w:after="0"/>
              <w:rPr>
                <w:sz w:val="20"/>
                <w:szCs w:val="20"/>
                <w:color w:val="auto"/>
              </w:rPr>
            </w:pPr>
            <w:r>
              <w:rPr>
                <w:rFonts w:ascii="Arial" w:cs="Arial" w:eastAsia="Arial" w:hAnsi="Arial"/>
                <w:sz w:val="17"/>
                <w:szCs w:val="17"/>
                <w:color w:val="auto"/>
              </w:rPr>
              <w:t>our Senior Secured Term Loan Facility. See “Use of Proceeds.”</w:t>
            </w:r>
          </w:p>
        </w:tc>
        <w:tc>
          <w:tcPr>
            <w:tcW w:w="1920" w:type="dxa"/>
            <w:vAlign w:val="bottom"/>
          </w:tcPr>
          <w:p>
            <w:pPr>
              <w:spacing w:after="0"/>
              <w:rPr>
                <w:sz w:val="17"/>
                <w:szCs w:val="17"/>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7"/>
                <w:szCs w:val="17"/>
                <w:color w:val="auto"/>
              </w:rPr>
              <w:t>Dividend policy</w:t>
            </w:r>
          </w:p>
        </w:tc>
        <w:tc>
          <w:tcPr>
            <w:tcW w:w="7020" w:type="dxa"/>
            <w:vAlign w:val="bottom"/>
            <w:gridSpan w:val="4"/>
          </w:tcPr>
          <w:p>
            <w:pPr>
              <w:ind w:left="200"/>
              <w:spacing w:after="0"/>
              <w:rPr>
                <w:sz w:val="20"/>
                <w:szCs w:val="20"/>
                <w:color w:val="auto"/>
              </w:rPr>
            </w:pPr>
            <w:r>
              <w:rPr>
                <w:rFonts w:ascii="Arial" w:cs="Arial" w:eastAsia="Arial" w:hAnsi="Arial"/>
                <w:sz w:val="17"/>
                <w:szCs w:val="17"/>
                <w:color w:val="auto"/>
              </w:rPr>
              <w:t>We have no current plans to pay any cash dividends on our common stock in the</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foreseeable future; however, we may change this policy in the future. See “Dividend</w:t>
            </w:r>
          </w:p>
        </w:tc>
      </w:tr>
      <w:tr>
        <w:trPr>
          <w:trHeight w:val="205"/>
        </w:trPr>
        <w:tc>
          <w:tcPr>
            <w:tcW w:w="400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Arial" w:cs="Arial" w:eastAsia="Arial" w:hAnsi="Arial"/>
                <w:sz w:val="17"/>
                <w:szCs w:val="17"/>
                <w:color w:val="auto"/>
              </w:rPr>
              <w:t>Policy.”</w:t>
            </w: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7"/>
                <w:szCs w:val="17"/>
                <w:color w:val="auto"/>
              </w:rPr>
              <w:t>Risk factors</w:t>
            </w:r>
          </w:p>
        </w:tc>
        <w:tc>
          <w:tcPr>
            <w:tcW w:w="7020" w:type="dxa"/>
            <w:vAlign w:val="bottom"/>
            <w:gridSpan w:val="4"/>
          </w:tcPr>
          <w:p>
            <w:pPr>
              <w:ind w:left="200"/>
              <w:spacing w:after="0"/>
              <w:rPr>
                <w:sz w:val="20"/>
                <w:szCs w:val="20"/>
                <w:color w:val="auto"/>
              </w:rPr>
            </w:pPr>
            <w:r>
              <w:rPr>
                <w:rFonts w:ascii="Arial" w:cs="Arial" w:eastAsia="Arial" w:hAnsi="Arial"/>
                <w:sz w:val="17"/>
                <w:szCs w:val="17"/>
                <w:color w:val="auto"/>
              </w:rPr>
              <w:t>Investing in our common stock involves a high degree of risk. See “Risk Factors”</w:t>
            </w:r>
          </w:p>
        </w:tc>
      </w:tr>
      <w:tr>
        <w:trPr>
          <w:trHeight w:val="189"/>
        </w:trPr>
        <w:tc>
          <w:tcPr>
            <w:tcW w:w="4000" w:type="dxa"/>
            <w:vAlign w:val="bottom"/>
          </w:tcPr>
          <w:p>
            <w:pPr>
              <w:spacing w:after="0"/>
              <w:rPr>
                <w:sz w:val="16"/>
                <w:szCs w:val="16"/>
                <w:color w:val="auto"/>
              </w:rPr>
            </w:pPr>
          </w:p>
        </w:tc>
        <w:tc>
          <w:tcPr>
            <w:tcW w:w="702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beginning on page 20 of this prospectus for a discussion of factors you should consider</w:t>
            </w:r>
          </w:p>
        </w:tc>
      </w:tr>
      <w:tr>
        <w:trPr>
          <w:trHeight w:val="205"/>
        </w:trPr>
        <w:tc>
          <w:tcPr>
            <w:tcW w:w="4000" w:type="dxa"/>
            <w:vAlign w:val="bottom"/>
          </w:tcPr>
          <w:p>
            <w:pPr>
              <w:spacing w:after="0"/>
              <w:rPr>
                <w:sz w:val="17"/>
                <w:szCs w:val="17"/>
                <w:color w:val="auto"/>
              </w:rPr>
            </w:pPr>
          </w:p>
        </w:tc>
        <w:tc>
          <w:tcPr>
            <w:tcW w:w="5100" w:type="dxa"/>
            <w:vAlign w:val="bottom"/>
            <w:gridSpan w:val="3"/>
          </w:tcPr>
          <w:p>
            <w:pPr>
              <w:ind w:left="200"/>
              <w:spacing w:after="0"/>
              <w:rPr>
                <w:sz w:val="20"/>
                <w:szCs w:val="20"/>
                <w:color w:val="auto"/>
              </w:rPr>
            </w:pPr>
            <w:r>
              <w:rPr>
                <w:rFonts w:ascii="Arial" w:cs="Arial" w:eastAsia="Arial" w:hAnsi="Arial"/>
                <w:sz w:val="17"/>
                <w:szCs w:val="17"/>
                <w:color w:val="auto"/>
              </w:rPr>
              <w:t>carefully before investing in our common stock.</w:t>
            </w:r>
          </w:p>
        </w:tc>
        <w:tc>
          <w:tcPr>
            <w:tcW w:w="1920" w:type="dxa"/>
            <w:vAlign w:val="bottom"/>
          </w:tcPr>
          <w:p>
            <w:pPr>
              <w:spacing w:after="0"/>
              <w:rPr>
                <w:sz w:val="17"/>
                <w:szCs w:val="17"/>
                <w:color w:val="auto"/>
              </w:rPr>
            </w:pPr>
          </w:p>
        </w:tc>
      </w:tr>
      <w:tr>
        <w:trPr>
          <w:trHeight w:val="392"/>
        </w:trPr>
        <w:tc>
          <w:tcPr>
            <w:tcW w:w="4000" w:type="dxa"/>
            <w:vAlign w:val="bottom"/>
          </w:tcPr>
          <w:p>
            <w:pPr>
              <w:spacing w:after="0"/>
              <w:rPr>
                <w:sz w:val="20"/>
                <w:szCs w:val="20"/>
                <w:color w:val="auto"/>
              </w:rPr>
            </w:pPr>
            <w:r>
              <w:rPr>
                <w:rFonts w:ascii="Arial" w:cs="Arial" w:eastAsia="Arial" w:hAnsi="Arial"/>
                <w:sz w:val="17"/>
                <w:szCs w:val="17"/>
                <w:color w:val="auto"/>
              </w:rPr>
              <w:t>Listing</w:t>
            </w:r>
          </w:p>
        </w:tc>
        <w:tc>
          <w:tcPr>
            <w:tcW w:w="7020" w:type="dxa"/>
            <w:vAlign w:val="bottom"/>
            <w:gridSpan w:val="4"/>
          </w:tcPr>
          <w:p>
            <w:pPr>
              <w:ind w:left="200"/>
              <w:spacing w:after="0"/>
              <w:rPr>
                <w:sz w:val="20"/>
                <w:szCs w:val="20"/>
                <w:color w:val="auto"/>
              </w:rPr>
            </w:pPr>
            <w:r>
              <w:rPr>
                <w:rFonts w:ascii="Arial" w:cs="Arial" w:eastAsia="Arial" w:hAnsi="Arial"/>
                <w:sz w:val="17"/>
                <w:szCs w:val="17"/>
                <w:color w:val="auto"/>
              </w:rPr>
              <w:t>We have applied to list our common stock on NASDAQ under the symbol “MEDP.”</w:t>
            </w:r>
          </w:p>
        </w:tc>
      </w:tr>
      <w:tr>
        <w:trPr>
          <w:trHeight w:val="349"/>
        </w:trPr>
        <w:tc>
          <w:tcPr>
            <w:tcW w:w="9100" w:type="dxa"/>
            <w:vAlign w:val="bottom"/>
            <w:gridSpan w:val="4"/>
          </w:tcPr>
          <w:p>
            <w:pPr>
              <w:spacing w:after="0"/>
              <w:rPr>
                <w:sz w:val="20"/>
                <w:szCs w:val="20"/>
                <w:color w:val="auto"/>
              </w:rPr>
            </w:pPr>
            <w:r>
              <w:rPr>
                <w:rFonts w:ascii="Arial" w:cs="Arial" w:eastAsia="Arial" w:hAnsi="Arial"/>
                <w:sz w:val="17"/>
                <w:szCs w:val="17"/>
                <w:color w:val="auto"/>
              </w:rPr>
              <w:t>Except as otherwise indicated, the number of shares of common stock to be outstanding after this offering is based on</w:t>
            </w:r>
          </w:p>
        </w:tc>
        <w:tc>
          <w:tcPr>
            <w:tcW w:w="1920" w:type="dxa"/>
            <w:vAlign w:val="bottom"/>
          </w:tcPr>
          <w:p>
            <w:pPr>
              <w:jc w:val="right"/>
              <w:spacing w:after="0"/>
              <w:rPr>
                <w:sz w:val="20"/>
                <w:szCs w:val="20"/>
                <w:color w:val="auto"/>
              </w:rPr>
            </w:pPr>
            <w:r>
              <w:rPr>
                <w:rFonts w:ascii="Arial" w:cs="Arial" w:eastAsia="Arial" w:hAnsi="Arial"/>
                <w:sz w:val="17"/>
                <w:szCs w:val="17"/>
                <w:color w:val="auto"/>
              </w:rPr>
              <w:t>shares outstanding</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as of March 31, 2016 and excludes:</w:t>
            </w:r>
          </w:p>
        </w:tc>
        <w:tc>
          <w:tcPr>
            <w:tcW w:w="1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104" w:lineRule="exact"/>
        <w:rPr>
          <w:sz w:val="20"/>
          <w:szCs w:val="20"/>
          <w:color w:val="auto"/>
        </w:rPr>
      </w:pPr>
    </w:p>
    <w:p>
      <w:pPr>
        <w:ind w:left="1900" w:hanging="1379"/>
        <w:spacing w:after="0"/>
        <w:tabs>
          <w:tab w:leader="none" w:pos="190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shares of common stock issuable upon exercise of stock options outstanding as of March 31, 2016 at a weighted average</w:t>
      </w:r>
    </w:p>
    <w:p>
      <w:pPr>
        <w:sectPr>
          <w:pgSz w:w="11900" w:h="16838" w:orient="portrait"/>
          <w:cols w:equalWidth="0" w:num="1">
            <w:col w:w="11240"/>
          </w:cols>
          <w:pgMar w:left="240" w:top="459" w:right="419" w:bottom="1440" w:gutter="0" w:footer="0" w:header="0"/>
        </w:sectPr>
      </w:pPr>
    </w:p>
    <w:p>
      <w:pPr>
        <w:ind w:left="960"/>
        <w:spacing w:after="0" w:line="232" w:lineRule="auto"/>
        <w:tabs>
          <w:tab w:leader="none" w:pos="2740" w:val="left"/>
        </w:tabs>
        <w:rPr>
          <w:sz w:val="20"/>
          <w:szCs w:val="20"/>
          <w:color w:val="auto"/>
        </w:rPr>
      </w:pPr>
      <w:r>
        <w:rPr>
          <w:rFonts w:ascii="Arial" w:cs="Arial" w:eastAsia="Arial" w:hAnsi="Arial"/>
          <w:sz w:val="17"/>
          <w:szCs w:val="17"/>
          <w:color w:val="auto"/>
        </w:rPr>
        <w:t>exercise price of $</w:t>
      </w:r>
      <w:r>
        <w:rPr>
          <w:sz w:val="20"/>
          <w:szCs w:val="20"/>
          <w:color w:val="auto"/>
        </w:rPr>
        <w:tab/>
      </w:r>
      <w:r>
        <w:rPr>
          <w:rFonts w:ascii="Arial" w:cs="Arial" w:eastAsia="Arial" w:hAnsi="Arial"/>
          <w:sz w:val="17"/>
          <w:szCs w:val="17"/>
          <w:color w:val="auto"/>
        </w:rPr>
        <w:t>per share; and</w:t>
      </w:r>
    </w:p>
    <w:p>
      <w:pPr>
        <w:sectPr>
          <w:pgSz w:w="11900" w:h="16838" w:orient="portrait"/>
          <w:cols w:equalWidth="0" w:num="1">
            <w:col w:w="11240"/>
          </w:cols>
          <w:pgMar w:left="240" w:top="459" w:right="419" w:bottom="1440" w:gutter="0" w:footer="0" w:header="0"/>
          <w:type w:val="continuous"/>
        </w:sectPr>
      </w:pPr>
    </w:p>
    <w:p>
      <w:pPr>
        <w:spacing w:after="0" w:line="17" w:lineRule="exact"/>
        <w:rPr>
          <w:sz w:val="20"/>
          <w:szCs w:val="20"/>
          <w:color w:val="auto"/>
        </w:r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940" w:val="left"/>
        </w:tabs>
        <w:rPr>
          <w:sz w:val="20"/>
          <w:szCs w:val="20"/>
          <w:color w:val="auto"/>
        </w:rPr>
      </w:pPr>
      <w:r>
        <w:rPr>
          <w:rFonts w:ascii="Arial" w:cs="Arial" w:eastAsia="Arial" w:hAnsi="Arial"/>
          <w:sz w:val="17"/>
          <w:szCs w:val="17"/>
          <w:color w:val="auto"/>
        </w:rPr>
        <w:t>an additional</w:t>
      </w:r>
      <w:r>
        <w:rPr>
          <w:sz w:val="20"/>
          <w:szCs w:val="20"/>
          <w:color w:val="auto"/>
        </w:rPr>
        <w:tab/>
      </w:r>
      <w:r>
        <w:rPr>
          <w:rFonts w:ascii="Arial" w:cs="Arial" w:eastAsia="Arial" w:hAnsi="Arial"/>
          <w:sz w:val="17"/>
          <w:szCs w:val="17"/>
          <w:color w:val="auto"/>
        </w:rPr>
        <w:t>shares of common stock reserved for future issuance under our 2016 Incentive Award Plan, or the Plan,</w:t>
      </w:r>
    </w:p>
    <w:p>
      <w:pPr>
        <w:spacing w:after="0" w:line="9" w:lineRule="exact"/>
        <w:rPr>
          <w:sz w:val="20"/>
          <w:szCs w:val="20"/>
          <w:color w:val="auto"/>
        </w:rPr>
      </w:pPr>
    </w:p>
    <w:p>
      <w:pPr>
        <w:sectPr>
          <w:pgSz w:w="11900" w:h="16838" w:orient="portrait"/>
          <w:cols w:equalWidth="0" w:num="2">
            <w:col w:w="580" w:space="380"/>
            <w:col w:w="10280"/>
          </w:cols>
          <w:pgMar w:left="240" w:top="459" w:right="419" w:bottom="1440" w:gutter="0" w:footer="0" w:header="0"/>
          <w:type w:val="continuous"/>
        </w:sectPr>
      </w:pPr>
    </w:p>
    <w:p>
      <w:pPr>
        <w:ind w:left="960"/>
        <w:spacing w:after="0" w:line="232" w:lineRule="auto"/>
        <w:rPr>
          <w:sz w:val="20"/>
          <w:szCs w:val="20"/>
          <w:color w:val="auto"/>
        </w:rPr>
      </w:pPr>
      <w:r>
        <w:rPr>
          <w:rFonts w:ascii="Arial" w:cs="Arial" w:eastAsia="Arial" w:hAnsi="Arial"/>
          <w:sz w:val="17"/>
          <w:szCs w:val="17"/>
          <w:color w:val="auto"/>
        </w:rPr>
        <w:t>including pursuant to equity awards to be granted in connection with this offering, as described in “Executive and Director Compensation —Narrative to Summary Compensation Table—Offering Grants to Employees under the 2016 Incentive Award Plan.”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13" w:lineRule="exact"/>
        <w:rPr>
          <w:sz w:val="20"/>
          <w:szCs w:val="20"/>
          <w:color w:val="auto"/>
        </w:rPr>
      </w:pPr>
    </w:p>
    <w:p>
      <w:pPr>
        <w:ind w:left="960" w:hanging="439"/>
        <w:spacing w:after="0"/>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assumes the initial public offering price of $per share (the midpoint of the price range listed on the cover page of this prospectus);</w:t>
      </w:r>
    </w:p>
    <w:p>
      <w:pPr>
        <w:spacing w:after="0" w:line="24" w:lineRule="exact"/>
        <w:rPr>
          <w:rFonts w:ascii="Arial" w:cs="Arial" w:eastAsia="Arial" w:hAnsi="Arial"/>
          <w:sz w:val="25"/>
          <w:szCs w:val="25"/>
          <w:color w:val="auto"/>
          <w:vertAlign w:val="superscript"/>
        </w:rPr>
      </w:pPr>
    </w:p>
    <w:p>
      <w:pPr>
        <w:ind w:left="960" w:hanging="439"/>
        <w:spacing w:after="0" w:line="185" w:lineRule="auto"/>
        <w:tabs>
          <w:tab w:leader="none" w:pos="96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assumes 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08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081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20" w:hanging="439"/>
        <w:spacing w:after="0" w:line="195" w:lineRule="auto"/>
        <w:tabs>
          <w:tab w:leader="none" w:pos="96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assumes the filing of our amended and restated certificate of incorporation and the adoption of our amended and restated bylaws, which will be in effect prior to the consummation of this offering; and</w:t>
      </w:r>
    </w:p>
    <w:p>
      <w:pPr>
        <w:sectPr>
          <w:pgSz w:w="11900" w:h="16838" w:orient="portrait"/>
          <w:cols w:equalWidth="0" w:num="1">
            <w:col w:w="11260"/>
          </w:cols>
          <w:pgMar w:left="240" w:top="459" w:right="399" w:bottom="1440" w:gutter="0" w:footer="0" w:header="0"/>
        </w:sectPr>
      </w:pPr>
    </w:p>
    <w:p>
      <w:pPr>
        <w:spacing w:after="0" w:line="18" w:lineRule="exact"/>
        <w:rPr>
          <w:sz w:val="20"/>
          <w:szCs w:val="20"/>
          <w:color w:val="auto"/>
        </w:r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reflects a -for- stock split of our common stock, which we expect to effectuate prior to the effectiveness of the registration statement of which this prospectus forms a part.</w:t>
      </w:r>
    </w:p>
    <w:p>
      <w:pPr>
        <w:spacing w:after="0" w:line="198" w:lineRule="exact"/>
        <w:rPr>
          <w:sz w:val="20"/>
          <w:szCs w:val="20"/>
          <w:color w:val="auto"/>
        </w:rPr>
      </w:pPr>
    </w:p>
    <w:p>
      <w:pPr>
        <w:sectPr>
          <w:pgSz w:w="11900" w:h="16838" w:orient="portrait"/>
          <w:cols w:equalWidth="0" w:num="2">
            <w:col w:w="580" w:space="380"/>
            <w:col w:w="10300"/>
          </w:cols>
          <w:pgMar w:left="240" w:top="459" w:right="399" w:bottom="1440" w:gutter="0" w:footer="0" w:header="0"/>
          <w:type w:val="continuous"/>
        </w:sectPr>
      </w:pPr>
    </w:p>
    <w:p>
      <w:pPr>
        <w:ind w:left="200"/>
        <w:spacing w:after="0"/>
        <w:tabs>
          <w:tab w:leader="none" w:pos="9240" w:val="left"/>
        </w:tabs>
        <w:rPr>
          <w:sz w:val="20"/>
          <w:szCs w:val="20"/>
          <w:color w:val="auto"/>
        </w:rPr>
      </w:pPr>
      <w:r>
        <w:rPr>
          <w:rFonts w:ascii="Arial" w:cs="Arial" w:eastAsia="Arial" w:hAnsi="Arial"/>
          <w:sz w:val="17"/>
          <w:szCs w:val="17"/>
          <w:color w:val="auto"/>
        </w:rPr>
        <w:t>Our Chief Executive Officer and founder, Dr. August J. Troendle, has indicated an interest to purchase up to $</w:t>
      </w:r>
      <w:r>
        <w:rPr>
          <w:sz w:val="20"/>
          <w:szCs w:val="20"/>
          <w:color w:val="auto"/>
        </w:rPr>
        <w:tab/>
      </w:r>
      <w:r>
        <w:rPr>
          <w:rFonts w:ascii="Arial" w:cs="Arial" w:eastAsia="Arial" w:hAnsi="Arial"/>
          <w:sz w:val="17"/>
          <w:szCs w:val="17"/>
          <w:color w:val="auto"/>
        </w:rPr>
        <w:t>million in shares of our</w:t>
      </w:r>
    </w:p>
    <w:p>
      <w:pPr>
        <w:sectPr>
          <w:pgSz w:w="11900" w:h="16838" w:orient="portrait"/>
          <w:cols w:equalWidth="0" w:num="1">
            <w:col w:w="11260"/>
          </w:cols>
          <w:pgMar w:left="240" w:top="459" w:right="399" w:bottom="1440" w:gutter="0" w:footer="0" w:header="0"/>
          <w:type w:val="continuous"/>
        </w:sectPr>
      </w:pPr>
    </w:p>
    <w:p>
      <w:pPr>
        <w:spacing w:after="0" w:line="9" w:lineRule="exact"/>
        <w:rPr>
          <w:sz w:val="20"/>
          <w:szCs w:val="20"/>
          <w:color w:val="auto"/>
        </w:rPr>
      </w:pPr>
    </w:p>
    <w:p>
      <w:pPr>
        <w:ind w:left="200"/>
        <w:spacing w:after="0" w:line="232" w:lineRule="auto"/>
        <w:rPr>
          <w:sz w:val="20"/>
          <w:szCs w:val="20"/>
          <w:color w:val="auto"/>
        </w:rPr>
      </w:pPr>
      <w:r>
        <w:rPr>
          <w:rFonts w:ascii="Arial" w:cs="Arial" w:eastAsia="Arial" w:hAnsi="Arial"/>
          <w:sz w:val="17"/>
          <w:szCs w:val="17"/>
          <w:color w:val="auto"/>
        </w:rPr>
        <w:t>common stock in this offering at the initial public offering price.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shareholder will be made at our direction. The underwriters will receive the same underwriting discount on any shares purchased by Dr. Troendle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336"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The following tables set forth our summary consolidated financial and other data for the periods ending on and as of the dates indicated. We derived the consolidated statements of operations data for the years ended December 31, 2013 (Predecessor) and December 31, 2015 (Successor)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three months ended March 31, 2015 and March 31, 2016 and the condensed consolidated balance sheet data as of March 31,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47"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8"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“Selected Historical Consolidated Financial and Other Data,” “Management’s Discussion and Analysis of Financial Condition and Results of Operations,” “Capitalization” and our consolidated financial statements and the related notes thereto included elsewhere in this prospectus.</w:t>
      </w:r>
    </w:p>
    <w:p>
      <w:pPr>
        <w:spacing w:after="0" w:line="200" w:lineRule="exact"/>
        <w:rPr>
          <w:sz w:val="20"/>
          <w:szCs w:val="20"/>
          <w:color w:val="auto"/>
        </w:rPr>
      </w:pP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THREE MONTH</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MONTHS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5"/>
        </w:trPr>
        <w:tc>
          <w:tcPr>
            <w:tcW w:w="4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4"/>
                <w:szCs w:val="14"/>
                <w:color w:val="auto"/>
              </w:rPr>
              <w:t>Service revenue, net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    87,800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    76,030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320,101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219,791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70,250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244,270</w:t>
            </w:r>
          </w:p>
        </w:tc>
        <w:tc>
          <w:tcPr>
            <w:tcW w:w="20" w:type="dxa"/>
            <w:vAlign w:val="bottom"/>
          </w:tcPr>
          <w:p>
            <w:pPr>
              <w:spacing w:after="0"/>
              <w:rPr>
                <w:sz w:val="14"/>
                <w:szCs w:val="14"/>
                <w:color w:val="auto"/>
              </w:rPr>
            </w:pPr>
          </w:p>
        </w:tc>
      </w:tr>
      <w:tr>
        <w:trPr>
          <w:trHeight w:val="162"/>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Reimbursed out-of-pocket revenue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11,786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7,003</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7,679</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28,620</w:t>
            </w:r>
          </w:p>
        </w:tc>
        <w:tc>
          <w:tcPr>
            <w:tcW w:w="2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40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99,586</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83,033</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359,059</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248,499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77,929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272,890</w:t>
            </w:r>
          </w:p>
        </w:tc>
        <w:tc>
          <w:tcPr>
            <w:tcW w:w="20" w:type="dxa"/>
            <w:vAlign w:val="bottom"/>
          </w:tcPr>
          <w:p>
            <w:pPr>
              <w:spacing w:after="0"/>
              <w:rPr>
                <w:sz w:val="14"/>
                <w:szCs w:val="14"/>
                <w:color w:val="auto"/>
              </w:rPr>
            </w:pPr>
          </w:p>
        </w:tc>
      </w:tr>
      <w:tr>
        <w:trPr>
          <w:trHeight w:val="162"/>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 amortization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46,981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39,125</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163,707</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117,550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38,759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119,779</w:t>
            </w:r>
          </w:p>
        </w:tc>
        <w:tc>
          <w:tcPr>
            <w:tcW w:w="20" w:type="dxa"/>
            <w:vAlign w:val="bottom"/>
          </w:tcPr>
          <w:p>
            <w:pPr>
              <w:spacing w:after="0"/>
              <w:rPr>
                <w:sz w:val="14"/>
                <w:szCs w:val="14"/>
                <w:color w:val="auto"/>
              </w:rPr>
            </w:pPr>
          </w:p>
        </w:tc>
      </w:tr>
      <w:tr>
        <w:trPr>
          <w:trHeight w:val="162"/>
        </w:trPr>
        <w:tc>
          <w:tcPr>
            <w:tcW w:w="4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11,786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7,003</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7,679</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28,620</w:t>
            </w:r>
          </w:p>
        </w:tc>
        <w:tc>
          <w:tcPr>
            <w:tcW w:w="20" w:type="dxa"/>
            <w:vAlign w:val="bottom"/>
          </w:tcPr>
          <w:p>
            <w:pPr>
              <w:spacing w:after="0"/>
              <w:rPr>
                <w:sz w:val="14"/>
                <w:szCs w:val="14"/>
                <w:color w:val="auto"/>
              </w:rPr>
            </w:pPr>
          </w:p>
        </w:tc>
      </w:tr>
      <w:tr>
        <w:trPr>
          <w:trHeight w:val="162"/>
        </w:trPr>
        <w:tc>
          <w:tcPr>
            <w:tcW w:w="440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13,509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11,742</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56,998</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29,465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10,203</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35,109</w:t>
            </w:r>
          </w:p>
        </w:tc>
        <w:tc>
          <w:tcPr>
            <w:tcW w:w="20" w:type="dxa"/>
            <w:vAlign w:val="bottom"/>
          </w:tcPr>
          <w:p>
            <w:pPr>
              <w:spacing w:after="0"/>
              <w:rPr>
                <w:sz w:val="14"/>
                <w:szCs w:val="14"/>
                <w:color w:val="auto"/>
              </w:rPr>
            </w:pPr>
          </w:p>
        </w:tc>
      </w:tr>
      <w:tr>
        <w:trPr>
          <w:trHeight w:val="162"/>
        </w:trPr>
        <w:tc>
          <w:tcPr>
            <w:tcW w:w="4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12,420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440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4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1,773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1,573</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1,832</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6,665</w:t>
            </w:r>
          </w:p>
        </w:tc>
        <w:tc>
          <w:tcPr>
            <w:tcW w:w="20" w:type="dxa"/>
            <w:vAlign w:val="bottom"/>
          </w:tcPr>
          <w:p>
            <w:pPr>
              <w:spacing w:after="0"/>
              <w:rPr>
                <w:sz w:val="14"/>
                <w:szCs w:val="14"/>
                <w:color w:val="auto"/>
              </w:rPr>
            </w:pPr>
          </w:p>
        </w:tc>
      </w:tr>
      <w:tr>
        <w:trPr>
          <w:trHeight w:val="162"/>
        </w:trPr>
        <w:tc>
          <w:tcPr>
            <w:tcW w:w="440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12,668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17,201</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63,142</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56,422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5,199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23,854</w:t>
            </w:r>
          </w:p>
        </w:tc>
        <w:tc>
          <w:tcPr>
            <w:tcW w:w="20" w:type="dxa"/>
            <w:vAlign w:val="bottom"/>
          </w:tcPr>
          <w:p>
            <w:pPr>
              <w:spacing w:after="0"/>
              <w:rPr>
                <w:sz w:val="14"/>
                <w:szCs w:val="14"/>
                <w:color w:val="auto"/>
              </w:rPr>
            </w:pPr>
          </w:p>
        </w:tc>
      </w:tr>
      <w:tr>
        <w:trPr>
          <w:trHeight w:val="27"/>
        </w:trPr>
        <w:tc>
          <w:tcPr>
            <w:tcW w:w="4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44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86,717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76,644</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338,497</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76,092</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214,027</w:t>
            </w:r>
          </w:p>
        </w:tc>
        <w:tc>
          <w:tcPr>
            <w:tcW w:w="20" w:type="dxa"/>
            <w:vAlign w:val="bottom"/>
          </w:tcPr>
          <w:p>
            <w:pPr>
              <w:spacing w:after="0"/>
              <w:rPr>
                <w:sz w:val="14"/>
                <w:szCs w:val="14"/>
                <w:color w:val="auto"/>
              </w:rPr>
            </w:pPr>
          </w:p>
        </w:tc>
      </w:tr>
      <w:tr>
        <w:trPr>
          <w:trHeight w:val="216"/>
        </w:trPr>
        <w:tc>
          <w:tcPr>
            <w:tcW w:w="4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0" w:type="dxa"/>
            <w:vAlign w:val="bottom"/>
            <w:tcBorders>
              <w:top w:val="single" w:sz="8" w:color="auto"/>
              <w:left w:val="single" w:sz="8" w:color="auto"/>
            </w:tcBorders>
          </w:tcPr>
          <w:p>
            <w:pPr>
              <w:spacing w:after="0"/>
              <w:rPr>
                <w:sz w:val="17"/>
                <w:szCs w:val="17"/>
                <w:color w:val="auto"/>
              </w:rPr>
            </w:pPr>
          </w:p>
        </w:tc>
        <w:tc>
          <w:tcPr>
            <w:tcW w:w="4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tcBorders>
              <w:left w:val="single" w:sz="8" w:color="auto"/>
            </w:tcBorders>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THREE MONTH</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0" w:type="dxa"/>
            <w:vAlign w:val="bottom"/>
            <w:tcBorders>
              <w:left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12,869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6,389</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20,562</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1,837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58,863</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Miscellaneous (expense) income, net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(976)</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1,213</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(1,718)</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(5,973)</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(7,073)</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(27,259)</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(23,185)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(3,272)</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(18,000)</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expense, net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(6,908)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(8,049)</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(28,392)</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(23,486)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(19,718)</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5,961</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(1,660)</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(7,830)</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(21,039)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39,145</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2,513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1,014</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14,301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(59)</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(8,673)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(14,336)</w:t>
            </w: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43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income (loss) per share attributable to common shareholders:</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ind w:left="26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(0.34)</w:t>
            </w: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0.99</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(0.05)</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0.95</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44,044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41,808</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42,317</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41,673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25,047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25,204</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44,044</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41,808</w:t>
            </w: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42,317</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41,673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25,047</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26,150</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Unaudited Pro Forma Data:</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line="162" w:lineRule="exact"/>
              <w:rPr>
                <w:sz w:val="20"/>
                <w:szCs w:val="20"/>
                <w:color w:val="auto"/>
              </w:rPr>
            </w:pPr>
            <w:r>
              <w:rPr>
                <w:rFonts w:ascii="Arial" w:cs="Arial" w:eastAsia="Arial" w:hAnsi="Arial"/>
                <w:sz w:val="11"/>
                <w:szCs w:val="11"/>
                <w:color w:val="auto"/>
              </w:rPr>
              <w:t xml:space="preserve">Pro forma as adjusted net income (loss) per common share </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tcBorders>
          </w:tcPr>
          <w:p>
            <w:pPr>
              <w:spacing w:after="0"/>
              <w:rPr>
                <w:sz w:val="13"/>
                <w:szCs w:val="13"/>
                <w:color w:val="auto"/>
              </w:rPr>
            </w:pPr>
          </w:p>
        </w:tc>
        <w:tc>
          <w:tcPr>
            <w:tcW w:w="43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 forma as adjusted weighted average number of common</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line="164" w:lineRule="exact"/>
              <w:rPr>
                <w:sz w:val="20"/>
                <w:szCs w:val="20"/>
                <w:color w:val="auto"/>
              </w:rPr>
            </w:pPr>
            <w:r>
              <w:rPr>
                <w:rFonts w:ascii="Arial" w:cs="Arial" w:eastAsia="Arial" w:hAnsi="Arial"/>
                <w:sz w:val="12"/>
                <w:szCs w:val="12"/>
                <w:color w:val="auto"/>
              </w:rPr>
              <w:t xml:space="preserve">shares outstanding </w:t>
            </w:r>
            <w:r>
              <w:rPr>
                <w:rFonts w:ascii="Arial" w:cs="Arial" w:eastAsia="Arial" w:hAnsi="Arial"/>
                <w:sz w:val="19"/>
                <w:szCs w:val="19"/>
                <w:color w:val="auto"/>
                <w:vertAlign w:val="superscript"/>
              </w:rPr>
              <w:t>(1)</w:t>
            </w: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ind w:left="26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12,721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4,795</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84,117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12,807</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98,142</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(3,424)</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(685)</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(907,640)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(827)</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(4,472)</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(30,293)</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(116,489)</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900,171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(17,968)</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(95,851)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0" w:type="dxa"/>
            <w:vAlign w:val="bottom"/>
            <w:tcBorders>
              <w:left w:val="single" w:sz="8" w:color="auto"/>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8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left="43"/>
              <w:spacing w:after="0" w:line="143" w:lineRule="exact"/>
              <w:rPr>
                <w:sz w:val="20"/>
                <w:szCs w:val="20"/>
                <w:color w:val="auto"/>
              </w:rPr>
            </w:pPr>
            <w:r>
              <w:rPr>
                <w:rFonts w:ascii="Arial" w:cs="Arial" w:eastAsia="Arial" w:hAnsi="Arial"/>
                <w:sz w:val="14"/>
                <w:szCs w:val="14"/>
                <w:b w:val="1"/>
                <w:bCs w:val="1"/>
                <w:color w:val="auto"/>
              </w:rPr>
              <w:t>NINE</w:t>
            </w:r>
          </w:p>
        </w:tc>
        <w:tc>
          <w:tcPr>
            <w:tcW w:w="12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Borders>
              <w:top w:val="single" w:sz="8" w:color="auto"/>
            </w:tcBorders>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rPr>
              <w:t>THREE</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left="43"/>
              <w:spacing w:after="0"/>
              <w:rPr>
                <w:sz w:val="20"/>
                <w:szCs w:val="20"/>
                <w:color w:val="auto"/>
              </w:rPr>
            </w:pPr>
            <w:r>
              <w:rPr>
                <w:rFonts w:ascii="Arial" w:cs="Arial" w:eastAsia="Arial" w:hAnsi="Arial"/>
                <w:sz w:val="14"/>
                <w:szCs w:val="14"/>
                <w:b w:val="1"/>
                <w:bCs w:val="1"/>
                <w:color w:val="auto"/>
              </w:rPr>
              <w:t>MONTH</w:t>
            </w: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MONTH</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left="43"/>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left="43"/>
              <w:spacing w:after="0"/>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THREE</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THREE</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left="43"/>
              <w:spacing w:after="0"/>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10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1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8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DECEMBER</w:t>
            </w:r>
          </w:p>
        </w:tc>
        <w:tc>
          <w:tcPr>
            <w:tcW w:w="2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center"/>
              <w:ind w:right="25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10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Other Financial Data:</w:t>
            </w:r>
          </w:p>
        </w:tc>
        <w:tc>
          <w:tcPr>
            <w:tcW w:w="7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14"/>
                <w:szCs w:val="14"/>
                <w:color w:val="auto"/>
              </w:rPr>
              <w:t>(2)</w:t>
            </w:r>
          </w:p>
        </w:tc>
        <w:tc>
          <w:tcPr>
            <w:tcW w:w="11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  26,375</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  24,187</w:t>
            </w:r>
          </w:p>
        </w:tc>
        <w:tc>
          <w:tcPr>
            <w:tcW w:w="360" w:type="dxa"/>
            <w:vAlign w:val="bottom"/>
          </w:tcPr>
          <w:p>
            <w:pPr>
              <w:jc w:val="right"/>
              <w:ind w:right="184"/>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88,950</w:t>
            </w:r>
          </w:p>
        </w:tc>
        <w:tc>
          <w:tcPr>
            <w:tcW w:w="1020" w:type="dxa"/>
            <w:vAlign w:val="bottom"/>
            <w:tcBorders>
              <w:right w:val="single" w:sz="8" w:color="auto"/>
            </w:tcBorders>
            <w:gridSpan w:val="3"/>
          </w:tcPr>
          <w:p>
            <w:pPr>
              <w:jc w:val="right"/>
              <w:ind w:right="200"/>
              <w:spacing w:after="0" w:line="189" w:lineRule="exact"/>
              <w:rPr>
                <w:sz w:val="20"/>
                <w:szCs w:val="20"/>
                <w:color w:val="auto"/>
              </w:rPr>
            </w:pPr>
            <w:r>
              <w:rPr>
                <w:rFonts w:ascii="Arial" w:cs="Arial" w:eastAsia="Arial" w:hAnsi="Arial"/>
                <w:sz w:val="17"/>
                <w:szCs w:val="17"/>
                <w:color w:val="auto"/>
              </w:rPr>
              <w:t>$  63,178</w:t>
            </w:r>
          </w:p>
        </w:tc>
        <w:tc>
          <w:tcPr>
            <w:tcW w:w="1480" w:type="dxa"/>
            <w:vAlign w:val="bottom"/>
            <w:gridSpan w:val="4"/>
          </w:tcPr>
          <w:p>
            <w:pPr>
              <w:jc w:val="right"/>
              <w:ind w:right="380"/>
              <w:spacing w:after="0" w:line="189" w:lineRule="exact"/>
              <w:rPr>
                <w:sz w:val="20"/>
                <w:szCs w:val="20"/>
                <w:color w:val="auto"/>
              </w:rPr>
            </w:pPr>
            <w:r>
              <w:rPr>
                <w:rFonts w:ascii="Arial" w:cs="Arial" w:eastAsia="Arial" w:hAnsi="Arial"/>
                <w:sz w:val="17"/>
                <w:szCs w:val="17"/>
                <w:color w:val="auto"/>
              </w:rPr>
              <w:t>$   10,081</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87,664</w:t>
            </w: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14"/>
                <w:szCs w:val="14"/>
                <w:color w:val="auto"/>
              </w:rPr>
              <w:t>(2)</w:t>
            </w:r>
          </w:p>
        </w:tc>
        <w:tc>
          <w:tcPr>
            <w:tcW w:w="11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25,759</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23,447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101,216</w:t>
            </w:r>
          </w:p>
        </w:tc>
        <w:tc>
          <w:tcPr>
            <w:tcW w:w="1020" w:type="dxa"/>
            <w:vAlign w:val="bottom"/>
            <w:tcBorders>
              <w:right w:val="single" w:sz="8" w:color="auto"/>
            </w:tcBorders>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70,450</w:t>
            </w:r>
          </w:p>
        </w:tc>
        <w:tc>
          <w:tcPr>
            <w:tcW w:w="1480" w:type="dxa"/>
            <w:vAlign w:val="bottom"/>
            <w:gridSpan w:val="4"/>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21,710</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85,409</w:t>
            </w:r>
          </w:p>
        </w:tc>
        <w:tc>
          <w:tcPr>
            <w:tcW w:w="20" w:type="dxa"/>
            <w:vAlign w:val="bottom"/>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14"/>
                <w:szCs w:val="14"/>
                <w:color w:val="auto"/>
              </w:rPr>
              <w:t>(2)</w:t>
            </w:r>
          </w:p>
        </w:tc>
        <w:tc>
          <w:tcPr>
            <w:tcW w:w="11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11,552</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10,809</w:t>
            </w:r>
          </w:p>
        </w:tc>
        <w:tc>
          <w:tcPr>
            <w:tcW w:w="36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40,445</w:t>
            </w:r>
          </w:p>
        </w:tc>
        <w:tc>
          <w:tcPr>
            <w:tcW w:w="1020" w:type="dxa"/>
            <w:vAlign w:val="bottom"/>
            <w:tcBorders>
              <w:right w:val="single" w:sz="8" w:color="auto"/>
            </w:tcBorders>
            <w:gridSpan w:val="3"/>
          </w:tcPr>
          <w:p>
            <w:pPr>
              <w:jc w:val="right"/>
              <w:ind w:right="200"/>
              <w:spacing w:after="0" w:line="189" w:lineRule="exact"/>
              <w:rPr>
                <w:sz w:val="20"/>
                <w:szCs w:val="20"/>
                <w:color w:val="auto"/>
              </w:rPr>
            </w:pPr>
            <w:r>
              <w:rPr>
                <w:rFonts w:ascii="Arial" w:cs="Arial" w:eastAsia="Arial" w:hAnsi="Arial"/>
                <w:sz w:val="17"/>
                <w:szCs w:val="17"/>
                <w:color w:val="auto"/>
              </w:rPr>
              <w:t>26,685</w:t>
            </w:r>
          </w:p>
        </w:tc>
        <w:tc>
          <w:tcPr>
            <w:tcW w:w="1480" w:type="dxa"/>
            <w:vAlign w:val="bottom"/>
            <w:gridSpan w:val="4"/>
          </w:tcPr>
          <w:p>
            <w:pPr>
              <w:jc w:val="right"/>
              <w:ind w:right="380"/>
              <w:spacing w:after="0" w:line="189" w:lineRule="exact"/>
              <w:rPr>
                <w:sz w:val="20"/>
                <w:szCs w:val="20"/>
                <w:color w:val="auto"/>
              </w:rPr>
            </w:pPr>
            <w:r>
              <w:rPr>
                <w:rFonts w:ascii="Arial" w:cs="Arial" w:eastAsia="Arial" w:hAnsi="Arial"/>
                <w:sz w:val="17"/>
                <w:szCs w:val="17"/>
                <w:color w:val="auto"/>
              </w:rPr>
              <w:t>9,715</w:t>
            </w:r>
          </w:p>
        </w:tc>
        <w:tc>
          <w:tcPr>
            <w:tcW w:w="10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41,407</w:t>
            </w: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14"/>
                <w:szCs w:val="14"/>
                <w:color w:val="auto"/>
              </w:rPr>
              <w:t>(2)</w:t>
            </w:r>
          </w:p>
        </w:tc>
        <w:tc>
          <w:tcPr>
            <w:tcW w:w="11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8,896</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3,881</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76,360</w:t>
            </w:r>
          </w:p>
        </w:tc>
        <w:tc>
          <w:tcPr>
            <w:tcW w:w="1020" w:type="dxa"/>
            <w:vAlign w:val="bottom"/>
            <w:tcBorders>
              <w:right w:val="single" w:sz="8" w:color="auto"/>
            </w:tcBorders>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57,030</w:t>
            </w:r>
          </w:p>
        </w:tc>
        <w:tc>
          <w:tcPr>
            <w:tcW w:w="1480" w:type="dxa"/>
            <w:vAlign w:val="bottom"/>
            <w:gridSpan w:val="4"/>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11,552</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93,581</w:t>
            </w:r>
          </w:p>
        </w:tc>
        <w:tc>
          <w:tcPr>
            <w:tcW w:w="20" w:type="dxa"/>
            <w:vAlign w:val="bottom"/>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 xml:space="preserve">Backlog (at period end) </w:t>
            </w:r>
            <w:r>
              <w:rPr>
                <w:rFonts w:ascii="Arial" w:cs="Arial" w:eastAsia="Arial" w:hAnsi="Arial"/>
                <w:sz w:val="14"/>
                <w:szCs w:val="14"/>
                <w:color w:val="auto"/>
              </w:rPr>
              <w:t>(3)</w:t>
            </w:r>
          </w:p>
        </w:tc>
        <w:tc>
          <w:tcPr>
            <w:tcW w:w="11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448,123</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405,850</w:t>
            </w:r>
          </w:p>
        </w:tc>
        <w:tc>
          <w:tcPr>
            <w:tcW w:w="36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429,659</w:t>
            </w:r>
          </w:p>
        </w:tc>
        <w:tc>
          <w:tcPr>
            <w:tcW w:w="1020" w:type="dxa"/>
            <w:vAlign w:val="bottom"/>
            <w:tcBorders>
              <w:right w:val="single" w:sz="8" w:color="auto"/>
            </w:tcBorders>
            <w:gridSpan w:val="3"/>
          </w:tcPr>
          <w:p>
            <w:pPr>
              <w:jc w:val="right"/>
              <w:ind w:right="200"/>
              <w:spacing w:after="0" w:line="189" w:lineRule="exact"/>
              <w:rPr>
                <w:sz w:val="20"/>
                <w:szCs w:val="20"/>
                <w:color w:val="auto"/>
              </w:rPr>
            </w:pPr>
            <w:r>
              <w:rPr>
                <w:rFonts w:ascii="Arial" w:cs="Arial" w:eastAsia="Arial" w:hAnsi="Arial"/>
                <w:sz w:val="17"/>
                <w:szCs w:val="17"/>
                <w:color w:val="auto"/>
              </w:rPr>
              <w:t>394,023</w:t>
            </w:r>
          </w:p>
        </w:tc>
        <w:tc>
          <w:tcPr>
            <w:tcW w:w="1480" w:type="dxa"/>
            <w:vAlign w:val="bottom"/>
            <w:gridSpan w:val="4"/>
          </w:tcPr>
          <w:p>
            <w:pPr>
              <w:jc w:val="right"/>
              <w:ind w:right="380"/>
              <w:spacing w:after="0" w:line="189" w:lineRule="exact"/>
              <w:rPr>
                <w:sz w:val="20"/>
                <w:szCs w:val="20"/>
                <w:color w:val="auto"/>
              </w:rPr>
            </w:pPr>
            <w:r>
              <w:rPr>
                <w:rFonts w:ascii="Arial" w:cs="Arial" w:eastAsia="Arial" w:hAnsi="Arial"/>
                <w:sz w:val="17"/>
                <w:szCs w:val="17"/>
                <w:color w:val="auto"/>
              </w:rPr>
              <w:t>386,047</w:t>
            </w:r>
          </w:p>
        </w:tc>
        <w:tc>
          <w:tcPr>
            <w:tcW w:w="10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359,341</w:t>
            </w: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new business awards </w:t>
            </w:r>
            <w:r>
              <w:rPr>
                <w:rFonts w:ascii="Arial" w:cs="Arial" w:eastAsia="Arial" w:hAnsi="Arial"/>
                <w:sz w:val="14"/>
                <w:szCs w:val="14"/>
                <w:color w:val="auto"/>
              </w:rPr>
              <w:t>(4)</w:t>
            </w:r>
          </w:p>
        </w:tc>
        <w:tc>
          <w:tcPr>
            <w:tcW w:w="11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106,370</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91,112</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359,538</w:t>
            </w:r>
          </w:p>
        </w:tc>
        <w:tc>
          <w:tcPr>
            <w:tcW w:w="1020" w:type="dxa"/>
            <w:vAlign w:val="bottom"/>
            <w:tcBorders>
              <w:right w:val="single" w:sz="8" w:color="auto"/>
            </w:tcBorders>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231,918</w:t>
            </w:r>
          </w:p>
        </w:tc>
        <w:tc>
          <w:tcPr>
            <w:tcW w:w="1480" w:type="dxa"/>
            <w:vAlign w:val="bottom"/>
            <w:gridSpan w:val="4"/>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97,220</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291,577</w:t>
            </w:r>
          </w:p>
        </w:tc>
        <w:tc>
          <w:tcPr>
            <w:tcW w:w="20" w:type="dxa"/>
            <w:vAlign w:val="bottom"/>
          </w:tcPr>
          <w:p>
            <w:pPr>
              <w:spacing w:after="0"/>
              <w:rPr>
                <w:sz w:val="16"/>
                <w:szCs w:val="16"/>
                <w:color w:val="auto"/>
              </w:rPr>
            </w:pPr>
          </w:p>
        </w:tc>
      </w:tr>
      <w:tr>
        <w:trPr>
          <w:trHeight w:val="405"/>
        </w:trPr>
        <w:tc>
          <w:tcPr>
            <w:tcW w:w="3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spacing w:after="0"/>
              <w:rPr>
                <w:sz w:val="24"/>
                <w:szCs w:val="24"/>
                <w:color w:val="auto"/>
              </w:rPr>
            </w:pPr>
          </w:p>
        </w:tc>
      </w:tr>
      <w:tr>
        <w:trPr>
          <w:trHeight w:val="385"/>
        </w:trPr>
        <w:tc>
          <w:tcPr>
            <w:tcW w:w="3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ADJUSTED</w:t>
            </w:r>
          </w:p>
        </w:tc>
      </w:t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59"/>
        </w:trPr>
        <w:tc>
          <w:tcPr>
            <w:tcW w:w="3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4"/>
          </w:tcPr>
          <w:p>
            <w:pPr>
              <w:jc w:val="center"/>
              <w:ind w:right="720"/>
              <w:spacing w:after="0" w:line="15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color w:val="auto"/>
              </w:rPr>
              <w:t>MARCH 31,</w:t>
            </w:r>
          </w:p>
        </w:tc>
      </w:tr>
      <w:tr>
        <w:trPr>
          <w:trHeight w:val="179"/>
        </w:trPr>
        <w:tc>
          <w:tcPr>
            <w:tcW w:w="3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100"/>
              <w:spacing w:after="0" w:line="179" w:lineRule="exact"/>
              <w:rPr>
                <w:sz w:val="20"/>
                <w:szCs w:val="20"/>
                <w:color w:val="auto"/>
              </w:rPr>
            </w:pPr>
            <w:r>
              <w:rPr>
                <w:rFonts w:ascii="Arial" w:cs="Arial" w:eastAsia="Arial" w:hAnsi="Arial"/>
                <w:sz w:val="12"/>
                <w:szCs w:val="12"/>
                <w:b w:val="1"/>
                <w:bCs w:val="1"/>
                <w:color w:val="auto"/>
              </w:rPr>
              <w:t xml:space="preserve">2016 </w:t>
            </w:r>
            <w:r>
              <w:rPr>
                <w:rFonts w:ascii="Arial" w:cs="Arial" w:eastAsia="Arial" w:hAnsi="Arial"/>
                <w:sz w:val="20"/>
                <w:szCs w:val="20"/>
                <w:b w:val="1"/>
                <w:bCs w:val="1"/>
                <w:color w:val="auto"/>
                <w:vertAlign w:val="superscript"/>
              </w:rPr>
              <w:t>(5)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Consolidated Balance Sheet Data:</w:t>
            </w:r>
          </w:p>
        </w:tc>
        <w:tc>
          <w:tcPr>
            <w:tcW w:w="7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ind w:right="248"/>
              <w:spacing w:after="0" w:line="189" w:lineRule="exact"/>
              <w:rPr>
                <w:sz w:val="20"/>
                <w:szCs w:val="20"/>
                <w:color w:val="auto"/>
              </w:rPr>
            </w:pPr>
            <w:r>
              <w:rPr>
                <w:rFonts w:ascii="Arial" w:cs="Arial" w:eastAsia="Arial" w:hAnsi="Arial"/>
                <w:sz w:val="17"/>
                <w:szCs w:val="17"/>
                <w:color w:val="auto"/>
              </w:rPr>
              <w:t>$  24,181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00" w:type="dxa"/>
            <w:vAlign w:val="bottom"/>
            <w:gridSpan w:val="3"/>
            <w:shd w:val="clear" w:color="auto" w:fill="CCEEFF"/>
          </w:tcPr>
          <w:p>
            <w:pPr>
              <w:jc w:val="right"/>
              <w:ind w:right="248"/>
              <w:spacing w:after="0" w:line="189" w:lineRule="exact"/>
              <w:rPr>
                <w:sz w:val="20"/>
                <w:szCs w:val="20"/>
                <w:color w:val="auto"/>
              </w:rPr>
            </w:pPr>
            <w:r>
              <w:rPr>
                <w:rFonts w:ascii="Arial" w:cs="Arial" w:eastAsia="Arial" w:hAnsi="Arial"/>
                <w:sz w:val="17"/>
                <w:szCs w:val="17"/>
                <w:color w:val="auto"/>
              </w:rPr>
              <w:t>2,761</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Accounts receivable, net and unbilled services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ind w:right="248"/>
              <w:spacing w:after="0" w:line="189" w:lineRule="exact"/>
              <w:rPr>
                <w:sz w:val="20"/>
                <w:szCs w:val="20"/>
                <w:color w:val="auto"/>
              </w:rPr>
            </w:pPr>
            <w:r>
              <w:rPr>
                <w:rFonts w:ascii="Arial" w:cs="Arial" w:eastAsia="Arial" w:hAnsi="Arial"/>
                <w:sz w:val="17"/>
                <w:szCs w:val="17"/>
                <w:color w:val="auto"/>
              </w:rPr>
              <w:t>75,006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00" w:type="dxa"/>
            <w:vAlign w:val="bottom"/>
            <w:gridSpan w:val="3"/>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(24,067)</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ind w:right="248"/>
              <w:spacing w:after="0" w:line="189" w:lineRule="exact"/>
              <w:rPr>
                <w:sz w:val="20"/>
                <w:szCs w:val="20"/>
                <w:color w:val="auto"/>
              </w:rPr>
            </w:pPr>
            <w:r>
              <w:rPr>
                <w:rFonts w:ascii="Arial" w:cs="Arial" w:eastAsia="Arial" w:hAnsi="Arial"/>
                <w:sz w:val="17"/>
                <w:szCs w:val="17"/>
                <w:color w:val="auto"/>
              </w:rPr>
              <w:t>993,996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long-term debt, net</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00" w:type="dxa"/>
            <w:vAlign w:val="bottom"/>
            <w:gridSpan w:val="3"/>
            <w:shd w:val="clear" w:color="auto" w:fill="CCEEFF"/>
          </w:tcPr>
          <w:p>
            <w:pPr>
              <w:jc w:val="right"/>
              <w:ind w:right="248"/>
              <w:spacing w:after="0" w:line="189" w:lineRule="exact"/>
              <w:rPr>
                <w:sz w:val="20"/>
                <w:szCs w:val="20"/>
                <w:color w:val="auto"/>
              </w:rPr>
            </w:pPr>
            <w:r>
              <w:rPr>
                <w:rFonts w:ascii="Arial" w:cs="Arial" w:eastAsia="Arial" w:hAnsi="Arial"/>
                <w:sz w:val="17"/>
                <w:szCs w:val="17"/>
                <w:color w:val="auto"/>
              </w:rPr>
              <w:t>378,457</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ind w:right="248"/>
              <w:spacing w:after="0" w:line="189" w:lineRule="exact"/>
              <w:rPr>
                <w:sz w:val="20"/>
                <w:szCs w:val="20"/>
                <w:color w:val="auto"/>
              </w:rPr>
            </w:pPr>
            <w:r>
              <w:rPr>
                <w:rFonts w:ascii="Arial" w:cs="Arial" w:eastAsia="Arial" w:hAnsi="Arial"/>
                <w:sz w:val="17"/>
                <w:szCs w:val="17"/>
                <w:color w:val="auto"/>
              </w:rPr>
              <w:t>576,134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00" w:type="dxa"/>
            <w:vAlign w:val="bottom"/>
            <w:gridSpan w:val="3"/>
            <w:shd w:val="clear" w:color="auto" w:fill="CCEEFF"/>
          </w:tcPr>
          <w:p>
            <w:pPr>
              <w:jc w:val="right"/>
              <w:ind w:right="248"/>
              <w:spacing w:after="0" w:line="189" w:lineRule="exact"/>
              <w:rPr>
                <w:sz w:val="20"/>
                <w:szCs w:val="20"/>
                <w:color w:val="auto"/>
              </w:rPr>
            </w:pPr>
            <w:r>
              <w:rPr>
                <w:rFonts w:ascii="Arial" w:cs="Arial" w:eastAsia="Arial" w:hAnsi="Arial"/>
                <w:sz w:val="17"/>
                <w:szCs w:val="17"/>
                <w:color w:val="auto"/>
              </w:rPr>
              <w:t>417,862</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48"/>
              <w:spacing w:after="0"/>
              <w:rPr>
                <w:sz w:val="20"/>
                <w:szCs w:val="20"/>
                <w:color w:val="auto"/>
              </w:rPr>
            </w:pPr>
            <w:r>
              <w:rPr>
                <w:rFonts w:ascii="Arial" w:cs="Arial" w:eastAsia="Arial" w:hAnsi="Arial"/>
                <w:sz w:val="17"/>
                <w:szCs w:val="17"/>
                <w:color w:val="auto"/>
              </w:rPr>
              <w:t>993,996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7380" w:type="dxa"/>
            <w:vAlign w:val="bottom"/>
            <w:tcBorders>
              <w:bottom w:val="single" w:sz="8" w:color="auto"/>
            </w:tcBorders>
            <w:gridSpan w:val="8"/>
          </w:tcPr>
          <w:p>
            <w:pPr>
              <w:spacing w:after="0"/>
              <w:rPr>
                <w:sz w:val="17"/>
                <w:szCs w:val="17"/>
                <w:color w:val="auto"/>
              </w:rPr>
            </w:pPr>
          </w:p>
        </w:tc>
        <w:tc>
          <w:tcPr>
            <w:tcW w:w="3700" w:type="dxa"/>
            <w:vAlign w:val="bottom"/>
            <w:tcBorders>
              <w:bottom w:val="single" w:sz="8" w:color="auto"/>
            </w:tcBorders>
            <w:gridSpan w:val="12"/>
          </w:tcPr>
          <w:p>
            <w:pPr>
              <w:spacing w:after="0"/>
              <w:rPr>
                <w:sz w:val="17"/>
                <w:szCs w:val="17"/>
                <w:color w:val="auto"/>
              </w:rPr>
            </w:pPr>
          </w:p>
        </w:tc>
      </w:tr>
      <w:tr>
        <w:trPr>
          <w:trHeight w:val="187"/>
        </w:trPr>
        <w:tc>
          <w:tcPr>
            <w:tcW w:w="7380" w:type="dxa"/>
            <w:vAlign w:val="bottom"/>
            <w:gridSpan w:val="8"/>
          </w:tcPr>
          <w:p>
            <w:pPr>
              <w:ind w:left="60"/>
              <w:spacing w:after="0" w:line="188"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 xml:space="preserve">  We present certain information on a pro forma as adjusted basis to give pro forma effect to the sale by us of</w:t>
            </w:r>
          </w:p>
        </w:tc>
        <w:tc>
          <w:tcPr>
            <w:tcW w:w="3700" w:type="dxa"/>
            <w:vAlign w:val="bottom"/>
            <w:gridSpan w:val="12"/>
          </w:tcPr>
          <w:p>
            <w:pPr>
              <w:jc w:val="center"/>
              <w:ind w:right="280"/>
              <w:spacing w:after="0"/>
              <w:rPr>
                <w:sz w:val="20"/>
                <w:szCs w:val="20"/>
                <w:color w:val="auto"/>
              </w:rPr>
            </w:pPr>
            <w:r>
              <w:rPr>
                <w:rFonts w:ascii="Arial" w:cs="Arial" w:eastAsia="Arial" w:hAnsi="Arial"/>
                <w:sz w:val="14"/>
                <w:szCs w:val="14"/>
                <w:color w:val="auto"/>
              </w:rPr>
              <w:t>shares of our common stock in this offering</w:t>
            </w:r>
          </w:p>
        </w:tc>
      </w:tr>
      <w:tr>
        <w:trPr>
          <w:trHeight w:val="162"/>
        </w:trPr>
        <w:tc>
          <w:tcPr>
            <w:tcW w:w="8400" w:type="dxa"/>
            <w:vAlign w:val="bottom"/>
            <w:gridSpan w:val="11"/>
          </w:tcPr>
          <w:p>
            <w:pPr>
              <w:ind w:left="320"/>
              <w:spacing w:after="0"/>
              <w:rPr>
                <w:sz w:val="20"/>
                <w:szCs w:val="20"/>
                <w:color w:val="auto"/>
              </w:rPr>
            </w:pPr>
            <w:r>
              <w:rPr>
                <w:rFonts w:ascii="Arial" w:cs="Arial" w:eastAsia="Arial" w:hAnsi="Arial"/>
                <w:sz w:val="14"/>
                <w:szCs w:val="14"/>
                <w:color w:val="auto"/>
              </w:rPr>
              <w:t>(assuming no exercise of the underwriters’ option to purchase additional shares) at an assumed initial public offering price of $</w:t>
            </w:r>
          </w:p>
        </w:tc>
        <w:tc>
          <w:tcPr>
            <w:tcW w:w="260" w:type="dxa"/>
            <w:vAlign w:val="bottom"/>
          </w:tcPr>
          <w:p>
            <w:pPr>
              <w:spacing w:after="0"/>
              <w:rPr>
                <w:sz w:val="14"/>
                <w:szCs w:val="14"/>
                <w:color w:val="auto"/>
              </w:rPr>
            </w:pPr>
          </w:p>
        </w:tc>
        <w:tc>
          <w:tcPr>
            <w:tcW w:w="2420" w:type="dxa"/>
            <w:vAlign w:val="bottom"/>
            <w:gridSpan w:val="8"/>
          </w:tcPr>
          <w:p>
            <w:pPr>
              <w:jc w:val="center"/>
              <w:ind w:right="100"/>
              <w:spacing w:after="0"/>
              <w:rPr>
                <w:sz w:val="20"/>
                <w:szCs w:val="20"/>
                <w:color w:val="auto"/>
              </w:rPr>
            </w:pPr>
            <w:r>
              <w:rPr>
                <w:rFonts w:ascii="Arial" w:cs="Arial" w:eastAsia="Arial" w:hAnsi="Arial"/>
                <w:sz w:val="14"/>
                <w:szCs w:val="14"/>
                <w:color w:val="auto"/>
              </w:rPr>
              <w:t>per share (the midpoint of the price</w:t>
            </w:r>
          </w:p>
        </w:tc>
      </w:tr>
      <w:tr>
        <w:trPr>
          <w:trHeight w:val="162"/>
        </w:trPr>
        <w:tc>
          <w:tcPr>
            <w:tcW w:w="11080" w:type="dxa"/>
            <w:vAlign w:val="bottom"/>
            <w:gridSpan w:val="20"/>
          </w:tcPr>
          <w:p>
            <w:pPr>
              <w:ind w:left="320"/>
              <w:spacing w:after="0"/>
              <w:rPr>
                <w:sz w:val="20"/>
                <w:szCs w:val="20"/>
                <w:color w:val="auto"/>
              </w:rPr>
            </w:pPr>
            <w:r>
              <w:rPr>
                <w:rFonts w:ascii="Arial" w:cs="Arial" w:eastAsia="Arial" w:hAnsi="Arial"/>
                <w:sz w:val="14"/>
                <w:szCs w:val="14"/>
                <w:color w:val="auto"/>
              </w:rPr>
              <w:t>range listed on the cover page of this prospectus) after deducting estimated underwriting discounts and commissions and estimated expenses payable by us in</w:t>
            </w:r>
          </w:p>
        </w:tc>
      </w:tr>
      <w:tr>
        <w:trPr>
          <w:trHeight w:val="162"/>
        </w:trPr>
        <w:tc>
          <w:tcPr>
            <w:tcW w:w="8080" w:type="dxa"/>
            <w:vAlign w:val="bottom"/>
            <w:gridSpan w:val="9"/>
          </w:tcPr>
          <w:p>
            <w:pPr>
              <w:ind w:left="320"/>
              <w:spacing w:after="0"/>
              <w:rPr>
                <w:sz w:val="20"/>
                <w:szCs w:val="20"/>
                <w:color w:val="auto"/>
              </w:rPr>
            </w:pPr>
            <w:r>
              <w:rPr>
                <w:rFonts w:ascii="Arial" w:cs="Arial" w:eastAsia="Arial" w:hAnsi="Arial"/>
                <w:sz w:val="14"/>
                <w:szCs w:val="14"/>
                <w:color w:val="auto"/>
              </w:rPr>
              <w:t>connection with this offering and the application of the net proceeds to be received by us from this offering to repay $</w:t>
            </w:r>
          </w:p>
        </w:tc>
        <w:tc>
          <w:tcPr>
            <w:tcW w:w="3000" w:type="dxa"/>
            <w:vAlign w:val="bottom"/>
            <w:gridSpan w:val="11"/>
          </w:tcPr>
          <w:p>
            <w:pPr>
              <w:ind w:left="20"/>
              <w:spacing w:after="0"/>
              <w:rPr>
                <w:sz w:val="20"/>
                <w:szCs w:val="20"/>
                <w:color w:val="auto"/>
              </w:rPr>
            </w:pPr>
            <w:r>
              <w:rPr>
                <w:rFonts w:ascii="Arial" w:cs="Arial" w:eastAsia="Arial" w:hAnsi="Arial"/>
                <w:sz w:val="14"/>
                <w:szCs w:val="14"/>
                <w:color w:val="auto"/>
              </w:rPr>
              <w:t>million in aggregate principal amount of</w:t>
            </w:r>
          </w:p>
        </w:tc>
      </w:tr>
      <w:tr>
        <w:trPr>
          <w:trHeight w:val="172"/>
        </w:trPr>
        <w:tc>
          <w:tcPr>
            <w:tcW w:w="7380" w:type="dxa"/>
            <w:vAlign w:val="bottom"/>
            <w:gridSpan w:val="8"/>
          </w:tcPr>
          <w:p>
            <w:pPr>
              <w:ind w:left="320"/>
              <w:spacing w:after="0"/>
              <w:rPr>
                <w:sz w:val="20"/>
                <w:szCs w:val="20"/>
                <w:color w:val="auto"/>
              </w:rPr>
            </w:pPr>
            <w:r>
              <w:rPr>
                <w:rFonts w:ascii="Arial" w:cs="Arial" w:eastAsia="Arial" w:hAnsi="Arial"/>
                <w:sz w:val="14"/>
                <w:szCs w:val="14"/>
                <w:color w:val="auto"/>
              </w:rPr>
              <w:t>outstanding borrowings under our Senior Secured Term Loan Facility as described in “Use of Proceeds.”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8400" w:type="dxa"/>
            <w:vAlign w:val="bottom"/>
            <w:gridSpan w:val="11"/>
          </w:tcPr>
          <w:p>
            <w:pPr>
              <w:ind w:left="320"/>
              <w:spacing w:after="0"/>
              <w:rPr>
                <w:sz w:val="20"/>
                <w:szCs w:val="20"/>
                <w:color w:val="auto"/>
              </w:rPr>
            </w:pPr>
            <w:r>
              <w:rPr>
                <w:rFonts w:ascii="Arial" w:cs="Arial" w:eastAsia="Arial" w:hAnsi="Arial"/>
                <w:sz w:val="14"/>
                <w:szCs w:val="14"/>
                <w:color w:val="auto"/>
              </w:rPr>
              <w:t>Pro forma as adjusted net income (loss) reflects (i) the decrease in interest expense, net resulting from the repayment of $</w:t>
            </w:r>
          </w:p>
        </w:tc>
        <w:tc>
          <w:tcPr>
            <w:tcW w:w="2680" w:type="dxa"/>
            <w:vAlign w:val="bottom"/>
            <w:gridSpan w:val="9"/>
          </w:tcPr>
          <w:p>
            <w:pPr>
              <w:ind w:left="60"/>
              <w:spacing w:after="0"/>
              <w:rPr>
                <w:sz w:val="20"/>
                <w:szCs w:val="20"/>
                <w:color w:val="auto"/>
              </w:rPr>
            </w:pPr>
            <w:r>
              <w:rPr>
                <w:rFonts w:ascii="Arial" w:cs="Arial" w:eastAsia="Arial" w:hAnsi="Arial"/>
                <w:sz w:val="14"/>
                <w:szCs w:val="14"/>
                <w:color w:val="auto"/>
              </w:rPr>
              <w:t>million in aggregate principal amount of</w:t>
            </w:r>
          </w:p>
        </w:tc>
      </w:tr>
      <w:tr>
        <w:trPr>
          <w:trHeight w:val="162"/>
        </w:trPr>
        <w:tc>
          <w:tcPr>
            <w:tcW w:w="11080" w:type="dxa"/>
            <w:vAlign w:val="bottom"/>
            <w:gridSpan w:val="20"/>
          </w:tcPr>
          <w:p>
            <w:pPr>
              <w:ind w:left="320"/>
              <w:spacing w:after="0"/>
              <w:rPr>
                <w:sz w:val="20"/>
                <w:szCs w:val="20"/>
                <w:color w:val="auto"/>
              </w:rPr>
            </w:pPr>
            <w:r>
              <w:rPr>
                <w:rFonts w:ascii="Arial" w:cs="Arial" w:eastAsia="Arial" w:hAnsi="Arial"/>
                <w:sz w:val="14"/>
                <w:szCs w:val="14"/>
                <w:color w:val="auto"/>
              </w:rPr>
              <w:t>outstanding borrowings under our Senior Secured Term Loan Facility with the net proceeds from this offering, as described in “Use of Proceeds,” and (ii) increases in</w:t>
            </w:r>
          </w:p>
        </w:tc>
      </w:tr>
      <w:tr>
        <w:trPr>
          <w:trHeight w:val="162"/>
        </w:trPr>
        <w:tc>
          <w:tcPr>
            <w:tcW w:w="9880" w:type="dxa"/>
            <w:vAlign w:val="bottom"/>
            <w:gridSpan w:val="15"/>
          </w:tcPr>
          <w:p>
            <w:pPr>
              <w:ind w:left="320"/>
              <w:spacing w:after="0"/>
              <w:rPr>
                <w:sz w:val="20"/>
                <w:szCs w:val="20"/>
                <w:color w:val="auto"/>
              </w:rPr>
            </w:pPr>
            <w:r>
              <w:rPr>
                <w:rFonts w:ascii="Arial" w:cs="Arial" w:eastAsia="Arial" w:hAnsi="Arial"/>
                <w:sz w:val="14"/>
                <w:szCs w:val="14"/>
                <w:color w:val="auto"/>
              </w:rPr>
              <w:t>income tax expense due to higher income before income taxes resulting from a decrease in interest expense, net as a result of the repayment of $</w:t>
            </w:r>
          </w:p>
        </w:tc>
        <w:tc>
          <w:tcPr>
            <w:tcW w:w="1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auto"/>
              </w:rPr>
              <w:t>million in</w:t>
            </w:r>
          </w:p>
        </w:tc>
      </w:tr>
    </w:tbl>
    <w:p>
      <w:pPr>
        <w:ind w:left="520" w:right="60"/>
        <w:spacing w:after="0" w:line="247" w:lineRule="auto"/>
        <w:rPr>
          <w:sz w:val="20"/>
          <w:szCs w:val="20"/>
          <w:color w:val="auto"/>
        </w:rPr>
      </w:pPr>
      <w:r>
        <w:rPr>
          <w:rFonts w:ascii="Arial" w:cs="Arial" w:eastAsia="Arial" w:hAnsi="Arial"/>
          <w:sz w:val="14"/>
          <w:szCs w:val="14"/>
          <w:color w:val="auto"/>
        </w:rPr>
        <w:t>aggregate principal amount of outstanding borrowings under our Senior Secured Term Loan Facility as described in (i) above as if each of these events had occurred on January 1, 2015. Pro forma as adjusted basic net income (loss) per common share consists of pro forma as adjusted net income (loss) divided by the pro forma as adjusted basic weighted average number of common shares outstanding. Pro forma as adjusted diluted net income (loss) per common share consists of pro forma as adjusted net income (loss) divided by the pro forma as adjusted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8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38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240"/>
        <w:spacing w:after="0" w:line="258" w:lineRule="auto"/>
        <w:rPr>
          <w:sz w:val="20"/>
          <w:szCs w:val="20"/>
          <w:color w:val="auto"/>
        </w:rPr>
      </w:pPr>
      <w:r>
        <w:rPr>
          <w:rFonts w:ascii="Arial" w:cs="Arial" w:eastAsia="Arial" w:hAnsi="Arial"/>
          <w:sz w:val="14"/>
          <w:szCs w:val="14"/>
          <w:color w:val="auto"/>
        </w:rPr>
        <w:t>The table below provides a summary of net income (loss) used in the calculation of basic and diluted net income (loss) per common share on a pro forma as adjusted basis for the periods presented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ENDED</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r>
      <w:tr>
        <w:trPr>
          <w:trHeight w:val="162"/>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5"/>
        </w:trPr>
        <w:tc>
          <w:tcPr>
            <w:tcW w:w="78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3,448</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7840" w:type="dxa"/>
            <w:vAlign w:val="bottom"/>
          </w:tcPr>
          <w:p>
            <w:pPr>
              <w:spacing w:after="0" w:line="189" w:lineRule="exact"/>
              <w:rPr>
                <w:sz w:val="20"/>
                <w:szCs w:val="20"/>
                <w:color w:val="auto"/>
              </w:rPr>
            </w:pPr>
            <w:r>
              <w:rPr>
                <w:rFonts w:ascii="Arial" w:cs="Arial" w:eastAsia="Arial" w:hAnsi="Arial"/>
                <w:sz w:val="17"/>
                <w:szCs w:val="17"/>
                <w:color w:val="auto"/>
              </w:rPr>
              <w:t>Reduction of interest expense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effect of the above adjustments</w:t>
            </w: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7"/>
                <w:szCs w:val="17"/>
                <w:color w:val="auto"/>
              </w:rPr>
              <w:t>Pro forma as adjusted net income (loss)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 forma as adjusted weighted average number of common shares outstanding used in the calculation of pro forma as adjusted basic and diluted net income (loss) per</w:t>
      </w:r>
    </w:p>
    <w:p>
      <w:pPr>
        <w:spacing w:after="0" w:line="1" w:lineRule="exact"/>
        <w:rPr>
          <w:sz w:val="20"/>
          <w:szCs w:val="20"/>
          <w:color w:val="auto"/>
        </w:rPr>
      </w:pPr>
    </w:p>
    <w:p>
      <w:pPr>
        <w:ind w:left="520" w:right="520"/>
        <w:spacing w:after="0" w:line="258" w:lineRule="auto"/>
        <w:rPr>
          <w:sz w:val="20"/>
          <w:szCs w:val="20"/>
          <w:color w:val="auto"/>
        </w:rPr>
      </w:pPr>
      <w:r>
        <w:rPr>
          <w:rFonts w:ascii="Arial" w:cs="Arial" w:eastAsia="Arial" w:hAnsi="Arial"/>
          <w:sz w:val="14"/>
          <w:szCs w:val="14"/>
          <w:color w:val="auto"/>
        </w:rPr>
        <w:t>common share gives effect to the sale by us of shares of our common stock in this offering (assuming no exercise of the underwriters’ option to purchase additional shares) as if this event had occurred on January 1, 2015.</w:t>
      </w:r>
    </w:p>
    <w:p>
      <w:pPr>
        <w:spacing w:after="0" w:line="86" w:lineRule="exact"/>
        <w:rPr>
          <w:sz w:val="20"/>
          <w:szCs w:val="20"/>
          <w:color w:val="auto"/>
        </w:rPr>
      </w:pPr>
    </w:p>
    <w:p>
      <w:pPr>
        <w:ind w:left="520" w:right="160"/>
        <w:spacing w:after="0" w:line="258" w:lineRule="auto"/>
        <w:rPr>
          <w:sz w:val="20"/>
          <w:szCs w:val="20"/>
          <w:color w:val="auto"/>
        </w:rPr>
      </w:pPr>
      <w:r>
        <w:rPr>
          <w:rFonts w:ascii="Arial" w:cs="Arial" w:eastAsia="Arial" w:hAnsi="Arial"/>
          <w:sz w:val="14"/>
          <w:szCs w:val="14"/>
          <w:color w:val="auto"/>
        </w:rPr>
        <w:t>The table below provides a summary of the weighted average number of common shares outstanding used in the calculation of basic and diluted net income (loss) per common share on a pro forma as adjusted basis:</w:t>
      </w:r>
    </w:p>
    <w:p>
      <w:pPr>
        <w:spacing w:after="0" w:line="200" w:lineRule="exact"/>
        <w:rPr>
          <w:sz w:val="20"/>
          <w:szCs w:val="20"/>
          <w:color w:val="auto"/>
        </w:rPr>
      </w:pPr>
    </w:p>
    <w:p>
      <w:pPr>
        <w:spacing w:after="0" w:line="233" w:lineRule="exact"/>
        <w:rPr>
          <w:sz w:val="20"/>
          <w:szCs w:val="20"/>
          <w:color w:val="auto"/>
        </w:rPr>
      </w:pPr>
    </w:p>
    <w:tbl>
      <w:tblPr>
        <w:tblLayout w:type="fixed"/>
        <w:tblInd w:w="8220" w:type="dxa"/>
        <w:tblCellMar>
          <w:top w:w="0" w:type="dxa"/>
          <w:left w:w="0" w:type="dxa"/>
          <w:bottom w:w="0" w:type="dxa"/>
          <w:right w:w="0" w:type="dxa"/>
        </w:tblCellMar>
      </w:tblPr>
      <w:tr>
        <w:trPr>
          <w:trHeight w:val="162"/>
        </w:trPr>
        <w:tc>
          <w:tcPr>
            <w:tcW w:w="1560" w:type="dxa"/>
            <w:vAlign w:val="bottom"/>
          </w:tcPr>
          <w:p>
            <w:pPr>
              <w:jc w:val="center"/>
              <w:ind w:right="328"/>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tcPr>
          <w:p>
            <w:pPr>
              <w:spacing w:after="0"/>
              <w:rPr>
                <w:sz w:val="14"/>
                <w:szCs w:val="14"/>
                <w:color w:val="auto"/>
              </w:rPr>
            </w:pPr>
          </w:p>
        </w:tc>
      </w:tr>
      <w:tr>
        <w:trPr>
          <w:trHeight w:val="162"/>
        </w:trPr>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ENDED</w:t>
            </w:r>
          </w:p>
        </w:tc>
        <w:tc>
          <w:tcPr>
            <w:tcW w:w="1480" w:type="dxa"/>
            <w:vAlign w:val="bottom"/>
          </w:tcPr>
          <w:p>
            <w:pPr>
              <w:jc w:val="center"/>
              <w:ind w:left="348"/>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MARCH 31,</w:t>
            </w:r>
          </w:p>
        </w:tc>
        <w:tc>
          <w:tcPr>
            <w:tcW w:w="1480" w:type="dxa"/>
            <w:vAlign w:val="bottom"/>
          </w:tcPr>
          <w:p>
            <w:pPr>
              <w:jc w:val="center"/>
              <w:ind w:left="348"/>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1560" w:type="dxa"/>
            <w:vAlign w:val="bottom"/>
          </w:tcPr>
          <w:p>
            <w:pPr>
              <w:jc w:val="center"/>
              <w:ind w:right="328"/>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jc w:val="center"/>
              <w:ind w:left="328"/>
              <w:spacing w:after="0"/>
              <w:rPr>
                <w:sz w:val="20"/>
                <w:szCs w:val="20"/>
                <w:color w:val="auto"/>
              </w:rPr>
            </w:pPr>
            <w:r>
              <w:rPr>
                <w:rFonts w:ascii="Arial" w:cs="Arial" w:eastAsia="Arial" w:hAnsi="Arial"/>
                <w:sz w:val="14"/>
                <w:szCs w:val="14"/>
                <w:b w:val="1"/>
                <w:bCs w:val="1"/>
                <w:color w:val="auto"/>
              </w:rPr>
              <w:t>2015</w:t>
            </w:r>
          </w:p>
        </w:tc>
      </w:tr>
    </w:tbl>
    <w:p>
      <w:pPr>
        <w:ind w:left="200"/>
        <w:spacing w:after="0" w:line="232" w:lineRule="auto"/>
        <w:rPr>
          <w:sz w:val="20"/>
          <w:szCs w:val="20"/>
          <w:color w:val="auto"/>
        </w:rPr>
      </w:pPr>
      <w:r>
        <w:rPr>
          <w:rFonts w:ascii="Arial" w:cs="Arial" w:eastAsia="Arial" w:hAnsi="Arial"/>
          <w:sz w:val="17"/>
          <w:szCs w:val="17"/>
          <w:color w:val="auto"/>
        </w:rPr>
        <w:t>Weighted average common shares outstanding—basic</w:t>
      </w:r>
    </w:p>
    <w:p>
      <w:pPr>
        <w:ind w:left="200"/>
        <w:spacing w:after="0"/>
        <w:rPr>
          <w:sz w:val="20"/>
          <w:szCs w:val="20"/>
          <w:color w:val="auto"/>
        </w:rPr>
      </w:pPr>
      <w:r>
        <w:rPr>
          <w:rFonts w:ascii="Arial" w:cs="Arial" w:eastAsia="Arial" w:hAnsi="Arial"/>
          <w:sz w:val="17"/>
          <w:szCs w:val="17"/>
          <w:color w:val="auto"/>
        </w:rPr>
        <w:t>Common shares sold in this offering</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 forma as adjusted weighted average common share outstanding—basic</w:t>
      </w:r>
    </w:p>
    <w:p>
      <w:pPr>
        <w:ind w:left="200"/>
        <w:spacing w:after="0"/>
        <w:rPr>
          <w:sz w:val="20"/>
          <w:szCs w:val="20"/>
          <w:color w:val="auto"/>
        </w:rPr>
      </w:pPr>
      <w:r>
        <w:rPr>
          <w:rFonts w:ascii="Arial" w:cs="Arial" w:eastAsia="Arial" w:hAnsi="Arial"/>
          <w:sz w:val="17"/>
          <w:szCs w:val="17"/>
          <w:color w:val="auto"/>
        </w:rPr>
        <w:t>Incremental shares from the assumed exercise of outstanding stock options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 forma as adjusted weighted average common shares outstanding—diluted</w:t>
      </w:r>
    </w:p>
    <w:p>
      <w:pPr>
        <w:spacing w:after="0" w:line="315" w:lineRule="exact"/>
        <w:rPr>
          <w:sz w:val="20"/>
          <w:szCs w:val="20"/>
          <w:color w:val="auto"/>
        </w:rPr>
      </w:pPr>
    </w:p>
    <w:p>
      <w:pPr>
        <w:ind w:left="520" w:right="40" w:hanging="256"/>
        <w:spacing w:after="0" w:line="221" w:lineRule="auto"/>
        <w:tabs>
          <w:tab w:leader="none" w:pos="5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78" w:lineRule="exact"/>
        <w:rPr>
          <w:sz w:val="20"/>
          <w:szCs w:val="20"/>
          <w:color w:val="auto"/>
        </w:rPr>
      </w:pPr>
    </w:p>
    <w:p>
      <w:pPr>
        <w:ind w:left="960" w:hanging="439"/>
        <w:spacing w:after="0"/>
        <w:tabs>
          <w:tab w:leader="none" w:pos="960" w:val="left"/>
        </w:tabs>
        <w:numPr>
          <w:ilvl w:val="0"/>
          <w:numId w:val="12"/>
        </w:numPr>
        <w:rPr>
          <w:rFonts w:ascii="Arial" w:cs="Arial" w:eastAsia="Arial" w:hAnsi="Arial"/>
          <w:sz w:val="25"/>
          <w:szCs w:val="25"/>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30" w:lineRule="exact"/>
        <w:rPr>
          <w:rFonts w:ascii="Arial" w:cs="Arial" w:eastAsia="Arial" w:hAnsi="Arial"/>
          <w:sz w:val="25"/>
          <w:szCs w:val="25"/>
          <w:color w:val="auto"/>
          <w:vertAlign w:val="superscript"/>
        </w:rPr>
      </w:pPr>
    </w:p>
    <w:p>
      <w:pPr>
        <w:ind w:left="960" w:hanging="439"/>
        <w:spacing w:after="0" w:line="189" w:lineRule="auto"/>
        <w:tabs>
          <w:tab w:leader="none" w:pos="96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as a consideration to assess incentive compensation for our employees;</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for planning purposes, including the preparation of our internal annual operating budget; and</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to evaluate the performance and effectiveness of our operational strategies.</w:t>
      </w:r>
    </w:p>
    <w:p>
      <w:pPr>
        <w:spacing w:after="0" w:line="152" w:lineRule="exact"/>
        <w:rPr>
          <w:sz w:val="20"/>
          <w:szCs w:val="20"/>
          <w:color w:val="auto"/>
        </w:rPr>
      </w:pPr>
    </w:p>
    <w:p>
      <w:pPr>
        <w:ind w:left="520" w:right="80"/>
        <w:spacing w:after="0" w:line="244" w:lineRule="auto"/>
        <w:rPr>
          <w:sz w:val="20"/>
          <w:szCs w:val="20"/>
          <w:color w:val="auto"/>
        </w:rPr>
      </w:pPr>
      <w:r>
        <w:rPr>
          <w:rFonts w:ascii="Arial" w:cs="Arial" w:eastAsia="Arial" w:hAnsi="Arial"/>
          <w:sz w:val="14"/>
          <w:szCs w:val="14"/>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88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38887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160"/>
        <w:spacing w:after="0" w:line="258"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65" w:lineRule="exact"/>
        <w:rPr>
          <w:sz w:val="20"/>
          <w:szCs w:val="20"/>
          <w:color w:val="auto"/>
        </w:rPr>
      </w:pPr>
    </w:p>
    <w:p>
      <w:pPr>
        <w:ind w:left="960" w:hanging="439"/>
        <w:spacing w:after="0"/>
        <w:tabs>
          <w:tab w:leader="none" w:pos="96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30" w:lineRule="exact"/>
        <w:rPr>
          <w:rFonts w:ascii="Arial" w:cs="Arial" w:eastAsia="Arial" w:hAnsi="Arial"/>
          <w:sz w:val="25"/>
          <w:szCs w:val="25"/>
          <w:color w:val="auto"/>
          <w:vertAlign w:val="superscript"/>
        </w:rPr>
      </w:pPr>
    </w:p>
    <w:p>
      <w:pPr>
        <w:ind w:left="960" w:hanging="439"/>
        <w:spacing w:after="0" w:line="189" w:lineRule="auto"/>
        <w:tabs>
          <w:tab w:leader="none" w:pos="96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they do not reflect our cash expenditures, or future requirements for capital expenditures or contractual commitments;</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they do not reflect changes in, or cash requirements for, our working capital needs;</w:t>
      </w:r>
    </w:p>
    <w:p>
      <w:pPr>
        <w:spacing w:after="0" w:line="30" w:lineRule="exact"/>
        <w:rPr>
          <w:rFonts w:ascii="Arial" w:cs="Arial" w:eastAsia="Arial" w:hAnsi="Arial"/>
          <w:sz w:val="19"/>
          <w:szCs w:val="19"/>
          <w:color w:val="auto"/>
          <w:vertAlign w:val="superscript"/>
        </w:rPr>
      </w:pPr>
    </w:p>
    <w:p>
      <w:pPr>
        <w:ind w:left="960" w:right="500" w:hanging="439"/>
        <w:spacing w:after="0" w:line="183" w:lineRule="auto"/>
        <w:tabs>
          <w:tab w:leader="none" w:pos="96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4"/>
          <w:szCs w:val="24"/>
          <w:color w:val="auto"/>
          <w:vertAlign w:val="superscript"/>
        </w:rPr>
      </w:pPr>
    </w:p>
    <w:p>
      <w:pPr>
        <w:ind w:left="960" w:hanging="439"/>
        <w:spacing w:after="0" w:line="183" w:lineRule="auto"/>
        <w:tabs>
          <w:tab w:leader="none" w:pos="960" w:val="left"/>
        </w:tabs>
        <w:numPr>
          <w:ilvl w:val="0"/>
          <w:numId w:val="13"/>
        </w:numPr>
        <w:rPr>
          <w:rFonts w:ascii="Arial" w:cs="Arial" w:eastAsia="Arial" w:hAnsi="Arial"/>
          <w:sz w:val="23"/>
          <w:szCs w:val="23"/>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31" w:lineRule="exact"/>
        <w:rPr>
          <w:rFonts w:ascii="Arial" w:cs="Arial" w:eastAsia="Arial" w:hAnsi="Arial"/>
          <w:sz w:val="23"/>
          <w:szCs w:val="23"/>
          <w:color w:val="auto"/>
          <w:vertAlign w:val="superscript"/>
        </w:rPr>
      </w:pPr>
    </w:p>
    <w:p>
      <w:pPr>
        <w:ind w:left="960" w:right="420" w:hanging="439"/>
        <w:spacing w:after="0" w:line="183" w:lineRule="auto"/>
        <w:tabs>
          <w:tab w:leader="none" w:pos="96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Adjusted EBITDA does not reflect the non-cash component of certain stock based awards related to fair value adjustments and unusual non-recurring stock awards;</w:t>
      </w:r>
    </w:p>
    <w:p>
      <w:pPr>
        <w:spacing w:after="0" w:line="31" w:lineRule="exact"/>
        <w:rPr>
          <w:rFonts w:ascii="Arial" w:cs="Arial" w:eastAsia="Arial" w:hAnsi="Arial"/>
          <w:sz w:val="24"/>
          <w:szCs w:val="24"/>
          <w:color w:val="auto"/>
          <w:vertAlign w:val="superscript"/>
        </w:rPr>
      </w:pPr>
    </w:p>
    <w:p>
      <w:pPr>
        <w:jc w:val="both"/>
        <w:ind w:left="960" w:right="600" w:hanging="439"/>
        <w:spacing w:after="0" w:line="195" w:lineRule="auto"/>
        <w:tabs>
          <w:tab w:leader="none" w:pos="96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5"/>
          <w:szCs w:val="25"/>
          <w:color w:val="auto"/>
          <w:vertAlign w:val="superscript"/>
        </w:rPr>
      </w:pPr>
    </w:p>
    <w:p>
      <w:pPr>
        <w:ind w:left="960" w:hanging="439"/>
        <w:spacing w:after="0" w:line="183" w:lineRule="auto"/>
        <w:tabs>
          <w:tab w:leader="none" w:pos="960" w:val="left"/>
        </w:tabs>
        <w:numPr>
          <w:ilvl w:val="0"/>
          <w:numId w:val="13"/>
        </w:numPr>
        <w:rPr>
          <w:rFonts w:ascii="Arial" w:cs="Arial" w:eastAsia="Arial" w:hAnsi="Arial"/>
          <w:sz w:val="23"/>
          <w:szCs w:val="23"/>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53" w:lineRule="exact"/>
        <w:rPr>
          <w:sz w:val="20"/>
          <w:szCs w:val="20"/>
          <w:color w:val="auto"/>
        </w:rPr>
      </w:pPr>
    </w:p>
    <w:p>
      <w:pPr>
        <w:ind w:left="520" w:right="180"/>
        <w:spacing w:after="0" w:line="258" w:lineRule="auto"/>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 We compensate for these limitations by relying primarily on our U.S. GAAP results and using EBITDA and Adjusted EBITDA only supplementally.</w:t>
      </w:r>
    </w:p>
    <w:p>
      <w:pPr>
        <w:spacing w:after="0" w:line="140" w:lineRule="exact"/>
        <w:rPr>
          <w:sz w:val="20"/>
          <w:szCs w:val="20"/>
          <w:color w:val="auto"/>
        </w:rPr>
      </w:pPr>
    </w:p>
    <w:p>
      <w:pPr>
        <w:ind w:left="520"/>
        <w:spacing w:after="0" w:line="247"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8" w:lineRule="exact"/>
        <w:rPr>
          <w:sz w:val="20"/>
          <w:szCs w:val="20"/>
          <w:color w:val="auto"/>
        </w:rPr>
      </w:pPr>
    </w:p>
    <w:p>
      <w:pPr>
        <w:ind w:left="520"/>
        <w:spacing w:after="0" w:line="244"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24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632460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120"/>
        <w:spacing w:after="0" w:line="258"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NINE MONTH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w:t>
            </w: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APRIL 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ENDED</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6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right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EBITDA and Adjusted EBITDA:</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(59)</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5,973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7,073</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27,259</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23,185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2,513</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(1,601)</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(6,703)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1,773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1,573</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6,379</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4,610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12,668</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17,201</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63,142</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56,422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r>
      <w:tr>
        <w:trPr>
          <w:trHeight w:val="27"/>
        </w:trPr>
        <w:tc>
          <w:tcPr>
            <w:tcW w:w="3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26,375</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24,187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88,950</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63,178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87,664</w:t>
            </w:r>
          </w:p>
        </w:tc>
      </w:tr>
      <w:tr>
        <w:trPr>
          <w:trHeight w:val="166"/>
        </w:trPr>
        <w:tc>
          <w:tcPr>
            <w:tcW w:w="3680" w:type="dxa"/>
            <w:vAlign w:val="bottom"/>
          </w:tcPr>
          <w:p>
            <w:pPr>
              <w:spacing w:after="0"/>
              <w:rPr>
                <w:sz w:val="20"/>
                <w:szCs w:val="20"/>
                <w:color w:val="auto"/>
              </w:rPr>
            </w:pPr>
            <w:r>
              <w:rPr>
                <w:rFonts w:ascii="Arial" w:cs="Arial" w:eastAsia="Arial" w:hAnsi="Arial"/>
                <w:sz w:val="14"/>
                <w:szCs w:val="14"/>
                <w:color w:val="auto"/>
              </w:rPr>
              <w:t>Stock compensation expense: liability awards mark-</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68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to-market and CEO award </w:t>
            </w:r>
            <w:r>
              <w:rPr>
                <w:rFonts w:ascii="Arial" w:cs="Arial" w:eastAsia="Arial" w:hAnsi="Arial"/>
                <w:sz w:val="19"/>
                <w:szCs w:val="19"/>
                <w:color w:val="auto"/>
                <w:vertAlign w:val="superscript"/>
              </w:rPr>
              <w:t>(a)</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(930)</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(930)</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(3,720)</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(3,635)</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(e)</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680" w:type="dxa"/>
            <w:vAlign w:val="bottom"/>
          </w:tcPr>
          <w:p>
            <w:pPr>
              <w:spacing w:after="0"/>
              <w:rPr>
                <w:sz w:val="20"/>
                <w:szCs w:val="20"/>
                <w:color w:val="auto"/>
              </w:rPr>
            </w:pPr>
            <w:r>
              <w:rPr>
                <w:rFonts w:ascii="Arial" w:cs="Arial" w:eastAsia="Arial" w:hAnsi="Arial"/>
                <w:sz w:val="14"/>
                <w:szCs w:val="14"/>
                <w:color w:val="auto"/>
              </w:rPr>
              <w:t>Adjusted EBITDA</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25,759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23,447</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101,216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70,450</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85,409</w:t>
            </w: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6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Adjusted Net Income:</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(59)</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12,668</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17,201</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63,142</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56,422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59"/>
        </w:trPr>
        <w:tc>
          <w:tcPr>
            <w:tcW w:w="3680" w:type="dxa"/>
            <w:vAlign w:val="bottom"/>
          </w:tcPr>
          <w:p>
            <w:pPr>
              <w:spacing w:after="0" w:line="159" w:lineRule="exact"/>
              <w:rPr>
                <w:sz w:val="20"/>
                <w:szCs w:val="20"/>
                <w:color w:val="auto"/>
              </w:rPr>
            </w:pPr>
            <w:r>
              <w:rPr>
                <w:rFonts w:ascii="Arial" w:cs="Arial" w:eastAsia="Arial" w:hAnsi="Arial"/>
                <w:sz w:val="14"/>
                <w:szCs w:val="14"/>
                <w:color w:val="auto"/>
              </w:rPr>
              <w:t>Stock compensation expense: liability awards mark-</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68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to-market and CEO award </w:t>
            </w:r>
            <w:r>
              <w:rPr>
                <w:rFonts w:ascii="Arial" w:cs="Arial" w:eastAsia="Arial" w:hAnsi="Arial"/>
                <w:sz w:val="19"/>
                <w:szCs w:val="19"/>
                <w:color w:val="auto"/>
                <w:vertAlign w:val="superscript"/>
              </w:rPr>
              <w:t>(a)</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680" w:type="dxa"/>
            <w:vAlign w:val="bottom"/>
          </w:tcPr>
          <w:p>
            <w:pPr>
              <w:spacing w:after="0" w:line="159" w:lineRule="exact"/>
              <w:rPr>
                <w:sz w:val="20"/>
                <w:szCs w:val="20"/>
                <w:color w:val="auto"/>
              </w:rPr>
            </w:pPr>
            <w:r>
              <w:rPr>
                <w:rFonts w:ascii="Arial" w:cs="Arial" w:eastAsia="Arial" w:hAnsi="Arial"/>
                <w:sz w:val="14"/>
                <w:szCs w:val="14"/>
                <w:color w:val="auto"/>
              </w:rPr>
              <w:t>Corporate campus lease payments—principal</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68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portion </w:t>
            </w:r>
            <w:r>
              <w:rPr>
                <w:rFonts w:ascii="Arial" w:cs="Arial" w:eastAsia="Arial" w:hAnsi="Arial"/>
                <w:sz w:val="19"/>
                <w:szCs w:val="19"/>
                <w:color w:val="auto"/>
                <w:vertAlign w:val="superscript"/>
              </w:rPr>
              <w:t>(c)</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672</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655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2,687</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2,064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3680" w:type="dxa"/>
            <w:vAlign w:val="bottom"/>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Income tax effect of adjustments (39.0%)</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(5,181)</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(6,949)</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(31,405)</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(26,226)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(10,589)</w:t>
            </w:r>
          </w:p>
        </w:tc>
      </w:tr>
      <w:tr>
        <w:trPr>
          <w:trHeight w:val="20"/>
        </w:trPr>
        <w:tc>
          <w:tcPr>
            <w:tcW w:w="3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680" w:type="dxa"/>
            <w:vAlign w:val="bottom"/>
          </w:tcPr>
          <w:p>
            <w:pPr>
              <w:spacing w:after="0"/>
              <w:rPr>
                <w:sz w:val="20"/>
                <w:szCs w:val="20"/>
                <w:color w:val="auto"/>
              </w:rPr>
            </w:pPr>
            <w:r>
              <w:rPr>
                <w:rFonts w:ascii="Arial" w:cs="Arial" w:eastAsia="Arial" w:hAnsi="Arial"/>
                <w:sz w:val="14"/>
                <w:szCs w:val="14"/>
                <w:color w:val="auto"/>
              </w:rPr>
              <w:t>Adjusted Net Income</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11,552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10,809</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40,445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26,685</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41,407</w:t>
            </w: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6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Free Cash Flow:</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flow provided by operating activities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12,721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4,795</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84,117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62,539</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12,807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3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Capital expenditures</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(3,456)</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(6,465)</w:t>
            </w:r>
          </w:p>
        </w:tc>
        <w:tc>
          <w:tcPr>
            <w:tcW w:w="140" w:type="dxa"/>
            <w:vAlign w:val="bottom"/>
            <w:shd w:val="clear" w:color="auto" w:fill="CCEEFF"/>
          </w:tcPr>
          <w:p>
            <w:pPr>
              <w:spacing w:after="0"/>
              <w:rPr>
                <w:sz w:val="14"/>
                <w:szCs w:val="14"/>
                <w:color w:val="auto"/>
              </w:rPr>
            </w:pPr>
          </w:p>
        </w:tc>
        <w:tc>
          <w:tcPr>
            <w:tcW w:w="11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(4,225)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(4,561)</w:t>
            </w:r>
          </w:p>
        </w:tc>
      </w:tr>
      <w:tr>
        <w:trPr>
          <w:trHeight w:val="159"/>
        </w:trPr>
        <w:tc>
          <w:tcPr>
            <w:tcW w:w="3680" w:type="dxa"/>
            <w:vAlign w:val="bottom"/>
          </w:tcPr>
          <w:p>
            <w:pPr>
              <w:ind w:left="260"/>
              <w:spacing w:after="0" w:line="159" w:lineRule="exact"/>
              <w:rPr>
                <w:sz w:val="20"/>
                <w:szCs w:val="20"/>
                <w:color w:val="auto"/>
              </w:rPr>
            </w:pPr>
            <w:r>
              <w:rPr>
                <w:rFonts w:ascii="Arial" w:cs="Arial" w:eastAsia="Arial" w:hAnsi="Arial"/>
                <w:sz w:val="14"/>
                <w:szCs w:val="14"/>
                <w:color w:val="auto"/>
              </w:rPr>
              <w:t>Less: Corporate campus lease payments—</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680" w:type="dxa"/>
            <w:vAlign w:val="bottom"/>
          </w:tcPr>
          <w:p>
            <w:pPr>
              <w:ind w:left="500"/>
              <w:spacing w:after="0" w:line="164" w:lineRule="exact"/>
              <w:rPr>
                <w:sz w:val="20"/>
                <w:szCs w:val="20"/>
                <w:color w:val="auto"/>
              </w:rPr>
            </w:pPr>
            <w:r>
              <w:rPr>
                <w:rFonts w:ascii="Arial" w:cs="Arial" w:eastAsia="Arial" w:hAnsi="Arial"/>
                <w:sz w:val="12"/>
                <w:szCs w:val="12"/>
                <w:color w:val="auto"/>
              </w:rPr>
              <w:t xml:space="preserve">principal portion </w:t>
            </w:r>
            <w:r>
              <w:rPr>
                <w:rFonts w:ascii="Arial" w:cs="Arial" w:eastAsia="Arial" w:hAnsi="Arial"/>
                <w:sz w:val="19"/>
                <w:szCs w:val="19"/>
                <w:color w:val="auto"/>
                <w:vertAlign w:val="superscript"/>
              </w:rPr>
              <w:t>(c)</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
        </w:trPr>
        <w:tc>
          <w:tcPr>
            <w:tcW w:w="3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Free Cash Flow</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8,896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3,881</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76,360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57,030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93,581</w:t>
            </w: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5" w:lineRule="exact"/>
        <w:rPr>
          <w:sz w:val="20"/>
          <w:szCs w:val="20"/>
          <w:color w:val="auto"/>
        </w:rPr>
      </w:pPr>
    </w:p>
    <w:p>
      <w:pPr>
        <w:ind w:left="960" w:hanging="290"/>
        <w:spacing w:after="0" w:line="250" w:lineRule="auto"/>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spacing w:after="0" w:line="23" w:lineRule="exact"/>
        <w:rPr>
          <w:rFonts w:ascii="Arial" w:cs="Arial" w:eastAsia="Arial" w:hAnsi="Arial"/>
          <w:sz w:val="14"/>
          <w:szCs w:val="14"/>
          <w:color w:val="auto"/>
        </w:rPr>
      </w:pPr>
    </w:p>
    <w:p>
      <w:pPr>
        <w:ind w:left="960" w:hanging="290"/>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attorney fees, advisory fees and other professional service fees incurred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20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32200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960" w:hanging="282"/>
        <w:spacing w:after="0" w:line="245" w:lineRule="auto"/>
        <w:tabs>
          <w:tab w:leader="none" w:pos="9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spacing w:after="0" w:line="29" w:lineRule="exact"/>
        <w:rPr>
          <w:rFonts w:ascii="Arial" w:cs="Arial" w:eastAsia="Arial" w:hAnsi="Arial"/>
          <w:sz w:val="14"/>
          <w:szCs w:val="14"/>
          <w:color w:val="auto"/>
        </w:rPr>
      </w:pPr>
    </w:p>
    <w:p>
      <w:pPr>
        <w:ind w:left="960" w:right="320" w:hanging="290"/>
        <w:spacing w:after="0" w:line="258" w:lineRule="auto"/>
        <w:tabs>
          <w:tab w:leader="none" w:pos="9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18" w:lineRule="exact"/>
        <w:rPr>
          <w:rFonts w:ascii="Arial" w:cs="Arial" w:eastAsia="Arial" w:hAnsi="Arial"/>
          <w:sz w:val="14"/>
          <w:szCs w:val="14"/>
          <w:color w:val="auto"/>
        </w:rPr>
      </w:pPr>
    </w:p>
    <w:p>
      <w:pPr>
        <w:ind w:left="960" w:right="360" w:hanging="290"/>
        <w:spacing w:after="0" w:line="258" w:lineRule="auto"/>
        <w:tabs>
          <w:tab w:leader="none" w:pos="9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8" w:lineRule="exact"/>
        <w:rPr>
          <w:rFonts w:ascii="Arial" w:cs="Arial" w:eastAsia="Arial" w:hAnsi="Arial"/>
          <w:sz w:val="14"/>
          <w:szCs w:val="14"/>
          <w:color w:val="auto"/>
        </w:rPr>
      </w:pPr>
    </w:p>
    <w:p>
      <w:pPr>
        <w:ind w:left="960" w:hanging="250"/>
        <w:spacing w:after="0"/>
        <w:tabs>
          <w:tab w:leader="none" w:pos="9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advisory costs and other fees related to this offering.</w:t>
      </w:r>
    </w:p>
    <w:p>
      <w:pPr>
        <w:spacing w:after="0" w:line="41" w:lineRule="exact"/>
        <w:rPr>
          <w:rFonts w:ascii="Arial" w:cs="Arial" w:eastAsia="Arial" w:hAnsi="Arial"/>
          <w:sz w:val="14"/>
          <w:szCs w:val="14"/>
          <w:color w:val="auto"/>
        </w:rPr>
      </w:pPr>
    </w:p>
    <w:p>
      <w:pPr>
        <w:ind w:left="520" w:right="400" w:hanging="296"/>
        <w:spacing w:after="0" w:line="199" w:lineRule="auto"/>
        <w:tabs>
          <w:tab w:leader="none" w:pos="52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30" w:lineRule="exact"/>
        <w:rPr>
          <w:rFonts w:ascii="Arial" w:cs="Arial" w:eastAsia="Arial" w:hAnsi="Arial"/>
          <w:sz w:val="24"/>
          <w:szCs w:val="24"/>
          <w:color w:val="auto"/>
          <w:vertAlign w:val="superscript"/>
        </w:rPr>
      </w:pPr>
    </w:p>
    <w:p>
      <w:pPr>
        <w:ind w:left="520" w:hanging="296"/>
        <w:spacing w:after="0" w:line="225" w:lineRule="auto"/>
        <w:tabs>
          <w:tab w:leader="none" w:pos="52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25" w:lineRule="exact"/>
        <w:rPr>
          <w:sz w:val="20"/>
          <w:szCs w:val="20"/>
          <w:color w:val="auto"/>
        </w:rPr>
      </w:pPr>
    </w:p>
    <w:p>
      <w:pPr>
        <w:ind w:left="520" w:right="140" w:hanging="299"/>
        <w:spacing w:after="0"/>
        <w:tabs>
          <w:tab w:leader="none" w:pos="500" w:val="left"/>
        </w:tabs>
        <w:rPr>
          <w:sz w:val="20"/>
          <w:szCs w:val="20"/>
          <w:color w:val="auto"/>
        </w:rPr>
      </w:pPr>
      <w:r>
        <w:rPr>
          <w:rFonts w:ascii="Arial" w:cs="Arial" w:eastAsia="Arial" w:hAnsi="Arial"/>
          <w:sz w:val="24"/>
          <w:szCs w:val="24"/>
          <w:color w:val="auto"/>
          <w:vertAlign w:val="superscript"/>
        </w:rPr>
        <w:t>(5)</w:t>
      </w:r>
      <w:r>
        <w:rPr>
          <w:sz w:val="20"/>
          <w:szCs w:val="20"/>
          <w:color w:val="auto"/>
        </w:rPr>
        <w:tab/>
      </w:r>
      <w:r>
        <w:rPr>
          <w:rFonts w:ascii="Arial" w:cs="Arial" w:eastAsia="Arial" w:hAnsi="Arial"/>
          <w:sz w:val="14"/>
          <w:szCs w:val="14"/>
          <w:color w:val="auto"/>
        </w:rPr>
        <w:t>On an as adjusted basis to give effect to our issuance and sale of shares of our common stock in this offering at the initial public offering price of $ per share (the midpoint of the price range listed on the cover page of this prospectus), after deducting estimated underwriting discounts and commissions and estimated expenses payable by us in connection with this offering and the application of the net proceeds to be received by us from this offering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20"/>
        <w:spacing w:after="0"/>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the other information included in this prospectus, including our consolidated financial statements and related notes included elsewhere in this prospectus, before deciding to purchase our common stock. The occurrence of any of the following risks may materially and adversely affect our business, financial condition, results of operations and future prospects. In such an event, the market price of our common stock could decline, and you could lose part or all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The potential loss, delay or non-renewal of our contracts, or the non-payment by our customers for services that we have performed, could adversely affect our results.</w:t>
      </w:r>
    </w:p>
    <w:p>
      <w:pPr>
        <w:ind w:right="400"/>
        <w:spacing w:after="0" w:line="243" w:lineRule="auto"/>
        <w:rPr>
          <w:sz w:val="20"/>
          <w:szCs w:val="20"/>
          <w:color w:val="auto"/>
        </w:rPr>
      </w:pPr>
      <w:r>
        <w:rPr>
          <w:rFonts w:ascii="Arial" w:cs="Arial" w:eastAsia="Arial" w:hAnsi="Arial"/>
          <w:sz w:val="17"/>
          <w:szCs w:val="17"/>
          <w:color w:val="auto"/>
        </w:rPr>
        <w:t>We experience termination, cancellation and non-renewals of contracts by our customers in the ordinary course of business, and the number and dollar value of cancellations can vary significantly from year to year.</w:t>
      </w:r>
    </w:p>
    <w:p>
      <w:pPr>
        <w:spacing w:after="0" w:line="14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For example, our average quarterly cancellation rates as a percentage of the beginning of the period backlog were 4.5% and 3.7% for the Successor three months ended March 31, 2016 and March 31, 2015, respectively, and</w:t>
      </w:r>
    </w:p>
    <w:p>
      <w:pPr>
        <w:jc w:val="both"/>
        <w:ind w:right="40"/>
        <w:spacing w:after="0" w:line="238" w:lineRule="auto"/>
        <w:rPr>
          <w:sz w:val="20"/>
          <w:szCs w:val="20"/>
          <w:color w:val="auto"/>
        </w:rPr>
      </w:pPr>
      <w:r>
        <w:rPr>
          <w:rFonts w:ascii="Arial" w:cs="Arial" w:eastAsia="Arial" w:hAnsi="Arial"/>
          <w:sz w:val="17"/>
          <w:szCs w:val="17"/>
          <w:color w:val="auto"/>
        </w:rPr>
        <w:t>3.2% for the Successor year ended December 31, 2015, 3.3% for the Successor nine month period ended December 2014, 2.5% for the Predecessor three month period ended March 2014 and 3.7% for the Predecessor year ended December 2013. Our customers may delay, terminate or reduce the scope of our contracts for a variety of reasons beyond our control, including but not limited to:</w:t>
      </w:r>
    </w:p>
    <w:p>
      <w:pPr>
        <w:spacing w:after="0" w:line="106"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decisions to forego or terminate a particular clinical trial;</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lack of available financing, budgetary limits or changing priorities;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changes in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production problems resulting in shortages of the drug being tested;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failure of the drug being tested to satisfy safety requirements or efficacy criteria;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unexpected or undesired clinical results;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insufficient investigator recruitment or patient enrollment in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decisions to downsize product development portfolios;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dissatisfaction with our performance, including the quality of data provided and our ability to meet agreed upon schedules;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shift of business to another CRO or internal resources;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product withdrawal following market launch;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shut down of our customers’ manufacturing facilities.</w:t>
      </w:r>
    </w:p>
    <w:p>
      <w:pPr>
        <w:spacing w:after="0" w:line="14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5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Clinical trials can be costly and for the Successor year ended December 31, 2015, 55.7% and 29.3% of our net service revenue was derived from small- and mid-sized biotechnology companies and mid-sized 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notwithstanding the customer’s ability or willingness to pay for or otherwise facilitate the completion of the trial, we may be legally or ethically bound to complete or wind down the trial at our own expense.</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may not convert to net service revenue at our historical conversion rates.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w:t>
      </w:r>
    </w:p>
    <w:p>
      <w:pPr>
        <w:spacing w:after="0" w:line="232" w:lineRule="auto"/>
        <w:rPr>
          <w:sz w:val="20"/>
          <w:szCs w:val="20"/>
          <w:color w:val="auto"/>
        </w:rPr>
      </w:pPr>
      <w:r>
        <w:rPr>
          <w:rFonts w:ascii="Arial" w:cs="Arial" w:eastAsia="Arial" w:hAnsi="Arial"/>
          <w:sz w:val="17"/>
          <w:szCs w:val="17"/>
          <w:color w:val="auto"/>
        </w:rPr>
        <w:t>complete. Reported backlog will fluctuate based on new business awards, changes in scope to existing contracts, cancellations, revenue recognition</w:t>
      </w:r>
    </w:p>
    <w:p>
      <w:pPr>
        <w:spacing w:after="0" w:line="232" w:lineRule="auto"/>
        <w:rPr>
          <w:sz w:val="20"/>
          <w:szCs w:val="20"/>
          <w:color w:val="auto"/>
        </w:rPr>
      </w:pPr>
      <w:r>
        <w:rPr>
          <w:rFonts w:ascii="Arial" w:cs="Arial" w:eastAsia="Arial" w:hAnsi="Arial"/>
          <w:sz w:val="17"/>
          <w:szCs w:val="17"/>
          <w:color w:val="auto"/>
        </w:rPr>
        <w:t>on existing contracts and foreign exchange adjustments from non-U.S. dollar denominated backlog. Our backlog as of March 31, 2016 and March 31,</w:t>
      </w:r>
    </w:p>
    <w:p>
      <w:pPr>
        <w:spacing w:after="0" w:line="232" w:lineRule="auto"/>
        <w:rPr>
          <w:sz w:val="20"/>
          <w:szCs w:val="20"/>
          <w:color w:val="auto"/>
        </w:rPr>
      </w:pPr>
      <w:r>
        <w:rPr>
          <w:rFonts w:ascii="Arial" w:cs="Arial" w:eastAsia="Arial" w:hAnsi="Arial"/>
          <w:sz w:val="17"/>
          <w:szCs w:val="17"/>
          <w:color w:val="auto"/>
        </w:rPr>
        <w:t>2015 was approximately $448.1 and $405.9 million, respectively. Included within backlog as of March 31, 2016 is approximately $227.5 million to</w:t>
      </w:r>
    </w:p>
    <w:p>
      <w:pPr>
        <w:spacing w:after="0" w:line="232" w:lineRule="auto"/>
        <w:rPr>
          <w:sz w:val="20"/>
          <w:szCs w:val="20"/>
          <w:color w:val="auto"/>
        </w:rPr>
      </w:pPr>
      <w:r>
        <w:rPr>
          <w:rFonts w:ascii="Arial" w:cs="Arial" w:eastAsia="Arial" w:hAnsi="Arial"/>
          <w:sz w:val="17"/>
          <w:szCs w:val="17"/>
          <w:color w:val="auto"/>
        </w:rPr>
        <w:t>$237.5 million that we expect to convert to net service revenue in 2016, with the remainder expected to convert to net service revenue in years after</w:t>
      </w:r>
    </w:p>
    <w:p>
      <w:pPr>
        <w:spacing w:after="0" w:line="232" w:lineRule="auto"/>
        <w:rPr>
          <w:sz w:val="20"/>
          <w:szCs w:val="20"/>
          <w:color w:val="auto"/>
        </w:rPr>
      </w:pPr>
      <w:r>
        <w:rPr>
          <w:rFonts w:ascii="Arial" w:cs="Arial" w:eastAsia="Arial" w:hAnsi="Arial"/>
          <w:sz w:val="17"/>
          <w:szCs w:val="17"/>
          <w:color w:val="auto"/>
        </w:rPr>
        <w:t>2016. Once work begins on a project, net service revenue is recognized over the duration of the project. Projects may be terminated or delayed by the</w:t>
      </w:r>
    </w:p>
    <w:p>
      <w:pPr>
        <w:spacing w:after="0" w:line="232" w:lineRule="auto"/>
        <w:rPr>
          <w:sz w:val="20"/>
          <w:szCs w:val="20"/>
          <w:color w:val="auto"/>
        </w:rPr>
      </w:pPr>
      <w:r>
        <w:rPr>
          <w:rFonts w:ascii="Arial" w:cs="Arial" w:eastAsia="Arial" w:hAnsi="Arial"/>
          <w:sz w:val="17"/>
          <w:szCs w:val="17"/>
          <w:color w:val="auto"/>
        </w:rPr>
        <w:t>customer or delayed by regulatory authorities for reasons beyond our control. To the extent projects are delayed, the timing of our net service revenue</w:t>
      </w:r>
    </w:p>
    <w:p>
      <w:pPr>
        <w:spacing w:after="0" w:line="232" w:lineRule="auto"/>
        <w:rPr>
          <w:sz w:val="20"/>
          <w:szCs w:val="20"/>
          <w:color w:val="auto"/>
        </w:rPr>
      </w:pPr>
      <w:r>
        <w:rPr>
          <w:rFonts w:ascii="Arial" w:cs="Arial" w:eastAsia="Arial" w:hAnsi="Arial"/>
          <w:sz w:val="17"/>
          <w:szCs w:val="17"/>
          <w:color w:val="auto"/>
        </w:rPr>
        <w:t>could be adversely affected. Moreover, in the event that a customer cancels a contract, we often would be entitled to receive payment for services</w:t>
      </w:r>
    </w:p>
    <w:p>
      <w:pPr>
        <w:spacing w:after="0" w:line="233" w:lineRule="auto"/>
        <w:rPr>
          <w:sz w:val="20"/>
          <w:szCs w:val="20"/>
          <w:color w:val="auto"/>
        </w:rPr>
      </w:pPr>
      <w:r>
        <w:rPr>
          <w:rFonts w:ascii="Arial" w:cs="Arial" w:eastAsia="Arial" w:hAnsi="Arial"/>
          <w:sz w:val="17"/>
          <w:szCs w:val="17"/>
          <w:color w:val="auto"/>
        </w:rPr>
        <w:t>provided up to the point of cancellation and for close-out activities for winding down the clinical trial, and reimbursement of all non-cancellable</w:t>
      </w:r>
    </w:p>
    <w:p>
      <w:pPr>
        <w:spacing w:after="0" w:line="232" w:lineRule="auto"/>
        <w:rPr>
          <w:sz w:val="20"/>
          <w:szCs w:val="20"/>
          <w:color w:val="auto"/>
        </w:rPr>
      </w:pPr>
      <w:r>
        <w:rPr>
          <w:rFonts w:ascii="Arial" w:cs="Arial" w:eastAsia="Arial" w:hAnsi="Arial"/>
          <w:sz w:val="17"/>
          <w:szCs w:val="17"/>
          <w:color w:val="auto"/>
        </w:rPr>
        <w:t>expenses. Typically, however, we have no contractual right to the full amount of the future net service revenue reflected in our backlog in the event of a</w:t>
      </w:r>
    </w:p>
    <w:p>
      <w:pPr>
        <w:spacing w:after="0" w:line="232" w:lineRule="auto"/>
        <w:rPr>
          <w:sz w:val="20"/>
          <w:szCs w:val="20"/>
          <w:color w:val="auto"/>
        </w:rPr>
      </w:pPr>
      <w:r>
        <w:rPr>
          <w:rFonts w:ascii="Arial" w:cs="Arial" w:eastAsia="Arial" w:hAnsi="Arial"/>
          <w:sz w:val="17"/>
          <w:szCs w:val="17"/>
          <w:color w:val="auto"/>
        </w:rPr>
        <w:t>contract cancellation or subsequent changes in scope that reduce the value of the contract. The duration of the projects included in our backlog, and</w:t>
      </w:r>
    </w:p>
    <w:p>
      <w:pPr>
        <w:spacing w:after="0" w:line="232" w:lineRule="auto"/>
        <w:rPr>
          <w:sz w:val="20"/>
          <w:szCs w:val="20"/>
          <w:color w:val="auto"/>
        </w:rPr>
      </w:pPr>
      <w:r>
        <w:rPr>
          <w:rFonts w:ascii="Arial" w:cs="Arial" w:eastAsia="Arial" w:hAnsi="Arial"/>
          <w:sz w:val="17"/>
          <w:szCs w:val="17"/>
          <w:color w:val="auto"/>
        </w:rPr>
        <w:t>the related net service revenue recognition, generally range from a few months to several years. Our backlog may not be indicative of our future net</w:t>
      </w:r>
    </w:p>
    <w:p>
      <w:pPr>
        <w:spacing w:after="0" w:line="232" w:lineRule="auto"/>
        <w:rPr>
          <w:sz w:val="20"/>
          <w:szCs w:val="20"/>
          <w:color w:val="auto"/>
        </w:rPr>
      </w:pPr>
      <w:r>
        <w:rPr>
          <w:rFonts w:ascii="Arial" w:cs="Arial" w:eastAsia="Arial" w:hAnsi="Arial"/>
          <w:sz w:val="17"/>
          <w:szCs w:val="17"/>
          <w:color w:val="auto"/>
        </w:rPr>
        <w:t>service revenue, and we may not realize all of the anticipated future net service revenue reflected in our backlog. A number of factors may affect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realization of our net service revenue from backlog, including:</w:t>
      </w:r>
    </w:p>
    <w:p>
      <w:pPr>
        <w:spacing w:after="0" w:line="113"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the size, complexity and duration of the projects;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cancellation or delay of projects;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changes in the scope of work during the course of a project.</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there has been a recent slowdown in funding in the biotechnology industry. If small- and mid-sized biotechnology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4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Our operating results have historically fluctuated between fiscal quarters and years and may continue to fluctuate in the future, which may adversely affect the market price of our stock after this offering.</w:t>
      </w:r>
    </w:p>
    <w:p>
      <w:pPr>
        <w:spacing w:after="0" w:line="243" w:lineRule="auto"/>
        <w:rPr>
          <w:sz w:val="20"/>
          <w:szCs w:val="20"/>
          <w:color w:val="auto"/>
        </w:rPr>
      </w:pPr>
      <w:r>
        <w:rPr>
          <w:rFonts w:ascii="Arial" w:cs="Arial" w:eastAsia="Arial" w:hAnsi="Arial"/>
          <w:sz w:val="17"/>
          <w:szCs w:val="17"/>
          <w:color w:val="auto"/>
        </w:rPr>
        <w:t>Our operating results have fluctuated in previous quarters and years and may continue to vary significantly from quarter to quarter and year to year and are influenced by a variety of factors, such as:</w:t>
      </w:r>
    </w:p>
    <w:p>
      <w:pPr>
        <w:spacing w:after="0" w:line="185" w:lineRule="exact"/>
        <w:rPr>
          <w:sz w:val="20"/>
          <w:szCs w:val="20"/>
          <w:color w:val="auto"/>
        </w:rPr>
      </w:pPr>
    </w:p>
    <w:p>
      <w:pPr>
        <w:ind w:left="800" w:right="240" w:hanging="454"/>
        <w:spacing w:after="0" w:line="195" w:lineRule="auto"/>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timing of contract amendments for changes in scope that could affect the value of a contract and potentially impact the amount of net new business awards and net service revenue from quarter to quarter;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commencement, completion, execution, postponement or termination of large contracts;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contract terms for the billing and recognition of revenue milestones;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progress of ongoing contracts and retention of customers;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timing of and charges associated with completion of acquisitions and other events;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changes in the mix of services delivered, both in terms of geography and type of services;</w:t>
      </w:r>
    </w:p>
    <w:p>
      <w:pPr>
        <w:spacing w:after="0" w:line="25" w:lineRule="exact"/>
        <w:rPr>
          <w:rFonts w:ascii="Arial" w:cs="Arial" w:eastAsia="Arial" w:hAnsi="Arial"/>
          <w:sz w:val="23"/>
          <w:szCs w:val="23"/>
          <w:color w:val="auto"/>
          <w:vertAlign w:val="superscript"/>
        </w:rPr>
      </w:pPr>
    </w:p>
    <w:p>
      <w:pPr>
        <w:ind w:left="800" w:right="720" w:hanging="454"/>
        <w:spacing w:after="0" w:line="195" w:lineRule="auto"/>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customer disputes or other issues that may impact the revenue we are able to recognize or the collectability of our related accounts receivable;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exchange rate fluctuations.</w:t>
      </w:r>
    </w:p>
    <w:p>
      <w:pPr>
        <w:spacing w:after="0" w:line="147"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margins could decrease due to increased pricing pressure or other pressures.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a change could result in lower operating margins.</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ind w:right="20"/>
        <w:spacing w:after="0" w:line="233"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Investigational New Drug Application, or IND, which must become effective before human clinical testing may begin. Further, an independent Institutional Review Board, or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Good Clinical Practice, or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obligations, and patients in the clinical trials and patients taking drugs approved on the basis of those trials may bring personal injury claims against us.</w:t>
      </w:r>
    </w:p>
    <w:p>
      <w:pPr>
        <w:spacing w:after="0"/>
        <w:rPr>
          <w:sz w:val="20"/>
          <w:szCs w:val="20"/>
          <w:color w:val="auto"/>
        </w:rPr>
      </w:pPr>
      <w:r>
        <w:rPr>
          <w:rFonts w:ascii="Arial" w:cs="Arial" w:eastAsia="Arial" w:hAnsi="Arial"/>
          <w:sz w:val="17"/>
          <w:szCs w:val="17"/>
          <w:color w:val="auto"/>
        </w:rPr>
        <w:t>Any such action could have a material adverse effect on our business, financial condition, results of operations, cash flows or reputation.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Such consequences could arise if, among other things, the following occur:</w:t>
      </w:r>
    </w:p>
    <w:p>
      <w:pPr>
        <w:spacing w:after="0" w:line="13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i w:val="1"/>
          <w:iCs w:val="1"/>
          <w:color w:val="auto"/>
        </w:rPr>
        <w:t xml:space="preserve">Improper performance of our services. </w:t>
      </w:r>
      <w:r>
        <w:rPr>
          <w:rFonts w:ascii="Arial" w:cs="Arial" w:eastAsia="Arial" w:hAnsi="Arial"/>
          <w:sz w:val="17"/>
          <w:szCs w:val="17"/>
          <w:color w:val="auto"/>
        </w:rPr>
        <w:t>The performance of clinical development services is complex and time-consuming. For example, we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185" w:lineRule="exact"/>
        <w:rPr>
          <w:sz w:val="20"/>
          <w:szCs w:val="20"/>
          <w:color w:val="auto"/>
        </w:rPr>
      </w:pPr>
    </w:p>
    <w:p>
      <w:pPr>
        <w:ind w:left="800" w:right="200" w:hanging="454"/>
        <w:spacing w:after="0" w:line="195"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non-compliance generally could result in the termination of ongoing clinical trials or the disqualification of data for submission to regulatory authorities;</w:t>
      </w:r>
    </w:p>
    <w:p>
      <w:pPr>
        <w:spacing w:after="0" w:line="26" w:lineRule="exact"/>
        <w:rPr>
          <w:rFonts w:ascii="Arial" w:cs="Arial" w:eastAsia="Arial" w:hAnsi="Arial"/>
          <w:sz w:val="25"/>
          <w:szCs w:val="25"/>
          <w:color w:val="auto"/>
          <w:vertAlign w:val="superscript"/>
        </w:rPr>
      </w:pPr>
    </w:p>
    <w:p>
      <w:pPr>
        <w:ind w:left="800" w:right="240" w:hanging="454"/>
        <w:spacing w:after="0" w:line="206"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ind w:left="800" w:hanging="454"/>
        <w:spacing w:after="0" w:line="191"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breach of a contractual term could result in liability for damages or termination of the contract.</w:t>
      </w:r>
    </w:p>
    <w:p>
      <w:pPr>
        <w:spacing w:after="0" w:line="147"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3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i w:val="1"/>
          <w:iCs w:val="1"/>
          <w:color w:val="auto"/>
        </w:rPr>
        <w:t>Investigation of customers</w:t>
      </w:r>
      <w:r>
        <w:rPr>
          <w:rFonts w:ascii="Arial" w:cs="Arial" w:eastAsia="Arial" w:hAnsi="Arial"/>
          <w:sz w:val="17"/>
          <w:szCs w:val="17"/>
          <w:color w:val="auto"/>
        </w:rPr>
        <w:t>. From time to time, one or more of our customers are investigated by regulatory authorities or enforcement agencies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2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i w:val="1"/>
          <w:iCs w:val="1"/>
          <w:color w:val="auto"/>
        </w:rPr>
        <w:t xml:space="preserve">Insufficient customer funding to complete a clinical trial. </w:t>
      </w:r>
      <w:r>
        <w:rPr>
          <w:rFonts w:ascii="Arial" w:cs="Arial" w:eastAsia="Arial" w:hAnsi="Arial"/>
          <w:sz w:val="17"/>
          <w:szCs w:val="17"/>
          <w:color w:val="auto"/>
        </w:rPr>
        <w:t>As noted above, clinical trials can cost tens of millions of dollars. There is a risk that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initiate 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2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i w:val="1"/>
          <w:iCs w:val="1"/>
          <w:color w:val="auto"/>
        </w:rPr>
        <w:t xml:space="preserve">Interactive voice/web response service malfunction. </w:t>
      </w:r>
      <w:r>
        <w:rPr>
          <w:rFonts w:ascii="Arial" w:cs="Arial" w:eastAsia="Arial" w:hAnsi="Arial"/>
          <w:sz w:val="17"/>
          <w:szCs w:val="17"/>
          <w:color w:val="auto"/>
        </w:rPr>
        <w:t>We develop and maintain our own, and also use third-parties to run, interactive voice/web</w:t>
      </w:r>
      <w:r>
        <w:rPr>
          <w:rFonts w:ascii="Arial" w:cs="Arial" w:eastAsia="Arial" w:hAnsi="Arial"/>
          <w:sz w:val="17"/>
          <w:szCs w:val="17"/>
          <w:i w:val="1"/>
          <w:iCs w:val="1"/>
          <w:color w:val="auto"/>
        </w:rPr>
        <w:t xml:space="preserve"> </w:t>
      </w:r>
      <w:r>
        <w:rPr>
          <w:rFonts w:ascii="Arial" w:cs="Arial" w:eastAsia="Arial" w:hAnsi="Arial"/>
          <w:sz w:val="17"/>
          <w:szCs w:val="17"/>
          <w:color w:val="auto"/>
        </w:rPr>
        <w:t>response 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majority of our Phase I through 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 For more information on our growth strategies see “Business—Our Growth Strategy.”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the services of key personnel or are unable to recruit experienced personnel, our business could be adversely affected.</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success substantially depends on the collective performance, contributions and expertise of our senior management team, including Dr. August J. Troendle, our Chief Executive Officer and founder, and other key personnel including qualified management, professional, scientific and technical operating staff and qualified sales representatives for our contract sales services. There is significant competition for qualified personnel in the biopharmaceutical services industry, particularly for those with higher educational degrees, such as a medical degree, a Doctor of Philosophy, or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2"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108"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disruption, impairment or failure of data centers, telecommunications facilities or other key infrastructure platforms;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security breaches of, cyberattacks on and other failures or malfunctions in our critical application systems or their associated hardware;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excessive costs, excessive delays or other deficiencies in systems development and deployment.</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are unable to manage our growth effectively.</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that sustained growth places a strain on operational, human and financial resources. To manage our growth, we must continue to improve our operating and administrative systems and to attract and retain qualified 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35" w:lineRule="exact"/>
        <w:rPr>
          <w:sz w:val="20"/>
          <w:szCs w:val="20"/>
          <w:color w:val="auto"/>
        </w:rPr>
      </w:pPr>
    </w:p>
    <w:p>
      <w:pPr>
        <w:ind w:right="820"/>
        <w:spacing w:after="0" w:line="268" w:lineRule="auto"/>
        <w:rPr>
          <w:sz w:val="20"/>
          <w:szCs w:val="20"/>
          <w:color w:val="auto"/>
        </w:rPr>
      </w:pPr>
      <w:r>
        <w:rPr>
          <w:rFonts w:ascii="Arial" w:cs="Arial" w:eastAsia="Arial" w:hAnsi="Arial"/>
          <w:sz w:val="17"/>
          <w:szCs w:val="17"/>
          <w:b w:val="1"/>
          <w:bCs w:val="1"/>
          <w:i w:val="1"/>
          <w:iCs w:val="1"/>
          <w:color w:val="auto"/>
        </w:rPr>
        <w:t>Our customer or therapeutic area concentration may have a material adverse effect on our business, financial condition, results of operations or cash flows.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Although we did not have any customer that represented 10% or more of our net service revenue during the Successor three months ended March 31, 2016 or the Successor year ended December 31, 2015, we derive a significant portion of our revenues from a limited number of large customers. For the Successor three months ended March 31, 2016, we derived 39.5% and 8.1% of our net service revenue from our top 10 customers and our largest customer, respectively. For the Successor year ended December 31, 2015, we derived 39.9% and 6.9% of our net service revenue from our top 10 customers and our largest customer, respectively. For more information about our largest customer, see “Certain Relationships and Related Person Transactions—Service Agreements.” In addition, approximately 43.5% and 7.4% of our backlog, as of March 31, 2016, was concentrated among our top 10 customers and our largest customer by backlog concentration, respectively. Moreover, 4.6% of our backlog, as of March 31, 2016, was concentrated with our largest customer.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4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 In addition, scientific information or regulatory decisions may prejudice the products as a class, leading to compelled or voluntary limitations on the products’ use or withdrawal of some or all of the products from the market.</w:t>
      </w:r>
    </w:p>
    <w:p>
      <w:pPr>
        <w:spacing w:after="0" w:line="36"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b w:val="1"/>
          <w:bCs w:val="1"/>
          <w:i w:val="1"/>
          <w:iCs w:val="1"/>
          <w:color w:val="auto"/>
        </w:rPr>
        <w:t>Our business is subject to international economic, political and other risks that could negatively affect our results of operations and financial condition.</w:t>
      </w:r>
    </w:p>
    <w:p>
      <w:pPr>
        <w:spacing w:after="0" w:line="2"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have significant operations in foreign countries, including, but not limited to, countries in Europe, Latin America, Asia, the Middle East and Africa, that may require complex arrangements to deliver services on global contracts for our customers. As of March 31, 2016 and December 31, 2015, approximately 35% of our workforce was located outside of North America, and for the Successor three months ended March 31, 2016 and the Successor year ended December 31, 2015, 7.6% and 8.4% of our revenue was denominated in currencies other than the U.S. dollar, respectively. As a result, we are subject to heightened risks inherent in conducting business internationally, including the following:</w:t>
      </w:r>
    </w:p>
    <w:p>
      <w:pPr>
        <w:spacing w:after="0" w:line="191" w:lineRule="exact"/>
        <w:rPr>
          <w:sz w:val="20"/>
          <w:szCs w:val="20"/>
          <w:color w:val="auto"/>
        </w:rPr>
      </w:pPr>
    </w:p>
    <w:p>
      <w:pPr>
        <w:ind w:left="800" w:right="80" w:hanging="454"/>
        <w:spacing w:after="0" w:line="206"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spacing w:after="0" w:line="25"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spacing w:after="0" w:line="26" w:lineRule="exact"/>
        <w:rPr>
          <w:rFonts w:ascii="Arial" w:cs="Arial" w:eastAsia="Arial" w:hAnsi="Arial"/>
          <w:sz w:val="25"/>
          <w:szCs w:val="25"/>
          <w:color w:val="auto"/>
          <w:vertAlign w:val="superscript"/>
        </w:rPr>
      </w:pPr>
    </w:p>
    <w:p>
      <w:pPr>
        <w:ind w:left="800" w:right="220" w:hanging="454"/>
        <w:spacing w:after="0" w:line="206"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25" w:lineRule="exact"/>
        <w:rPr>
          <w:rFonts w:ascii="Arial" w:cs="Arial" w:eastAsia="Arial" w:hAnsi="Arial"/>
          <w:sz w:val="25"/>
          <w:szCs w:val="25"/>
          <w:color w:val="auto"/>
          <w:vertAlign w:val="superscript"/>
        </w:rPr>
      </w:pPr>
    </w:p>
    <w:p>
      <w:pPr>
        <w:ind w:left="800" w:right="120" w:hanging="454"/>
        <w:spacing w:after="0" w:line="206"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25" w:lineRule="exact"/>
        <w:rPr>
          <w:rFonts w:ascii="Arial" w:cs="Arial" w:eastAsia="Arial" w:hAnsi="Arial"/>
          <w:sz w:val="25"/>
          <w:szCs w:val="25"/>
          <w:color w:val="auto"/>
          <w:vertAlign w:val="superscript"/>
        </w:rPr>
      </w:pPr>
    </w:p>
    <w:p>
      <w:pPr>
        <w:ind w:left="800" w:right="44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the regulatory or judicial authorities of foreign countries may not enforce legal rights and recognize business procedures in a manner to which we are accustomed or would reasonably expect;</w:t>
      </w:r>
    </w:p>
    <w:p>
      <w:pPr>
        <w:spacing w:after="0" w:line="26" w:lineRule="exact"/>
        <w:rPr>
          <w:rFonts w:ascii="Arial" w:cs="Arial" w:eastAsia="Arial" w:hAnsi="Arial"/>
          <w:sz w:val="25"/>
          <w:szCs w:val="25"/>
          <w:color w:val="auto"/>
          <w:vertAlign w:val="superscript"/>
        </w:rPr>
      </w:pPr>
    </w:p>
    <w:p>
      <w:pPr>
        <w:ind w:left="800" w:right="46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we may have difficulty complying with a variety of laws and regulations in foreign countries, some of which may conflict with laws in the United States;</w:t>
      </w:r>
    </w:p>
    <w:p>
      <w:pPr>
        <w:spacing w:after="0" w:line="26" w:lineRule="exact"/>
        <w:rPr>
          <w:rFonts w:ascii="Arial" w:cs="Arial" w:eastAsia="Arial" w:hAnsi="Arial"/>
          <w:sz w:val="25"/>
          <w:szCs w:val="25"/>
          <w:color w:val="auto"/>
          <w:vertAlign w:val="superscript"/>
        </w:rPr>
      </w:pPr>
    </w:p>
    <w:p>
      <w:pPr>
        <w:ind w:left="800" w:right="100" w:hanging="454"/>
        <w:spacing w:after="0" w:line="206"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25" w:lineRule="exact"/>
        <w:rPr>
          <w:rFonts w:ascii="Arial" w:cs="Arial" w:eastAsia="Arial" w:hAnsi="Arial"/>
          <w:sz w:val="25"/>
          <w:szCs w:val="25"/>
          <w:color w:val="auto"/>
          <w:vertAlign w:val="superscript"/>
        </w:rPr>
      </w:pPr>
    </w:p>
    <w:p>
      <w:pPr>
        <w:ind w:left="800" w:right="16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changes in political and economic conditions, including inflation, may lead to changes in the business environment in which we operate, as well as changes in foreign currency exchange rates;</w:t>
      </w:r>
    </w:p>
    <w:p>
      <w:pPr>
        <w:spacing w:after="0" w:line="26" w:lineRule="exact"/>
        <w:rPr>
          <w:rFonts w:ascii="Arial" w:cs="Arial" w:eastAsia="Arial" w:hAnsi="Arial"/>
          <w:sz w:val="25"/>
          <w:szCs w:val="25"/>
          <w:color w:val="auto"/>
          <w:vertAlign w:val="superscript"/>
        </w:rPr>
      </w:pPr>
    </w:p>
    <w:p>
      <w:pPr>
        <w:ind w:left="800" w:right="10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foreign governments may enact currency exchange controls that may limit the ability to fund our operations or significantly increase the cost of maintaining operations;</w:t>
      </w:r>
    </w:p>
    <w:p>
      <w:pPr>
        <w:spacing w:after="0" w:line="26" w:lineRule="exact"/>
        <w:rPr>
          <w:rFonts w:ascii="Arial" w:cs="Arial" w:eastAsia="Arial" w:hAnsi="Arial"/>
          <w:sz w:val="25"/>
          <w:szCs w:val="25"/>
          <w:color w:val="auto"/>
          <w:vertAlign w:val="superscript"/>
        </w:rPr>
      </w:pPr>
    </w:p>
    <w:p>
      <w:pPr>
        <w:ind w:left="800" w:right="10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customers in foreign jurisdictions may have longer payment cycles, and it may be more difficult to collect receivables in foreign jurisdictions; and</w:t>
      </w:r>
    </w:p>
    <w:p>
      <w:pPr>
        <w:spacing w:after="0" w:line="26" w:lineRule="exact"/>
        <w:rPr>
          <w:rFonts w:ascii="Arial" w:cs="Arial" w:eastAsia="Arial" w:hAnsi="Arial"/>
          <w:sz w:val="25"/>
          <w:szCs w:val="25"/>
          <w:color w:val="auto"/>
          <w:vertAlign w:val="superscript"/>
        </w:rPr>
      </w:pPr>
    </w:p>
    <w:p>
      <w:pPr>
        <w:ind w:left="800" w:right="18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natural disasters, pandemics or international conflict, including terrorist acts, could interrupt our services, endanger our personnel or cause project delays or loss of trial materials or results.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47"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ind w:right="180"/>
        <w:spacing w:after="0" w:line="233" w:lineRule="auto"/>
        <w:rPr>
          <w:sz w:val="20"/>
          <w:szCs w:val="20"/>
          <w:color w:val="auto"/>
        </w:rPr>
      </w:pPr>
      <w:r>
        <w:rPr>
          <w:rFonts w:ascii="Arial" w:cs="Arial" w:eastAsia="Arial" w:hAnsi="Arial"/>
          <w:sz w:val="17"/>
          <w:szCs w:val="17"/>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 financial condition and results of operations. In addition, the U.S. or other governments may seek to hold us liable for successor liability FCPA violations or violations of other anti-corruption laws committed by companies in which we invest or that we acquired or will acquire.</w:t>
      </w:r>
    </w:p>
    <w:p>
      <w:pPr>
        <w:spacing w:after="0" w:line="49"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b w:val="1"/>
          <w:bCs w:val="1"/>
          <w:i w:val="1"/>
          <w:iCs w:val="1"/>
          <w:color w:val="auto"/>
        </w:rPr>
        <w:t>In the past, we have had net losses and we may report net losses in the future, which could negatively impact our ability to achieve or sustain profitability.</w:t>
      </w:r>
    </w:p>
    <w:p>
      <w:pPr>
        <w:ind w:right="100"/>
        <w:spacing w:after="0" w:line="235" w:lineRule="auto"/>
        <w:rPr>
          <w:sz w:val="20"/>
          <w:szCs w:val="20"/>
          <w:color w:val="auto"/>
        </w:rPr>
      </w:pPr>
      <w:r>
        <w:rPr>
          <w:rFonts w:ascii="Arial" w:cs="Arial" w:eastAsia="Arial" w:hAnsi="Arial"/>
          <w:sz w:val="17"/>
          <w:szCs w:val="17"/>
          <w:color w:val="auto"/>
        </w:rPr>
        <w:t>In the past, we have had net losses and we cannot assure you that we will achieve or sustain profitability on a quarterly or annual basis in the future. For the Successor three months ended March 31, 2016 and March 31, 2015, the Successor year ended December 31, 2015, the Successor nine month period ended December 31, 2014, the Predecessor three month period ended March 31, 2014 and the Predecessor year ended December 31, 2013 our net income (loss) was $3.4 million, $(0.1) million, $(8.7) million, $(14.3) million, $(1.2) million and $24.8 million, respectively. If we cannot reach or maintain profitability, the value of our stock price may be impacted.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effective income tax rate may fluctuate, which may adversely affect our operations, earnings and earnings per share.</w:t>
      </w:r>
    </w:p>
    <w:p>
      <w:pPr>
        <w:spacing w:after="0" w:line="4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affect our effective income tax rate include, but are not limited to:</w:t>
      </w:r>
    </w:p>
    <w:p>
      <w:pPr>
        <w:spacing w:after="0" w:line="196" w:lineRule="exact"/>
        <w:rPr>
          <w:sz w:val="20"/>
          <w:szCs w:val="20"/>
          <w:color w:val="auto"/>
        </w:rPr>
      </w:pPr>
    </w:p>
    <w:p>
      <w:pPr>
        <w:ind w:left="800" w:right="4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requirement to exclude from our quarterly worldwide effective income tax calculations losses in jurisdictions where no income tax benefit can be recognized;</w:t>
      </w:r>
    </w:p>
    <w:p>
      <w:pPr>
        <w:spacing w:after="0" w:line="26" w:lineRule="exact"/>
        <w:rPr>
          <w:rFonts w:ascii="Arial" w:cs="Arial" w:eastAsia="Arial" w:hAnsi="Arial"/>
          <w:sz w:val="25"/>
          <w:szCs w:val="25"/>
          <w:color w:val="auto"/>
          <w:vertAlign w:val="superscript"/>
        </w:rPr>
      </w:pPr>
    </w:p>
    <w:p>
      <w:pPr>
        <w:ind w:left="800" w:right="82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actual and projected full year pre-tax income, including differences between actual and anticipated income before taxes in various jurisdictions;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changes in tax laws, or in the interpretation or application of tax laws, in various taxing jurisdictions;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audits or other challenges by taxing authorities;</w:t>
      </w:r>
    </w:p>
    <w:p>
      <w:pPr>
        <w:spacing w:after="0" w:line="25" w:lineRule="exact"/>
        <w:rPr>
          <w:rFonts w:ascii="Arial" w:cs="Arial" w:eastAsia="Arial" w:hAnsi="Arial"/>
          <w:sz w:val="23"/>
          <w:szCs w:val="23"/>
          <w:color w:val="auto"/>
          <w:vertAlign w:val="superscript"/>
        </w:rPr>
      </w:pPr>
    </w:p>
    <w:p>
      <w:pPr>
        <w:ind w:left="800" w:right="8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establishment of valuation allowances against a portion or all of certain deferred income tax assets if we determined that it is more likely than not that future income tax benefits will not be realized;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changes in the relative mix and size of clinical trials and staffing levels in various tax jurisdictions.</w:t>
      </w:r>
    </w:p>
    <w:p>
      <w:pPr>
        <w:spacing w:after="0" w:line="147"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These changes may cause fluctuations in our effective income tax rate that could adversely affect our results of operations and cause fluctuations in our earnings and earnings per share.</w:t>
      </w:r>
    </w:p>
    <w:p>
      <w:pPr>
        <w:spacing w:after="0" w:line="4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234"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4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we are unable to recruit suitable investigators and enroll patients for our customers’ clinical trials, our clinical development business may suffer.</w:t>
      </w:r>
    </w:p>
    <w:p>
      <w:pPr>
        <w:spacing w:after="0" w:line="234" w:lineRule="auto"/>
        <w:rPr>
          <w:sz w:val="20"/>
          <w:szCs w:val="20"/>
          <w:color w:val="auto"/>
        </w:rPr>
      </w:pPr>
      <w:r>
        <w:rPr>
          <w:rFonts w:ascii="Arial" w:cs="Arial" w:eastAsia="Arial" w:hAnsi="Arial"/>
          <w:sz w:val="17"/>
          <w:szCs w:val="17"/>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49"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b w:val="1"/>
          <w:bCs w:val="1"/>
          <w:i w:val="1"/>
          <w:iCs w:val="1"/>
          <w:color w:val="auto"/>
        </w:rPr>
        <w:t>Our research and development services could subject us to potential liability that may adversely affect our results of operations and financial condition.</w:t>
      </w:r>
    </w:p>
    <w:p>
      <w:pPr>
        <w:ind w:right="20"/>
        <w:spacing w:after="0" w:line="234" w:lineRule="auto"/>
        <w:rPr>
          <w:sz w:val="20"/>
          <w:szCs w:val="20"/>
          <w:color w:val="auto"/>
        </w:rPr>
      </w:pPr>
      <w:r>
        <w:rPr>
          <w:rFonts w:ascii="Arial" w:cs="Arial" w:eastAsia="Arial" w:hAnsi="Arial"/>
          <w:sz w:val="17"/>
          <w:szCs w:val="17"/>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49" w:lineRule="exact"/>
        <w:rPr>
          <w:sz w:val="20"/>
          <w:szCs w:val="20"/>
          <w:color w:val="auto"/>
        </w:rPr>
      </w:pPr>
    </w:p>
    <w:p>
      <w:pPr>
        <w:ind w:right="520"/>
        <w:spacing w:after="0" w:line="261" w:lineRule="auto"/>
        <w:rPr>
          <w:sz w:val="20"/>
          <w:szCs w:val="20"/>
          <w:color w:val="auto"/>
        </w:rPr>
      </w:pPr>
      <w:r>
        <w:rPr>
          <w:rFonts w:ascii="Arial" w:cs="Arial" w:eastAsia="Arial" w:hAnsi="Arial"/>
          <w:sz w:val="17"/>
          <w:szCs w:val="17"/>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ind w:right="40"/>
        <w:spacing w:after="0" w:line="235" w:lineRule="auto"/>
        <w:rPr>
          <w:sz w:val="20"/>
          <w:szCs w:val="20"/>
          <w:color w:val="auto"/>
        </w:rPr>
      </w:pPr>
      <w:r>
        <w:rPr>
          <w:rFonts w:ascii="Arial" w:cs="Arial" w:eastAsia="Arial" w:hAnsi="Arial"/>
          <w:sz w:val="17"/>
          <w:szCs w:val="17"/>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cover all of our indemnification obligations and other liabilities associated with our operations.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4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For the Successor three months ended March 31, 2016 and the Successor year ended December 31, 2015, approximately 7.6% and 8.4% of our revenue was denominated in currencies other than U.S. dollars, respectively, and 24.6% and 24.9% of our operational costs, including, but not limited to, salaries, wages and other employee benefits were denominated in foreign currencies, respectively. Of these exposures, 95.7% and 94.9% of our revenue denominated in foreign currencies, respectively, and 45.9% and 46.8% of our operational costs denominated in foreign currencies, respectively,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51"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48" w:lineRule="exact"/>
        <w:rPr>
          <w:sz w:val="20"/>
          <w:szCs w:val="20"/>
          <w:color w:val="auto"/>
        </w:rPr>
      </w:pPr>
    </w:p>
    <w:p>
      <w:pPr>
        <w:jc w:val="both"/>
        <w:ind w:right="560"/>
        <w:spacing w:after="0" w:line="238"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47"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right="160"/>
        <w:spacing w:after="0" w:line="234" w:lineRule="auto"/>
        <w:rPr>
          <w:sz w:val="20"/>
          <w:szCs w:val="20"/>
          <w:color w:val="auto"/>
        </w:rPr>
      </w:pPr>
      <w:r>
        <w:rPr>
          <w:rFonts w:ascii="Arial" w:cs="Arial" w:eastAsia="Arial" w:hAnsi="Arial"/>
          <w:sz w:val="17"/>
          <w:szCs w:val="17"/>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biopharmaceutical customers from using our services or, in certain instances, may result in our customers seeking to place limits on 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47"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b w:val="1"/>
          <w:bCs w:val="1"/>
          <w:i w:val="1"/>
          <w:iCs w:val="1"/>
          <w:color w:val="auto"/>
        </w:rPr>
        <w:t>If we are unable to successfully integrate potential future acquisitions, our business, financial condition, results of operations and cash flows could be adversely affected.</w:t>
      </w:r>
    </w:p>
    <w:p>
      <w:pPr>
        <w:ind w:right="240"/>
        <w:spacing w:after="0" w:line="234"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233" w:lineRule="auto"/>
        <w:rPr>
          <w:sz w:val="20"/>
          <w:szCs w:val="20"/>
          <w:color w:val="auto"/>
        </w:rPr>
      </w:pPr>
      <w:r>
        <w:rPr>
          <w:rFonts w:ascii="Arial" w:cs="Arial" w:eastAsia="Arial" w:hAnsi="Arial"/>
          <w:sz w:val="17"/>
          <w:szCs w:val="17"/>
          <w:color w:val="auto"/>
        </w:rPr>
        <w:t>Our balance sheet reflects goodwill and intangibles assets of $661.0 million and $174.1 million, respectively, as of March 31, 2016. Collectively, goodwill and intangibles assets represented 84.0% of our total assets as of March 31, 2016. Our goodwill was recorded in connection with the Transaction.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 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or certain other tax attributes may be limited.</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(including in connection with this offering).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Our operations involve the use and disposal of hazardous substances and waste which can give rise to liability that could adversely impact our financial condition.</w:t>
      </w:r>
    </w:p>
    <w:p>
      <w:pPr>
        <w:spacing w:after="0" w:line="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conduct activities that have involved, and may continue to involve, the controlled use of hazardous materials and the creation of hazardous substances, including medical waste and other highly regulated substances. As a result, 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3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only a limited ability to protect our intellectual property rights, and these rights are important to our success.</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future investments in our customers’ businesses or products could have a negative impact on our financial results.</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might be affected by the occurrence of a natural disaster or other catastrophic event.</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7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Outsourcing trends in the biopharmaceutical industry and changes in aggregate expenditures and R&amp;D budgets could adversely affect our operating results and growth rate.</w:t>
      </w:r>
    </w:p>
    <w:p>
      <w:pPr>
        <w:ind w:right="220"/>
        <w:spacing w:after="0" w:line="234" w:lineRule="auto"/>
        <w:rPr>
          <w:sz w:val="20"/>
          <w:szCs w:val="20"/>
          <w:color w:val="auto"/>
        </w:rPr>
      </w:pPr>
      <w:r>
        <w:rPr>
          <w:rFonts w:ascii="Arial" w:cs="Arial" w:eastAsia="Arial" w:hAnsi="Arial"/>
          <w:sz w:val="17"/>
          <w:szCs w:val="17"/>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 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in many areas of our business and, if we do not compete effectively, our business may be harmed.</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5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ind w:right="20"/>
        <w:spacing w:after="0" w:line="234" w:lineRule="auto"/>
        <w:rPr>
          <w:sz w:val="20"/>
          <w:szCs w:val="20"/>
          <w:color w:val="auto"/>
        </w:rPr>
      </w:pPr>
      <w:r>
        <w:rPr>
          <w:rFonts w:ascii="Arial" w:cs="Arial" w:eastAsia="Arial" w:hAnsi="Arial"/>
          <w:sz w:val="17"/>
          <w:szCs w:val="17"/>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consolidation in the biopharmaceutical industry could lead to a reduction in our revenues.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biopharmaceutical industry is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4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jc w:val="both"/>
        <w:ind w:right="20"/>
        <w:spacing w:after="0" w:line="234"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5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233" w:lineRule="auto"/>
        <w:rPr>
          <w:sz w:val="20"/>
          <w:szCs w:val="20"/>
          <w:color w:val="auto"/>
        </w:rPr>
      </w:pPr>
      <w:r>
        <w:rPr>
          <w:rFonts w:ascii="Arial" w:cs="Arial" w:eastAsia="Arial" w:hAnsi="Arial"/>
          <w:sz w:val="17"/>
          <w:szCs w:val="17"/>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 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the European Union, or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February 2016, the European Commission issued the proposed legal texts of the EU-U.S. Privacy Shield, which is intended to replace the U.S. Safe Harbor Scheme. These legal texts are currently under review by the European legislative bodies and it is unclear when they will be approved and when data exports out of the EU will be allowed to take place under the new framework.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64" w:lineRule="exact"/>
        <w:rPr>
          <w:sz w:val="20"/>
          <w:szCs w:val="20"/>
          <w:color w:val="auto"/>
        </w:rPr>
      </w:pPr>
    </w:p>
    <w:p>
      <w:pPr>
        <w:ind w:right="780"/>
        <w:spacing w:after="0" w:line="261" w:lineRule="auto"/>
        <w:rPr>
          <w:sz w:val="20"/>
          <w:szCs w:val="20"/>
          <w:color w:val="auto"/>
        </w:rPr>
      </w:pPr>
      <w:r>
        <w:rPr>
          <w:rFonts w:ascii="Arial" w:cs="Arial" w:eastAsia="Arial" w:hAnsi="Arial"/>
          <w:sz w:val="17"/>
          <w:szCs w:val="17"/>
          <w:b w:val="1"/>
          <w:bCs w:val="1"/>
          <w:i w:val="1"/>
          <w:iCs w:val="1"/>
          <w:color w:val="auto"/>
        </w:rPr>
        <w:t>The biopharmaceutical industry has a history of patent and other intellectual property litigation, and we might be involved in costly intellectual property lawsuits.</w:t>
      </w:r>
    </w:p>
    <w:p>
      <w:pPr>
        <w:ind w:right="20"/>
        <w:spacing w:after="0" w:line="234" w:lineRule="auto"/>
        <w:rPr>
          <w:sz w:val="20"/>
          <w:szCs w:val="20"/>
          <w:color w:val="auto"/>
        </w:rPr>
      </w:pPr>
      <w:r>
        <w:rPr>
          <w:rFonts w:ascii="Arial" w:cs="Arial" w:eastAsia="Arial" w:hAnsi="Arial"/>
          <w:sz w:val="17"/>
          <w:szCs w:val="17"/>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49"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b w:val="1"/>
          <w:bCs w:val="1"/>
          <w:i w:val="1"/>
          <w:iCs w:val="1"/>
          <w:color w:val="auto"/>
        </w:rPr>
        <w:t>Actions by regulatory authorities or customers to limit the scope of or withdraw an approved drug, biologic or medical device from the market could result in a loss of revenue.</w:t>
      </w:r>
    </w:p>
    <w:p>
      <w:pPr>
        <w:ind w:right="220"/>
        <w:spacing w:after="0" w:line="236"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services with respect to such products, which would prevent us from earning the full amount of net service revenue anticipated under the related service contracts.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keep pace with rapid technological changes, our services may become less competitive or obsolete.</w:t>
      </w:r>
    </w:p>
    <w:p>
      <w:pPr>
        <w:spacing w:after="0" w:line="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4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234" w:lineRule="auto"/>
        <w:rPr>
          <w:sz w:val="20"/>
          <w:szCs w:val="20"/>
          <w:color w:val="auto"/>
        </w:rPr>
      </w:pPr>
      <w:r>
        <w:rPr>
          <w:rFonts w:ascii="Arial" w:cs="Arial" w:eastAsia="Arial" w:hAnsi="Arial"/>
          <w:sz w:val="17"/>
          <w:szCs w:val="17"/>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73"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Our indebtedness could adversely affect our financial condition and prevent us from fulfilling our debt obligations and may otherwise restrict our activities.</w:t>
      </w:r>
    </w:p>
    <w:p>
      <w:pPr>
        <w:ind w:right="60"/>
        <w:spacing w:after="0" w:line="232" w:lineRule="auto"/>
        <w:rPr>
          <w:sz w:val="20"/>
          <w:szCs w:val="20"/>
          <w:color w:val="auto"/>
        </w:rPr>
      </w:pPr>
      <w:r>
        <w:rPr>
          <w:rFonts w:ascii="Arial" w:cs="Arial" w:eastAsia="Arial" w:hAnsi="Arial"/>
          <w:sz w:val="17"/>
          <w:szCs w:val="17"/>
          <w:color w:val="auto"/>
        </w:rPr>
        <w:t>Our Senior Secured Credit Facilities consist of a $60.0 million Senior Secured Revolving Credit Facility maturing in April 2019 and a $530.0 Senior Secured Term Loan Facility maturing in April 2021. On an as adjusted basis, after giving effect to this offering and the use of proceeds therefrom, as of</w:t>
      </w:r>
    </w:p>
    <w:p>
      <w:pPr>
        <w:ind w:right="40"/>
        <w:spacing w:after="0" w:line="235" w:lineRule="auto"/>
        <w:rPr>
          <w:sz w:val="20"/>
          <w:szCs w:val="20"/>
          <w:color w:val="auto"/>
        </w:rPr>
      </w:pPr>
      <w:r>
        <w:rPr>
          <w:rFonts w:ascii="Arial" w:cs="Arial" w:eastAsia="Arial" w:hAnsi="Arial"/>
          <w:sz w:val="17"/>
          <w:szCs w:val="17"/>
          <w:color w:val="auto"/>
        </w:rPr>
        <w:t>March 31, 2016, we would have had approximately $ million of outstanding indebtedness under our Senior Secured Term Loan Facility and no borrowings outstanding under our Senior Secured Revolving Credit Facility. In addition, we would have had up to $60.0 million of additional borrowing capacity available under our Senior Secured Revolving Credit Facility. Our substantial indebtedness could adversely affect our financial condition and thus make it more difficult for us to satisfy our obligations with respect to our Senior Secured Credit Facilities. If our cash flow is not sufficient to service our debt and adequately fund our business, we may be required to seek further additional financing or refinancing or dispose of assets. We might not be able to influence any of these alternatives on satisfactory terms or at all. Our substantial indebtedness could also:</w:t>
      </w:r>
    </w:p>
    <w:p>
      <w:pPr>
        <w:spacing w:after="0" w:line="106"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increase our vulnerability to adverse general economic, industry or competitive developments;</w:t>
      </w:r>
    </w:p>
    <w:p>
      <w:pPr>
        <w:spacing w:after="0" w:line="24" w:lineRule="exact"/>
        <w:rPr>
          <w:rFonts w:ascii="Arial" w:cs="Arial" w:eastAsia="Arial" w:hAnsi="Arial"/>
          <w:sz w:val="25"/>
          <w:szCs w:val="25"/>
          <w:color w:val="auto"/>
          <w:vertAlign w:val="superscript"/>
        </w:rPr>
      </w:pPr>
    </w:p>
    <w:p>
      <w:pPr>
        <w:jc w:val="both"/>
        <w:ind w:left="800" w:right="14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limit our ability to fund a change of control offer;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require us to sell certain assets;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restrict us from making strategic investments, including acquisitions or cause us to make non-strategic divestitures;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limit our flexibility in planning for, or reacting to, changes in market conditions, our business and the industry in which we operate;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place us at a competitive disadvantage compared to our competitors that have less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cause us to incur substantial fees from time to time in connection with debt amendments or refinancings;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increase our exposure to rising interest rates because a portion of our borrowings is at variable interest rates; and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limit our ability to borrow additional funds or to borrow on terms that are satisfactory to us.</w:t>
      </w:r>
    </w:p>
    <w:p>
      <w:pPr>
        <w:spacing w:after="0" w:line="147"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For more information about our indebtedness, see “Management’s Discussion and Analysis of Financial Condition and Results of Operations— Liquidity and Capital Resources—Indebtedness.”</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ind w:right="100"/>
        <w:spacing w:after="0" w:line="238" w:lineRule="auto"/>
        <w:rPr>
          <w:sz w:val="20"/>
          <w:szCs w:val="20"/>
          <w:color w:val="auto"/>
        </w:rPr>
      </w:pPr>
      <w:r>
        <w:rPr>
          <w:rFonts w:ascii="Arial" w:cs="Arial" w:eastAsia="Arial" w:hAnsi="Arial"/>
          <w:sz w:val="17"/>
          <w:szCs w:val="17"/>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 restrictions under our Senior Secured Credit Facilities may limit our ability to operate our business.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agreement governing our Senior Secured Credit Facilities contains covenants that may restrict our ability to, among other things:</w:t>
      </w:r>
    </w:p>
    <w:p>
      <w:pPr>
        <w:spacing w:after="0" w:line="113" w:lineRule="exact"/>
        <w:rPr>
          <w:sz w:val="20"/>
          <w:szCs w:val="20"/>
          <w:color w:val="auto"/>
        </w:rPr>
      </w:pPr>
    </w:p>
    <w:p>
      <w:pPr>
        <w:ind w:left="800" w:hanging="454"/>
        <w:spacing w:after="0"/>
        <w:tabs>
          <w:tab w:leader="none" w:pos="800" w:val="left"/>
        </w:tabs>
        <w:numPr>
          <w:ilvl w:val="0"/>
          <w:numId w:val="27"/>
        </w:numPr>
        <w:rPr>
          <w:rFonts w:ascii="Arial" w:cs="Arial" w:eastAsia="Arial" w:hAnsi="Arial"/>
          <w:sz w:val="25"/>
          <w:szCs w:val="25"/>
          <w:color w:val="auto"/>
          <w:vertAlign w:val="superscript"/>
        </w:rPr>
      </w:pPr>
      <w:r>
        <w:rPr>
          <w:rFonts w:ascii="Arial" w:cs="Arial" w:eastAsia="Arial" w:hAnsi="Arial"/>
          <w:sz w:val="17"/>
          <w:szCs w:val="17"/>
          <w:color w:val="auto"/>
        </w:rPr>
        <w:t>create, incur or assume any lien upon any of our property, assets or revenue;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7"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March 31, 2016 we maintained a net debt to consolidated EBITDA leverage ratio, as defined under the Senior Secured Credit Facilities, of 3.11:1.00. As of March 31, 2016, we were in compliance with all covenants under our Senior Secured Credit Agreement.</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Although the covenants in our Senior Secured Credit Facilities are subject to various exceptions, we cannot assure you that these covenants will not adversely affect our ability to finance future operations or capital needs or to 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satisfy our debt obligations will depend upon, among other things:</w:t>
      </w:r>
    </w:p>
    <w:p>
      <w:pPr>
        <w:spacing w:after="0" w:line="196" w:lineRule="exact"/>
        <w:rPr>
          <w:sz w:val="20"/>
          <w:szCs w:val="20"/>
          <w:color w:val="auto"/>
        </w:rPr>
      </w:pPr>
    </w:p>
    <w:p>
      <w:pPr>
        <w:ind w:left="800" w:right="180" w:hanging="454"/>
        <w:spacing w:after="0" w:line="195" w:lineRule="auto"/>
        <w:tabs>
          <w:tab w:leader="none" w:pos="800" w:val="left"/>
        </w:tabs>
        <w:numPr>
          <w:ilvl w:val="0"/>
          <w:numId w:val="28"/>
        </w:numPr>
        <w:rPr>
          <w:rFonts w:ascii="Arial" w:cs="Arial" w:eastAsia="Arial" w:hAnsi="Arial"/>
          <w:sz w:val="25"/>
          <w:szCs w:val="25"/>
          <w:color w:val="auto"/>
          <w:vertAlign w:val="superscript"/>
        </w:rPr>
      </w:pPr>
      <w:r>
        <w:rPr>
          <w:rFonts w:ascii="Arial" w:cs="Arial" w:eastAsia="Arial" w:hAnsi="Arial"/>
          <w:sz w:val="17"/>
          <w:szCs w:val="17"/>
          <w:color w:val="auto"/>
        </w:rPr>
        <w:t>our future financial and operating performance, which will be affected by prevailing economic conditions and financial, business, regulatory and other factors, many of which are beyond our control; and</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28"/>
        </w:numPr>
        <w:rPr>
          <w:rFonts w:ascii="Arial" w:cs="Arial" w:eastAsia="Arial" w:hAnsi="Arial"/>
          <w:sz w:val="25"/>
          <w:szCs w:val="25"/>
          <w:color w:val="auto"/>
          <w:vertAlign w:val="superscript"/>
        </w:rPr>
      </w:pPr>
      <w:r>
        <w:rPr>
          <w:rFonts w:ascii="Arial" w:cs="Arial" w:eastAsia="Arial" w:hAnsi="Arial"/>
          <w:sz w:val="17"/>
          <w:szCs w:val="17"/>
          <w:color w:val="auto"/>
        </w:rPr>
        <w:t>the future availability of borrowings under our Senior Secured Credit Facilities, which depends on, among other things, our complying with the covenants in those facilities.</w:t>
      </w:r>
    </w:p>
    <w:p>
      <w:pPr>
        <w:spacing w:after="0" w:line="148"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3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60"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b w:val="1"/>
          <w:bCs w:val="1"/>
          <w:i w:val="1"/>
          <w:iCs w:val="1"/>
          <w:color w:val="auto"/>
        </w:rPr>
        <w:t>Cinven and our Chief Executive Officer and founder will collectively control a substantial majority of our outstanding common stock following this offering and their interests may be different from or conflict with those of our other shareholders.</w:t>
      </w:r>
    </w:p>
    <w:p>
      <w:pPr>
        <w:spacing w:after="0" w:line="2"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Upon the completion of this offering, Cinven will own approximately % of the outstanding shares of our common stock (or % if the underwriters exercise their option to purchase additional shares in full) and Dr. August J. Troendle, our Chief Executive Officer and founder, through his direct</w:t>
      </w:r>
    </w:p>
    <w:p>
      <w:pPr>
        <w:ind w:right="260"/>
        <w:spacing w:after="0" w:line="232" w:lineRule="auto"/>
        <w:rPr>
          <w:sz w:val="20"/>
          <w:szCs w:val="20"/>
          <w:color w:val="auto"/>
        </w:rPr>
      </w:pPr>
      <w:r>
        <w:rPr>
          <w:rFonts w:ascii="Arial" w:cs="Arial" w:eastAsia="Arial" w:hAnsi="Arial"/>
          <w:sz w:val="17"/>
          <w:szCs w:val="17"/>
          <w:color w:val="auto"/>
        </w:rPr>
        <w:t>ownership of shares of our common stock and his beneficial ownership of shares of our common stock held by MPI, will control approximately % of the outstanding shares of our common stock (or % if the underwriters exercise their option to purchase additional shares in</w:t>
      </w:r>
    </w:p>
    <w:p>
      <w:pPr>
        <w:ind w:right="60"/>
        <w:spacing w:after="0" w:line="243" w:lineRule="auto"/>
        <w:rPr>
          <w:sz w:val="20"/>
          <w:szCs w:val="20"/>
          <w:color w:val="auto"/>
        </w:rPr>
      </w:pPr>
      <w:r>
        <w:rPr>
          <w:rFonts w:ascii="Arial" w:cs="Arial" w:eastAsia="Arial" w:hAnsi="Arial"/>
          <w:sz w:val="17"/>
          <w:szCs w:val="17"/>
          <w:color w:val="auto"/>
        </w:rPr>
        <w:t>full). Accordingly, both Cinven and Dr. Troendle will be able to exert a significant degree of influence or actual control over our management and affairs and will control all corporate actions requiring shareholder approval, irrespective of how our other shareholders may vote, including:</w:t>
      </w:r>
    </w:p>
    <w:p>
      <w:pPr>
        <w:spacing w:after="0" w:line="185" w:lineRule="exact"/>
        <w:rPr>
          <w:sz w:val="20"/>
          <w:szCs w:val="20"/>
          <w:color w:val="auto"/>
        </w:rPr>
      </w:pPr>
    </w:p>
    <w:p>
      <w:pPr>
        <w:ind w:left="800" w:right="52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subject to the voting arrangements described in “Certain Relationships and Related Person Transactions,” the election and removal of directors and the size of our board of directors, or the Board;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any amendment of our articles of incorporation or bylaws; or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approval of mergers and other significant corporate transactions, including a sale of substantially all of our assets.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Dr. Troendle has indicated an interest in purchasing shares of our common stock in this offering at the initial public offering price. If he were to</w:t>
      </w:r>
    </w:p>
    <w:p>
      <w:pPr>
        <w:spacing w:after="0" w:line="232" w:lineRule="auto"/>
        <w:rPr>
          <w:sz w:val="20"/>
          <w:szCs w:val="20"/>
          <w:color w:val="auto"/>
        </w:rPr>
      </w:pPr>
      <w:r>
        <w:rPr>
          <w:rFonts w:ascii="Arial" w:cs="Arial" w:eastAsia="Arial" w:hAnsi="Arial"/>
          <w:sz w:val="17"/>
          <w:szCs w:val="17"/>
          <w:color w:val="auto"/>
        </w:rPr>
        <w:t>purchase all of the shares he has indicated an interest in purchasing in this offering, assuming an initial public offering price of $ per share, which is the midpoint of the price range set forth on the cover page of this prospectus, he would purchase an aggregate of approximately shares, and</w:t>
      </w:r>
    </w:p>
    <w:p>
      <w:pPr>
        <w:spacing w:after="0"/>
        <w:rPr>
          <w:sz w:val="20"/>
          <w:szCs w:val="20"/>
          <w:color w:val="auto"/>
        </w:rPr>
      </w:pPr>
      <w:r>
        <w:rPr>
          <w:rFonts w:ascii="Arial" w:cs="Arial" w:eastAsia="Arial" w:hAnsi="Arial"/>
          <w:sz w:val="17"/>
          <w:szCs w:val="17"/>
          <w:color w:val="auto"/>
        </w:rPr>
        <w:t>as a result the percentage of the outstanding shares of our common stock that he would control directly or through his beneficial ownership of shares</w:t>
      </w:r>
    </w:p>
    <w:p>
      <w:pPr>
        <w:spacing w:after="0" w:line="385"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of our common stock held by MPI would increase to approximately % (or % if the underwriters exercise their option to purchase additional shares in full).</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Moreover, Cinven’s and Dr. Troendle’s share ownership may also adversely affect the trading price for our common stock to the extent investors perceive disadvantages in owning shares of a company with controlling shareholders. In addition, we have historically paid an affiliate of Cinven an annual fee for certain advisory and consulting services pursuant to an Advisory Services Agreement. See “Certain Relationships and Related Person Transactions—Advisory Fees.” The Advisory Services Agreement will be terminated in connection with the consummation of this offering.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4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Upon the listing of our common stock on NASDAQ, we will be a “controlled company” within the meaning of the rules and, as a result, will qualify for, and intend to rely on, exemptions from certain corporate governance requirements. You will not have the same protections afforded to shareholders of companies that are subject to such requirements.</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47"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107"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we have a Board that is composed of a majority of “independent directors,” as defined under the rules of such exchange;</w:t>
      </w:r>
    </w:p>
    <w:p>
      <w:pPr>
        <w:spacing w:after="0" w:line="24"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we have a compensation committee that is composed entirely of independent directors with a written charter addressing the committee’s purpose and responsibilities; and</w:t>
      </w:r>
    </w:p>
    <w:p>
      <w:pPr>
        <w:spacing w:after="0" w:line="26" w:lineRule="exact"/>
        <w:rPr>
          <w:rFonts w:ascii="Arial" w:cs="Arial" w:eastAsia="Arial" w:hAnsi="Arial"/>
          <w:sz w:val="25"/>
          <w:szCs w:val="25"/>
          <w:color w:val="auto"/>
          <w:vertAlign w:val="superscript"/>
        </w:rPr>
      </w:pPr>
    </w:p>
    <w:p>
      <w:pPr>
        <w:ind w:left="800" w:right="240" w:hanging="454"/>
        <w:spacing w:after="0" w:line="206"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After we cease to be a “controlled company,” we will be required to comply with the above-referenced requirements within one year.</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Following this offering, we will not have a nominating and corporate governance committee. Accordingly, you will not have the same protections afforded to shareholders of companies that are subject to all of the corporate governance requirements of NASDAQ. Cinven and Dr. Troendle, however, are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Except for this brief period, there can be no assurance as to the period of time during which Cinven and Dr. Troendle will maintain their ownership of our common stock following the offering. As a result, there can be no assurance as to the period of time during which we will be able to avail ourselves of the controlled company exemptions.</w:t>
      </w:r>
    </w:p>
    <w:p>
      <w:pPr>
        <w:spacing w:after="0" w:line="5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Our anti-takeover provisions could prevent or delay a change in control of our company, even if such change in control would be beneficial to our shareholders.</w:t>
      </w:r>
    </w:p>
    <w:p>
      <w:pPr>
        <w:spacing w:after="0" w:line="7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Provisions of our amended and restated certificate of incorporation and amended and restated bylaws, as they will be in effect upon completion of this offering, as well as provisions of Delaware law could discourage, delay or prevent a merger, acquisition or other change in control of our company, even if such change in control would be beneficial to our shareholders. These provisions include:</w:t>
      </w:r>
    </w:p>
    <w:p>
      <w:pPr>
        <w:spacing w:after="0" w:line="188" w:lineRule="exact"/>
        <w:rPr>
          <w:sz w:val="20"/>
          <w:szCs w:val="20"/>
          <w:color w:val="auto"/>
        </w:rPr>
      </w:pPr>
    </w:p>
    <w:p>
      <w:pPr>
        <w:ind w:left="800" w:right="260" w:hanging="454"/>
        <w:spacing w:after="0" w:line="195"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authorizing the issuance of “blank check” preferred stock that could be issued by our Board to increase the number of outstanding shares and thwart a takeover attempt;</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establishing a classified Board so that not all members of our Board are elected at one time;</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removal of directors only for cause;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prohibiting the use of cumulative voting for the election of directors;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limiting the ability of shareholders to call special meetings or amend our bylaws;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requiring all shareholder actions to be taken at a meeting of our shareholders and not by written consent; and</w:t>
      </w:r>
    </w:p>
    <w:p>
      <w:pPr>
        <w:spacing w:after="0" w:line="25" w:lineRule="exact"/>
        <w:rPr>
          <w:rFonts w:ascii="Arial" w:cs="Arial" w:eastAsia="Arial" w:hAnsi="Arial"/>
          <w:sz w:val="23"/>
          <w:szCs w:val="23"/>
          <w:color w:val="auto"/>
          <w:vertAlign w:val="superscript"/>
        </w:rPr>
      </w:pPr>
    </w:p>
    <w:p>
      <w:pPr>
        <w:ind w:left="800" w:right="180" w:hanging="454"/>
        <w:spacing w:after="0" w:line="195"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establishing advance notice and duration of ownership requirements for nominations for election to the Board or for proposing matters that can be acted upon by shareholders at shareholder meetings.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These provisions could also discourage proxy contests and make it more difficult for you and other shareholders to elect directors of your choosing and cause us to take other corporate actions you desire. In addition, because our Board is responsible for appointing the members of our management team, these provisions could in turn affect any attempt by our shareholders to replace current members of our management team.</w:t>
      </w:r>
    </w:p>
    <w:p>
      <w:pPr>
        <w:spacing w:after="0" w:line="14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33" w:lineRule="exact"/>
        <w:rPr>
          <w:sz w:val="20"/>
          <w:szCs w:val="20"/>
          <w:color w:val="auto"/>
        </w:rPr>
      </w:pPr>
    </w:p>
    <w:p>
      <w:pPr>
        <w:ind w:right="780"/>
        <w:spacing w:after="0" w:line="268" w:lineRule="auto"/>
        <w:rPr>
          <w:sz w:val="20"/>
          <w:szCs w:val="20"/>
          <w:color w:val="auto"/>
        </w:rPr>
      </w:pPr>
      <w:r>
        <w:rPr>
          <w:rFonts w:ascii="Arial" w:cs="Arial" w:eastAsia="Arial" w:hAnsi="Arial"/>
          <w:sz w:val="17"/>
          <w:szCs w:val="17"/>
          <w:b w:val="1"/>
          <w:bCs w:val="1"/>
          <w:i w:val="1"/>
          <w:iCs w:val="1"/>
          <w:color w:val="auto"/>
        </w:rPr>
        <w:t>Cinven and our non-employee directors may acquire interests and positions that could present potential conflicts with our and our shareholders’ interests.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5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amended and restated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34"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sold in this offering, you will incur immediate and substantial dilution.</w:t>
      </w:r>
    </w:p>
    <w:p>
      <w:pPr>
        <w:spacing w:after="0" w:line="54"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Dilution is the difference between the offering price per share and the net tangible book value per share of our common stock immediately after the offering. The price you pay for shares of our common stock sold in this offering is substantially higher than our net tangible book value per share immediately after this offering. If you purchase shares of common stock in this offering, you will incur immediate and substantial dilution in the amount</w:t>
      </w:r>
    </w:p>
    <w:p>
      <w:pPr>
        <w:ind w:right="60"/>
        <w:spacing w:after="0" w:line="235" w:lineRule="auto"/>
        <w:rPr>
          <w:sz w:val="20"/>
          <w:szCs w:val="20"/>
          <w:color w:val="auto"/>
        </w:rPr>
      </w:pPr>
      <w:r>
        <w:rPr>
          <w:rFonts w:ascii="Arial" w:cs="Arial" w:eastAsia="Arial" w:hAnsi="Arial"/>
          <w:sz w:val="17"/>
          <w:szCs w:val="17"/>
          <w:color w:val="auto"/>
        </w:rPr>
        <w:t>of $ per share based upon an assumed initial public offering price of $ per share (the midpoint of the price range listed on the cover page of this prospectus). In addition, you may also experience additional dilution, or potential dilution, upon future equity issuances to investors or to our employees and directors under the Plan and any other equity incentive plans we may adopt. As a result of this dilution, investors purchasing shares of common stock in this offering may receive significantly less than the full purchase price that they paid for the stock purchased in this offering in the event of liquidation. See “Dilution.”</w:t>
      </w:r>
    </w:p>
    <w:p>
      <w:pPr>
        <w:spacing w:after="0" w:line="3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We are not currently required to comply with the rules of the U.S. Securities and Exchange Commission, or the SEC, implementing Section 404 of the Sarbanes-Oxley Act of 2002, or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Additionally,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54"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new internal controls and procedures and hiring additional accounting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49"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We will incur significant costs as a result of operating as a public company, and our management will devote substantial time to new compliance initiatives.</w:t>
      </w:r>
    </w:p>
    <w:p>
      <w:pPr>
        <w:ind w:right="40"/>
        <w:spacing w:after="0" w:line="232" w:lineRule="auto"/>
        <w:rPr>
          <w:sz w:val="20"/>
          <w:szCs w:val="20"/>
          <w:color w:val="auto"/>
        </w:rPr>
      </w:pPr>
      <w:r>
        <w:rPr>
          <w:rFonts w:ascii="Arial" w:cs="Arial" w:eastAsia="Arial" w:hAnsi="Arial"/>
          <w:sz w:val="17"/>
          <w:szCs w:val="17"/>
          <w:color w:val="auto"/>
        </w:rPr>
        <w:t>As a privately-held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particularly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will increase our legal and financial compliance costs and make some activities more difficult, time-consuming or costly. For example, the Exchange Act will require us, among other things, to file annual, quarterly and current reports with respect to our business and operating results. We also expect that being a public company and being subject to new rules and regulations will make it more expensive for us to obtain director and officer liability insurance, and we may be required to accept reduced coverage or</w:t>
      </w:r>
    </w:p>
    <w:p>
      <w:pPr>
        <w:spacing w:after="0" w:line="1"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incur substantially higher costs to obtain coverage. As such, we expect to incur additional annual expenses of $ million to $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existing market for our common stock, and we do not know if one will develop to provide you with liquidity.</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Prior to this offering, there has not been a public market for our common stock. An active market for our common stock might not develop following the consummation of this offering, or if it does develop, might not be maintained. If an active trading market does not develop, you may have difficulty selling any of our common stock that you buy. The initial public offering price for the shares of our common stock will be determined by negotiations between us and the representatives of the underwriters and might not be indicative of prices that will prevail in the open market following this offering. Consequently, you might not be able to sell shares of our common stock at prices equal to or greater than the initial public offering price.</w:t>
      </w:r>
    </w:p>
    <w:p>
      <w:pPr>
        <w:spacing w:after="0" w:line="15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To the extent Dr. Troendle is allocated and purchases shares in this offering, such a purchase may reduce the available public float for our shares because Dr. Troendle will be restricted from selling the shares by restrictions under applicable securities laws and contractual agreements described in “Shares Eligible for Future Sale.” As a result, the liquidity of our common stock could be significantly reduced from what it would have been if these shares had been purchased by investors that were not affiliated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i w:val="1"/>
          <w:iCs w:val="1"/>
          <w:color w:val="auto"/>
        </w:rPr>
        <w:t>Our operating results and share price may be volatile, and the market price of our common stock after this offering may drop below the price you pay.</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quarterly operating results have fluctuated, and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We and the underwriters will negotiate to determine the initial public offering price. You may not be able to resell your shares at or above the initial public offering price, or at all. Our operating results and the trading price of shares of our common stock may fluctuate in response to various factors, including:</w:t>
      </w:r>
    </w:p>
    <w:p>
      <w:pPr>
        <w:spacing w:after="0" w:line="25"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market conditions in the broader stock market or in the healthcare sector;</w:t>
      </w:r>
    </w:p>
    <w:p>
      <w:pPr>
        <w:spacing w:after="0" w:line="24" w:lineRule="exact"/>
        <w:rPr>
          <w:rFonts w:ascii="Arial" w:cs="Arial" w:eastAsia="Arial" w:hAnsi="Arial"/>
          <w:sz w:val="25"/>
          <w:szCs w:val="25"/>
          <w:color w:val="auto"/>
          <w:vertAlign w:val="superscript"/>
        </w:rPr>
      </w:pPr>
    </w:p>
    <w:p>
      <w:pPr>
        <w:ind w:left="800" w:hanging="454"/>
        <w:spacing w:after="0" w:line="187" w:lineRule="auto"/>
        <w:tabs>
          <w:tab w:leader="none" w:pos="80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developments affecting biopharmaceutical companies generally or biopharmaceutical research and development outsourcing;</w:t>
      </w: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actual or anticipated fluctuations in our quarterly financial and operating results;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introduction of new products or services by us or our competitors;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public’s reaction to our press releases, our other public announcements and our filings with the SEC;</w:t>
      </w:r>
    </w:p>
    <w:p>
      <w:pPr>
        <w:spacing w:after="0" w:line="25" w:lineRule="exact"/>
        <w:rPr>
          <w:rFonts w:ascii="Arial" w:cs="Arial" w:eastAsia="Arial" w:hAnsi="Arial"/>
          <w:sz w:val="23"/>
          <w:szCs w:val="23"/>
          <w:color w:val="auto"/>
          <w:vertAlign w:val="superscript"/>
        </w:rPr>
      </w:pPr>
    </w:p>
    <w:p>
      <w:pPr>
        <w:ind w:left="800" w:right="280" w:hanging="454"/>
        <w:spacing w:after="0" w:line="195"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changes in, or failure to meet, earnings estimates or recommendations by research analysts who track our common stock or the stock of other companies in our industries;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strategic actions by us, our customers or our competitors, such as acquisitions or restructurings;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changes in accounting standards, policies, guidance, interpretations or principles;</w:t>
      </w:r>
    </w:p>
    <w:p>
      <w:pPr>
        <w:spacing w:after="0" w:line="25" w:lineRule="exact"/>
        <w:rPr>
          <w:rFonts w:ascii="Arial" w:cs="Arial" w:eastAsia="Arial" w:hAnsi="Arial"/>
          <w:sz w:val="23"/>
          <w:szCs w:val="23"/>
          <w:color w:val="auto"/>
          <w:vertAlign w:val="superscript"/>
        </w:rPr>
      </w:pPr>
    </w:p>
    <w:p>
      <w:pPr>
        <w:ind w:left="800" w:right="100" w:hanging="454"/>
        <w:spacing w:after="0" w:line="195"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issuance of new or changed securities analysts’ reports or recommendations or termination of coverage of our common stock by securities analysts;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sales, or anticipated sales, of large blocks of our stock;</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granting or exercise of employee stock options;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volume of trading in our common stock;</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additions or departures of key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regulatory or political developments;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litigation and governmental investigations;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changing economic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defaults on our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exchange rate fluctuations;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other factors listed in this “Risk Factors” section.</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cause the market price of our common stock to drop significantly, even if our business is doing well.</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Sales of a substantial number of shares of our common stock in the public market could occur at any time. After this offering, we will have</w:t>
      </w:r>
    </w:p>
    <w:p>
      <w:pPr>
        <w:ind w:right="280"/>
        <w:spacing w:after="0" w:line="243" w:lineRule="auto"/>
        <w:rPr>
          <w:sz w:val="20"/>
          <w:szCs w:val="20"/>
          <w:color w:val="auto"/>
        </w:rPr>
      </w:pPr>
      <w:r>
        <w:rPr>
          <w:rFonts w:ascii="Arial" w:cs="Arial" w:eastAsia="Arial" w:hAnsi="Arial"/>
          <w:sz w:val="17"/>
          <w:szCs w:val="17"/>
          <w:color w:val="auto"/>
        </w:rPr>
        <w:t>shares of outstanding common stock (or if the underwriters exercise their option to purchase additional shares in full). In addition, under the Plan, we intend to grant to certain of our employees in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connection with this offering equity awards with respect to an aggregate of up to 2% of our fully diluted shares of common stock outstanding immediately following the completion of this offering. We have not yet determined the allocation of such equity awards among the individuals. See “Executive and Director Compensation—Narrative to Summary Compensation Table—Offering Grants to Employees under the 2016 Incentive Award Plan.” The shares of common stock sold in this offering or issuable pursuant to the equity awards we grant will be freely tradable without restriction under the Securities Act, except as described in the next paragraph with respect to the lock-up arrangements and for any shares of our common stock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and each of our directors, director nominees, executive officers and holders of substantially all of our outstanding common stock have agreed with the underwriters,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See “Underwriting” and “Shares Eligible for Future Sale—Lock-Up Agreements.” All of the shares of our common stock outstanding as of the date of this prospectus may be sold in the public market by existing shareholders following the expiration of the applicable lock-up period, subject to applicable limitations imposed under federal securities laws.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also intend to enter into a Registration Rights Agreement pursuant to which the shares of common stock held by Cinven and Dr. August J. Troendle, our Chief Executive Officer and founder, will be eligible for resale, subject to certain limitations set forth therein. See “Certain Relationships and Related Person Transactions—Registration Rights Agreement.”</w:t>
      </w:r>
    </w:p>
    <w:p>
      <w:pPr>
        <w:spacing w:after="0" w:line="148" w:lineRule="exact"/>
        <w:rPr>
          <w:sz w:val="20"/>
          <w:szCs w:val="20"/>
          <w:color w:val="auto"/>
        </w:rPr>
      </w:pPr>
    </w:p>
    <w:p>
      <w:pPr>
        <w:jc w:val="both"/>
        <w:ind w:right="180"/>
        <w:spacing w:after="0" w:line="232"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issued or issuable under the Plan.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w:t>
      </w:r>
    </w:p>
    <w:p>
      <w:pPr>
        <w:spacing w:after="0"/>
        <w:tabs>
          <w:tab w:leader="none" w:pos="4040" w:val="left"/>
        </w:tabs>
        <w:rPr>
          <w:sz w:val="20"/>
          <w:szCs w:val="20"/>
          <w:color w:val="auto"/>
        </w:rPr>
      </w:pPr>
      <w:r>
        <w:rPr>
          <w:rFonts w:ascii="Arial" w:cs="Arial" w:eastAsia="Arial" w:hAnsi="Arial"/>
          <w:sz w:val="17"/>
          <w:szCs w:val="17"/>
          <w:color w:val="auto"/>
        </w:rPr>
        <w:t>registration statement on Form S-8 will cover</w:t>
      </w:r>
      <w:r>
        <w:rPr>
          <w:sz w:val="20"/>
          <w:szCs w:val="20"/>
          <w:color w:val="auto"/>
        </w:rPr>
        <w:tab/>
      </w:r>
      <w:r>
        <w:rPr>
          <w:rFonts w:ascii="Arial" w:cs="Arial" w:eastAsia="Arial" w:hAnsi="Arial"/>
          <w:sz w:val="17"/>
          <w:szCs w:val="17"/>
          <w:color w:val="auto"/>
        </w:rPr>
        <w:t>shares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See “Shares Eligible for Future Sale” for a more detailed description of the restrictions on selling shares of our common stock after this offering.</w:t>
      </w:r>
    </w:p>
    <w:p>
      <w:pPr>
        <w:spacing w:after="0" w:line="156"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In the future, we may also issue additional securities if we need to raise capital or make acquisitions, which could constitute a material portion of our then-outstanding shares of common stock.</w:t>
      </w:r>
    </w:p>
    <w:p>
      <w:pPr>
        <w:spacing w:after="0" w:line="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ind w:right="20"/>
        <w:spacing w:after="0" w:line="235" w:lineRule="auto"/>
        <w:rPr>
          <w:sz w:val="20"/>
          <w:szCs w:val="20"/>
          <w:color w:val="auto"/>
        </w:rPr>
      </w:pPr>
      <w:r>
        <w:rPr>
          <w:rFonts w:ascii="Arial" w:cs="Arial" w:eastAsia="Arial" w:hAnsi="Arial"/>
          <w:sz w:val="17"/>
          <w:szCs w:val="17"/>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 See “Dividend Policy” for more detail.</w:t>
      </w:r>
    </w:p>
    <w:p>
      <w:pPr>
        <w:spacing w:after="0" w:line="47"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We are a holding company and rely on dividends and other payments, advances and transfers of funds from our subsidiaries to meet our obligations and pay any dividends.</w:t>
      </w:r>
    </w:p>
    <w:p>
      <w:pPr>
        <w:ind w:right="60"/>
        <w:spacing w:after="0" w:line="235" w:lineRule="auto"/>
        <w:rPr>
          <w:sz w:val="20"/>
          <w:szCs w:val="20"/>
          <w:color w:val="auto"/>
        </w:rPr>
      </w:pPr>
      <w:r>
        <w:rPr>
          <w:rFonts w:ascii="Arial" w:cs="Arial" w:eastAsia="Arial" w:hAnsi="Arial"/>
          <w:sz w:val="17"/>
          <w:szCs w:val="17"/>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enable us to pay any dividends on our common stock or other obligations. Any of the foregoing could materially and adversely affect our business, financial condition, results of operations and cash flows. See “Dividend Policy.”</w:t>
      </w:r>
    </w:p>
    <w:p>
      <w:pPr>
        <w:spacing w:after="0" w:line="43"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trading market for shares of our common stock will be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49"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rPr>
          <w:sz w:val="20"/>
          <w:szCs w:val="20"/>
          <w:color w:val="auto"/>
        </w:rPr>
      </w:pPr>
      <w:r>
        <w:rPr>
          <w:rFonts w:ascii="Arial" w:cs="Arial" w:eastAsia="Arial" w:hAnsi="Arial"/>
          <w:sz w:val="17"/>
          <w:szCs w:val="17"/>
          <w:color w:val="auto"/>
        </w:rPr>
        <w:t>The JOBS Act provides that, so long as a company qualifies as an “emerging growth company,” it will, among other things:</w:t>
      </w:r>
    </w:p>
    <w:p>
      <w:pPr>
        <w:spacing w:after="0" w:line="196" w:lineRule="exact"/>
        <w:rPr>
          <w:sz w:val="20"/>
          <w:szCs w:val="20"/>
          <w:color w:val="auto"/>
        </w:rPr>
      </w:pPr>
    </w:p>
    <w:p>
      <w:pPr>
        <w:ind w:left="800" w:right="14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the “say on pay” and “say on golden parachute” advisory vote requirements of the Dodd-Frank Act;</w:t>
      </w:r>
    </w:p>
    <w:p>
      <w:pPr>
        <w:spacing w:after="0" w:line="25"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6"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any rules that may be adopted by the Public Company Accounting Oversight Board requiring mandatory audit firm rotations or a supplement to the auditor’s report on the financial statements.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currently intend to take advantage of each of the exemptions described above. We have irrevocably elected not to take advantage of the extension of time to comply with new or revised financial accounting standards available under Section 107(b) of the JOBS Act. We could be an emerging growth company for up to five years after this offering. We cannot predict if investors will find our common stock less attractive if we elect to rely on these exemptions, or if taking advantage of these exemptions would result in less active trading or more volatility in the price of our common stock. For additional information about the implications of qualifying as an emerging growth company, see “Prospectus Summary—Implications of Being an Emerging Growth Company.”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33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forward looking statements. All statements other than statements of historical facts contained in this prospectus, including statements regarding our future results of operations and financial position, business strategy and plans and our objectives for future operations, are forward looking statements. The words “believe,” “may,” “might,” “will,” “estimate,” “continue,” “anticipate,” “intend,” “seek,” “plan,” “should,” “expect” and similar expressions are intended to identify forward looking statements. Examples of forward looking statements include, but are not limited to, statements we make regarding: (i) growth of (a) the CRO market, (b) biopharmaceutical companies’ development expenditures and (c) the percentage of biopharmaceutical clinical development costs that are outsourced to CROs; (ii) the amount of the expected conversion of our backlog to net service revenue; (iii) high-growth therapeutic areas and (iv) the continuous enhancement of our clinical development services and our therapeutic expertise.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and changes in circumstances that are difficult to predict.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 looking statements we may make. In light of these risks, uncertainties and assumptions, the forward looking events and circumstances discussed in this prospectus may not occur and actual results could differ materially and adversely from those anticipated or implied in the forward looking statements. We caution you therefore against relying on these forward looking statements.</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Some of the key factors that could cause actual results to differ from our expectations include regional, national or global political, economic, business, competitive, market and regulatory conditions and the following:</w:t>
      </w:r>
    </w:p>
    <w:p>
      <w:pPr>
        <w:spacing w:after="0" w:line="102"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the potential loss, delay or non-renewal of our contracts, or the non-payment by customers for services we have performed;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failure to convert backlog to revenue at our historical conversion rate;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fluctuation in our results between fiscal quarters and years;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decreased operating margins due to increased pricing pressure or other pressures;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failure to perform our services in accordance with contractual requirements, government regulations and ethical considerations;</w:t>
      </w:r>
    </w:p>
    <w:p>
      <w:pPr>
        <w:spacing w:after="0" w:line="25" w:lineRule="exact"/>
        <w:rPr>
          <w:rFonts w:ascii="Arial" w:cs="Arial" w:eastAsia="Arial" w:hAnsi="Arial"/>
          <w:sz w:val="23"/>
          <w:szCs w:val="23"/>
          <w:color w:val="auto"/>
          <w:vertAlign w:val="superscript"/>
        </w:rPr>
      </w:pPr>
    </w:p>
    <w:p>
      <w:pPr>
        <w:ind w:left="800" w:right="620" w:hanging="454"/>
        <w:spacing w:after="0" w:line="195"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the impact of underpricing our contracts, overrunning our cost estimates or failing to receive approval for or experiencing delays with documentation of change orders;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our failure to successfully execute our growth strategies;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impact of a failure to retain key personnel or recruit experienced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information systems infrastructure;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failure to manage our growth effectively;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adverse results from customer or therapeutic area concentration;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doing business internationally;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Foreign Corrupt Practices Act and other anti-corruption 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future net losses;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impact of income tax rate fluctuations on operations, earnings and earnings per share;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intercompany transfer pricing policies;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failure to attract suitable investigators and patients for our clinical trials;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liability risks associated with our R&amp;D services;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Phase I clinical services;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inadequate insurance coverage for our operations and indemnification obligations;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fluctuations in exchange rates;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relationships with existing or potential customers who are in competition with each other;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failure to successfully integrate potential future acquisitions;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potential impairment of goodwill or other intangible assets;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utilize our net operating loss carryforwards or other tax attributes;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use and disposal of hazardous substances and waste;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failure of third parties to provide us critical support services;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protect our intellectual property rights;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potential future investments in our customers’ businesses or drugs;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a natural disaster or other catastrophic event;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negative outsourcing trends in the biopharmaceutical industry and a reduction in aggregate expenditures and R&amp;D budgets;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inability to compete effectively with other CROs;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healthcare reform;</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recent consolidation in the biopharmaceutical industry;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failure to comply with federal, state and foreign healthcare 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effect of current and proposed laws and regulations regarding the protection of personal data;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potential involvement in costly intellectual property lawsuits;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 or customers to limit the scope of or withdraw an approved drug, biologic or medical device from the market;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failure to keep pace with rapid technological changes;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industry-wide reputational harm to CROs;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ability to fulfill our debt obligations;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incurring additional debt or undertaking additional debt obligations;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effect of covenant restrictions under our debt agreements on our ability to operate our business;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inability to generate sufficient cash to service all of our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fluctuations in interest rates;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dependence on our lenders, which may not be able to fund borrowings under their credit commitments, and our inability to borrow;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other factors set forth in “Risk Factors.”</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See “Risk Factors” for a further description of these and other factors. The forward looking statements included in this prospectus are made only as of the date hereof. You should not rely upon forward looking statements as predictions of future events. Although we believe that the expectations reflected in the forward looking statements are reasonable, we cannot guarantee that the future results, levels of activity, performance or events and circumstances reflected in the forward looking statements will be achieved or occur. Moreover, neither we nor any other person assumes responsibility for the accuracy and completeness of the forward looking statements. We undertake no obligation to update publicly any forward looking statements for any reason after the date of this prospectus to conform these statements to actual results or to changes in our expectations, except as may be required by law.</w:t>
      </w:r>
    </w:p>
    <w:p>
      <w:pPr>
        <w:spacing w:after="0" w:line="15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You should read this prospectus with the understanding that our actual future results, levels of activity, performance and events and circumstances may be materially different from what we expect.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auto"/>
        </w:rPr>
        <w:t>We estimate that the net proceeds to us from our sale of shares of our common stock in this offering will be approximately $ million, assuming an initial public offering price of $ per share (the midpoint of the price range listed on the cover page of this prospectus), and after deducting $ of estimated underwriting discounts and commissions and estimated expenses payable by us in connection with this offering. The underwriters may also purchase up to a maximum of additional shares of common stock from us pursuant to their option to purchase additional shares. We estimate that the net proceeds to us, if the underwriters exercise their right to purchase the maximum of additional shares of common stock from us, will be approximately $ , assuming an initial public offering price of $ per share (the midpoint of the price range</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listed on the cover page of this prospectus), and after deducting underwriting estimated discounts and commissions and estimated expenses payable by us in connection with this offering.</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intend to use the net proceeds of this offering to repay $ Secured Term Loan Facility.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million in aggregate principal amount of outstanding borrowings under our Senior</w:t>
      </w:r>
    </w:p>
    <w:p>
      <w:pPr>
        <w:spacing w:after="0" w:line="344" w:lineRule="exact"/>
        <w:rPr>
          <w:sz w:val="20"/>
          <w:szCs w:val="20"/>
          <w:color w:val="auto"/>
        </w:rPr>
      </w:pPr>
    </w:p>
    <w:p>
      <w:pPr>
        <w:sectPr>
          <w:pgSz w:w="11900" w:h="16838" w:orient="portrait"/>
          <w:cols w:equalWidth="0" w:num="2">
            <w:col w:w="4540" w:space="620"/>
            <w:col w:w="6260"/>
          </w:cols>
          <w:pgMar w:left="240" w:top="459" w:right="239" w:bottom="1440" w:gutter="0" w:footer="0" w:header="0"/>
          <w:type w:val="continuous"/>
        </w:sectPr>
      </w:pPr>
    </w:p>
    <w:p>
      <w:pPr>
        <w:spacing w:after="0" w:line="233" w:lineRule="auto"/>
        <w:rPr>
          <w:sz w:val="20"/>
          <w:szCs w:val="20"/>
          <w:color w:val="auto"/>
        </w:rPr>
      </w:pPr>
      <w:r>
        <w:rPr>
          <w:rFonts w:ascii="Arial" w:cs="Arial" w:eastAsia="Arial" w:hAnsi="Arial"/>
          <w:sz w:val="17"/>
          <w:szCs w:val="17"/>
          <w:color w:val="auto"/>
        </w:rPr>
        <w:t xml:space="preserve">The Senior Secured Term Loan Facility had $378.5 million outstanding (net of an unamortized discount of $1.9 million and unamortized debt issuance costs of $9.7 million) as of March 31, 2016 with a maturity date of April 1, 2021. Borrowings under the Senior Secured Term Loan Facility bear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 4.75:1.00, or 3.75% if our total net leverage ratio is less than or equal to 4.75:1:00; provided that the relevant Eurocurrency rate shall be deemed to be no less than 1.00% per annum; or (b) a base rate, which is defined as the highest of (i)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net leverage ratio is less than or equal to 4.75:1:00; provided that the base rate shall be deemed to be no less than 2.00% per annum. We may voluntarily prepay outstanding loans under the Senior Secured Term Loan Facility without premium or penalty. As of March 31, 2016, the interest applicable on the Senior Secured Term Loan Facility was the Eurocurrency minimum floor interest rate of 4.75%. See “Management’s Discussion and Analysis of Financial Condition and Results of Operations —Liquidity and Capital Resources—Indebtedness.”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shares from us in full, we estimate that we will receive additional net proceeds of</w:t>
      </w:r>
    </w:p>
    <w:p>
      <w:pPr>
        <w:ind w:left="720" w:hanging="712"/>
        <w:spacing w:after="0"/>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million, which we intend to use to repay additional borrowings outstanding under our Senior Secured Term Loan Facility.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Assuming no exercise of the underwriters’ option to purchase additional shares, a $1.00 increase (decrease) in the assumed initial public offering price</w:t>
      </w:r>
    </w:p>
    <w:p>
      <w:pPr>
        <w:ind w:right="280"/>
        <w:spacing w:after="0" w:line="232" w:lineRule="auto"/>
        <w:rPr>
          <w:sz w:val="20"/>
          <w:szCs w:val="20"/>
          <w:color w:val="auto"/>
        </w:rPr>
      </w:pPr>
      <w:r>
        <w:rPr>
          <w:rFonts w:ascii="Arial" w:cs="Arial" w:eastAsia="Arial" w:hAnsi="Arial"/>
          <w:sz w:val="17"/>
          <w:szCs w:val="17"/>
          <w:color w:val="auto"/>
        </w:rPr>
        <w:t>of $ per share (the midpoint of the price range listed on the cover page of this prospectus) would increase (decrease) the net proceeds to us from this offering by $ million, assuming the number of shares offered by us, as set forth on the cover page of this prospectus, remains the</w:t>
      </w:r>
    </w:p>
    <w:p>
      <w:pPr>
        <w:ind w:right="140"/>
        <w:spacing w:after="0" w:line="232" w:lineRule="auto"/>
        <w:rPr>
          <w:sz w:val="20"/>
          <w:szCs w:val="20"/>
          <w:color w:val="auto"/>
        </w:rPr>
      </w:pPr>
      <w:r>
        <w:rPr>
          <w:rFonts w:ascii="Arial" w:cs="Arial" w:eastAsia="Arial" w:hAnsi="Arial"/>
          <w:sz w:val="17"/>
          <w:szCs w:val="17"/>
          <w:color w:val="auto"/>
        </w:rPr>
        <w:t>same, and after deducting estimated underwriting discounts and commissions and estimated expenses payable by us in connection with this offering. We may also increase or decrease the number of shares we are offering. Each increase (decrease) of 1,000,000 shares in the number of shares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common stock offered by us would increase (decrease) the net proceeds to us from this offering by $ million, assuming an initial public offering price of $ per share (the midpoint of the price range listed on the cover page of this prospectus), and after deducting estimated underwriting discounts and commissions and estimated expenses payable by us in connection with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have no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Any future determination to declare dividends will be at the discretion of our Board and will take into account:</w:t>
      </w:r>
    </w:p>
    <w:p>
      <w:pPr>
        <w:spacing w:after="0" w:line="113" w:lineRule="exact"/>
        <w:rPr>
          <w:sz w:val="20"/>
          <w:szCs w:val="20"/>
          <w:color w:val="auto"/>
        </w:rPr>
      </w:pPr>
    </w:p>
    <w:p>
      <w:pPr>
        <w:ind w:left="800" w:hanging="454"/>
        <w:spacing w:after="0"/>
        <w:tabs>
          <w:tab w:leader="none" w:pos="800" w:val="left"/>
        </w:tabs>
        <w:numPr>
          <w:ilvl w:val="0"/>
          <w:numId w:val="38"/>
        </w:numPr>
        <w:rPr>
          <w:rFonts w:ascii="Arial" w:cs="Arial" w:eastAsia="Arial" w:hAnsi="Arial"/>
          <w:sz w:val="25"/>
          <w:szCs w:val="25"/>
          <w:color w:val="auto"/>
          <w:vertAlign w:val="superscript"/>
        </w:rPr>
      </w:pPr>
      <w:r>
        <w:rPr>
          <w:rFonts w:ascii="Arial" w:cs="Arial" w:eastAsia="Arial" w:hAnsi="Arial"/>
          <w:sz w:val="17"/>
          <w:szCs w:val="17"/>
          <w:color w:val="auto"/>
        </w:rPr>
        <w:t>restrictions in our debt instruments, including our Senior Secured Credit Facilities;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general economic business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our net income, financial condition and results of operations;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our capital requirements;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our prospects;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the ability of our operating subsidiaries to pay dividends and make distributions to us;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legal restrictions;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8"/>
        </w:numPr>
        <w:rPr>
          <w:rFonts w:ascii="Arial" w:cs="Arial" w:eastAsia="Arial" w:hAnsi="Arial"/>
          <w:sz w:val="23"/>
          <w:szCs w:val="23"/>
          <w:color w:val="auto"/>
          <w:vertAlign w:val="superscript"/>
        </w:rPr>
      </w:pPr>
      <w:r>
        <w:rPr>
          <w:rFonts w:ascii="Arial" w:cs="Arial" w:eastAsia="Arial" w:hAnsi="Arial"/>
          <w:sz w:val="16"/>
          <w:szCs w:val="16"/>
          <w:color w:val="auto"/>
        </w:rPr>
        <w:t>such other factors as our Board may deem relevant.</w:t>
      </w:r>
    </w:p>
    <w:p>
      <w:pPr>
        <w:spacing w:after="0" w:line="147"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See “Management’s Discussion and Analysis of Financial Condition and Results of Operations—Liquidity and Capital Resources—Indebtedness” for restrictions on our ability to pay dividends.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2016:</w:t>
      </w:r>
    </w:p>
    <w:p>
      <w:pPr>
        <w:spacing w:after="0" w:line="113" w:lineRule="exact"/>
        <w:rPr>
          <w:sz w:val="20"/>
          <w:szCs w:val="20"/>
          <w:color w:val="auto"/>
        </w:rPr>
      </w:pPr>
    </w:p>
    <w:p>
      <w:pPr>
        <w:ind w:left="800" w:hanging="454"/>
        <w:spacing w:after="0"/>
        <w:tabs>
          <w:tab w:leader="none" w:pos="800" w:val="left"/>
        </w:tabs>
        <w:numPr>
          <w:ilvl w:val="0"/>
          <w:numId w:val="39"/>
        </w:numPr>
        <w:rPr>
          <w:rFonts w:ascii="Arial" w:cs="Arial" w:eastAsia="Arial" w:hAnsi="Arial"/>
          <w:sz w:val="25"/>
          <w:szCs w:val="25"/>
          <w:color w:val="auto"/>
          <w:vertAlign w:val="superscript"/>
        </w:rPr>
      </w:pPr>
      <w:r>
        <w:rPr>
          <w:rFonts w:ascii="Arial" w:cs="Arial" w:eastAsia="Arial" w:hAnsi="Arial"/>
          <w:sz w:val="17"/>
          <w:szCs w:val="17"/>
          <w:color w:val="auto"/>
        </w:rPr>
        <w:t>on an actual basis; and</w:t>
      </w:r>
    </w:p>
    <w:p>
      <w:pPr>
        <w:spacing w:after="0" w:line="25" w:lineRule="exact"/>
        <w:rPr>
          <w:sz w:val="20"/>
          <w:szCs w:val="20"/>
          <w:color w:val="auto"/>
        </w:rPr>
      </w:pPr>
    </w:p>
    <w:p>
      <w:pPr>
        <w:ind w:left="800" w:right="260" w:hanging="459"/>
        <w:spacing w:after="0" w:line="212" w:lineRule="auto"/>
        <w:tabs>
          <w:tab w:leader="none" w:pos="780" w:val="left"/>
        </w:tabs>
        <w:rPr>
          <w:sz w:val="20"/>
          <w:szCs w:val="20"/>
          <w:color w:val="auto"/>
        </w:rPr>
      </w:pPr>
      <w:r>
        <w:rPr>
          <w:rFonts w:ascii="Arial" w:cs="Arial" w:eastAsia="Arial" w:hAnsi="Arial"/>
          <w:sz w:val="25"/>
          <w:szCs w:val="25"/>
          <w:color w:val="auto"/>
          <w:vertAlign w:val="superscript"/>
        </w:rPr>
        <w:t>n</w:t>
      </w:r>
      <w:r>
        <w:rPr>
          <w:sz w:val="20"/>
          <w:szCs w:val="20"/>
          <w:color w:val="auto"/>
        </w:rPr>
        <w:tab/>
      </w:r>
      <w:r>
        <w:rPr>
          <w:rFonts w:ascii="Arial" w:cs="Arial" w:eastAsia="Arial" w:hAnsi="Arial"/>
          <w:sz w:val="17"/>
          <w:szCs w:val="17"/>
          <w:color w:val="auto"/>
        </w:rPr>
        <w:t>on an as adjusted basis to give effect to our issuance and sale of shares of our common stock in this offering at the initial public offering price of $ per share (the midpoint of the price range listed on the cover page of this prospectus), after deducting estimated underwriting discounts and commissions and estimated expenses payable by us in connection with this offering and the application of the net proceeds to be received by us from this offering as described under “Use of Proceeds.”</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You should read this information together with our audited consolidated financial statements and related notes included elsewhere in this prospectus and the information set forth under the headings ‘‘Use of Proceeds,’’ ‘‘Selected Historical Consolidated Financial and Other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MARCH 31, 2016</w:t>
            </w: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80" w:type="dxa"/>
            <w:vAlign w:val="bottom"/>
            <w:gridSpan w:val="4"/>
          </w:tcPr>
          <w:p>
            <w:pPr>
              <w:jc w:val="right"/>
              <w:ind w:right="620"/>
              <w:spacing w:after="0" w:line="155" w:lineRule="exact"/>
              <w:rPr>
                <w:sz w:val="20"/>
                <w:szCs w:val="20"/>
                <w:color w:val="auto"/>
              </w:rPr>
            </w:pPr>
            <w:r>
              <w:rPr>
                <w:rFonts w:ascii="Arial" w:cs="Arial" w:eastAsia="Arial" w:hAnsi="Arial"/>
                <w:sz w:val="14"/>
                <w:szCs w:val="14"/>
                <w:b w:val="1"/>
                <w:bCs w:val="1"/>
                <w:color w:val="auto"/>
              </w:rPr>
              <w:t>ACTUAL</w:t>
            </w:r>
          </w:p>
        </w:tc>
        <w:tc>
          <w:tcPr>
            <w:tcW w:w="1160" w:type="dxa"/>
            <w:vAlign w:val="bottom"/>
          </w:tcPr>
          <w:p>
            <w:pPr>
              <w:spacing w:after="0" w:line="156"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3"/>
        </w:trPr>
        <w:tc>
          <w:tcPr>
            <w:tcW w:w="25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2100" w:type="dxa"/>
            <w:vAlign w:val="bottom"/>
            <w:tcBorders>
              <w:top w:val="single" w:sz="8" w:color="CCEEFF"/>
            </w:tcBorders>
            <w:shd w:val="clear" w:color="auto" w:fill="CCEEFF"/>
          </w:tcPr>
          <w:p>
            <w:pPr>
              <w:spacing w:after="0"/>
              <w:rPr>
                <w:sz w:val="15"/>
                <w:szCs w:val="15"/>
                <w:color w:val="auto"/>
              </w:rPr>
            </w:pPr>
          </w:p>
        </w:tc>
        <w:tc>
          <w:tcPr>
            <w:tcW w:w="4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24,181</w:t>
            </w: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7"/>
                <w:szCs w:val="17"/>
                <w:color w:val="auto"/>
              </w:rPr>
              <w:t>Debt:</w:t>
            </w:r>
          </w:p>
        </w:tc>
        <w:tc>
          <w:tcPr>
            <w:tcW w:w="2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6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Senior Secured Term Loan Facility </w:t>
            </w:r>
            <w:r>
              <w:rPr>
                <w:rFonts w:ascii="Arial" w:cs="Arial" w:eastAsia="Arial" w:hAnsi="Arial"/>
                <w:sz w:val="14"/>
                <w:szCs w:val="14"/>
                <w:color w:val="auto"/>
              </w:rPr>
              <w:t>(1)</w:t>
            </w:r>
          </w:p>
        </w:tc>
        <w:tc>
          <w:tcPr>
            <w:tcW w:w="4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7"/>
              </w:rPr>
              <w:t>378,457</w:t>
            </w: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 xml:space="preserve">Senior Secured Revolving Credit Facility </w:t>
            </w:r>
            <w:r>
              <w:rPr>
                <w:rFonts w:ascii="Arial" w:cs="Arial" w:eastAsia="Arial" w:hAnsi="Arial"/>
                <w:sz w:val="14"/>
                <w:szCs w:val="14"/>
                <w:color w:val="auto"/>
              </w:rPr>
              <w:t>(2)</w:t>
            </w: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long-term debt, net</w:t>
            </w:r>
          </w:p>
        </w:tc>
        <w:tc>
          <w:tcPr>
            <w:tcW w:w="21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378,457</w:t>
            </w: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7"/>
                <w:szCs w:val="17"/>
                <w:color w:val="auto"/>
              </w:rPr>
              <w:t>Shareholders’ equity:</w:t>
            </w:r>
          </w:p>
        </w:tc>
        <w:tc>
          <w:tcPr>
            <w:tcW w:w="2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980" w:type="dxa"/>
            <w:vAlign w:val="bottom"/>
            <w:gridSpan w:val="3"/>
            <w:shd w:val="clear" w:color="auto" w:fill="CCEEFF"/>
          </w:tcPr>
          <w:p>
            <w:pPr>
              <w:ind w:left="260"/>
              <w:spacing w:after="0" w:line="183" w:lineRule="exact"/>
              <w:rPr>
                <w:sz w:val="20"/>
                <w:szCs w:val="20"/>
                <w:color w:val="auto"/>
              </w:rPr>
            </w:pPr>
            <w:r>
              <w:rPr>
                <w:rFonts w:ascii="Arial" w:cs="Arial" w:eastAsia="Arial" w:hAnsi="Arial"/>
                <w:sz w:val="17"/>
                <w:szCs w:val="17"/>
                <w:color w:val="auto"/>
              </w:rPr>
              <w:t>Common stock, par value $0.01 per share; 60,000,000 shares authorized, 44,058,055 shares issued 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outstanding, actual;</w:t>
            </w:r>
          </w:p>
        </w:tc>
        <w:tc>
          <w:tcPr>
            <w:tcW w:w="2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shares authorized and</w:t>
            </w:r>
          </w:p>
        </w:tc>
        <w:tc>
          <w:tcPr>
            <w:tcW w:w="4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shares issued and outstanding, as adjusted</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441</w:t>
            </w: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paid-in-capital</w:t>
            </w:r>
          </w:p>
        </w:tc>
        <w:tc>
          <w:tcPr>
            <w:tcW w:w="21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7"/>
              </w:rPr>
              <w:t>438,969</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21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(19,561)</w:t>
            </w: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(1,987)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shareholders’ equity</w:t>
            </w:r>
          </w:p>
        </w:tc>
        <w:tc>
          <w:tcPr>
            <w:tcW w:w="21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417,862</w:t>
            </w: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7"/>
                <w:szCs w:val="17"/>
                <w:color w:val="auto"/>
              </w:rPr>
              <w:t>Total capitalization</w:t>
            </w:r>
          </w:p>
        </w:tc>
        <w:tc>
          <w:tcPr>
            <w:tcW w:w="2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7"/>
              </w:rPr>
              <w:t>796,319</w:t>
            </w:r>
          </w:p>
        </w:tc>
        <w:tc>
          <w:tcPr>
            <w:tcW w:w="5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340" w:hanging="305"/>
        <w:spacing w:after="0"/>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This amount is presented net of an unamortized discount of $1.9 million and unamortized debt issuance costs of $9.7 million.</w:t>
      </w:r>
    </w:p>
    <w:p>
      <w:pPr>
        <w:spacing w:after="0" w:line="30" w:lineRule="exact"/>
        <w:rPr>
          <w:rFonts w:ascii="Arial" w:cs="Arial" w:eastAsia="Arial" w:hAnsi="Arial"/>
          <w:sz w:val="24"/>
          <w:szCs w:val="24"/>
          <w:color w:val="auto"/>
          <w:vertAlign w:val="superscript"/>
        </w:rPr>
      </w:pPr>
    </w:p>
    <w:p>
      <w:pPr>
        <w:ind w:left="340" w:right="700" w:hanging="305"/>
        <w:spacing w:after="0" w:line="188" w:lineRule="auto"/>
        <w:tabs>
          <w:tab w:leader="none" w:pos="340" w:val="left"/>
        </w:tabs>
        <w:numPr>
          <w:ilvl w:val="0"/>
          <w:numId w:val="40"/>
        </w:numPr>
        <w:rPr>
          <w:rFonts w:ascii="Arial" w:cs="Arial" w:eastAsia="Arial" w:hAnsi="Arial"/>
          <w:sz w:val="22"/>
          <w:szCs w:val="22"/>
          <w:color w:val="auto"/>
          <w:vertAlign w:val="superscript"/>
        </w:rPr>
      </w:pPr>
      <w:r>
        <w:rPr>
          <w:rFonts w:ascii="Arial" w:cs="Arial" w:eastAsia="Arial" w:hAnsi="Arial"/>
          <w:sz w:val="13"/>
          <w:szCs w:val="13"/>
          <w:color w:val="auto"/>
        </w:rPr>
        <w:t>As of March 31, 2016, the Senior Secured Credit Facilities provided for a $60.0 million Senior Secured Revolving Credit Facility, under which we had no borrowings outstanding and $60.0 million of available borrowings.</w:t>
      </w:r>
    </w:p>
    <w:p>
      <w:pPr>
        <w:spacing w:after="0" w:line="1" w:lineRule="exact"/>
        <w:rPr>
          <w:sz w:val="20"/>
          <w:szCs w:val="20"/>
          <w:color w:val="auto"/>
        </w:rPr>
      </w:pPr>
    </w:p>
    <w:p>
      <w:pPr>
        <w:ind w:left="340" w:right="280" w:hanging="299"/>
        <w:spacing w:after="0" w:line="182" w:lineRule="auto"/>
        <w:tabs>
          <w:tab w:leader="none" w:pos="320" w:val="left"/>
        </w:tabs>
        <w:rPr>
          <w:sz w:val="20"/>
          <w:szCs w:val="20"/>
          <w:color w:val="auto"/>
        </w:rPr>
      </w:pP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Assuming no exercise of the underwriters’ option to purchase additional shares, a $1.00 increase (decrease) in the assumed initial public offering price of $ per share (the midpoint of the price range listed on the cover page of this prospectus) would increase (decrease) the as adjusted amount of the Senior Secured Term Loan Facility,</w:t>
      </w:r>
    </w:p>
    <w:p>
      <w:pPr>
        <w:spacing w:after="0" w:line="9" w:lineRule="exact"/>
        <w:rPr>
          <w:sz w:val="20"/>
          <w:szCs w:val="20"/>
          <w:color w:val="auto"/>
        </w:rPr>
      </w:pPr>
    </w:p>
    <w:p>
      <w:pPr>
        <w:ind w:left="340" w:right="100"/>
        <w:spacing w:after="0" w:line="488" w:lineRule="auto"/>
        <w:rPr>
          <w:sz w:val="20"/>
          <w:szCs w:val="20"/>
          <w:color w:val="auto"/>
        </w:rPr>
      </w:pPr>
      <w:r>
        <w:rPr>
          <w:rFonts w:ascii="Arial" w:cs="Arial" w:eastAsia="Arial" w:hAnsi="Arial"/>
          <w:sz w:val="14"/>
          <w:szCs w:val="14"/>
          <w:color w:val="auto"/>
        </w:rPr>
        <w:t>additional paid-in capital and total shareholders’ equity by $ million, assuming the number of shares offered by us, as set forth on the cover page of this prospectus, remains the same. Each increase (decrease) of 1,000,000 shares in the number of shares of common stock offered by us would increase (decrease) the as adjusted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80"/>
        <w:spacing w:after="0" w:line="258" w:lineRule="auto"/>
        <w:rPr>
          <w:sz w:val="20"/>
          <w:szCs w:val="20"/>
          <w:color w:val="auto"/>
        </w:rPr>
      </w:pPr>
      <w:r>
        <w:rPr>
          <w:rFonts w:ascii="Arial" w:cs="Arial" w:eastAsia="Arial" w:hAnsi="Arial"/>
          <w:sz w:val="14"/>
          <w:szCs w:val="14"/>
          <w:color w:val="auto"/>
        </w:rPr>
        <w:t>of the Senior Secured Term Loan Facility, additional paid-in capital and total shareholders’ equity by $ million, assuming an initial public offering price of $ per share (the midpoint of the price range listed on the cover page of this prospectus).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our common stock and the net tangible book value per share of our common stock after this offering. Net tangible book value per share represents our total tangible assets less our total liabilities, divided by the total number of shares of common stock deemed to be outstanding at that</w:t>
      </w:r>
    </w:p>
    <w:p>
      <w:pPr>
        <w:spacing w:after="0"/>
        <w:tabs>
          <w:tab w:leader="none" w:pos="5880" w:val="left"/>
          <w:tab w:leader="none" w:pos="7360" w:val="left"/>
        </w:tabs>
        <w:rPr>
          <w:sz w:val="20"/>
          <w:szCs w:val="20"/>
          <w:color w:val="auto"/>
        </w:rPr>
      </w:pPr>
      <w:r>
        <w:rPr>
          <w:rFonts w:ascii="Arial" w:cs="Arial" w:eastAsia="Arial" w:hAnsi="Arial"/>
          <w:sz w:val="17"/>
          <w:szCs w:val="17"/>
          <w:color w:val="auto"/>
        </w:rPr>
        <w:t>date. Our net tangible book value (deficit) as of March 31, 2016 was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 of our common stock.</w:t>
      </w:r>
    </w:p>
    <w:p>
      <w:pPr>
        <w:spacing w:after="0" w:line="149" w:lineRule="exact"/>
        <w:rPr>
          <w:sz w:val="20"/>
          <w:szCs w:val="20"/>
          <w:color w:val="auto"/>
        </w:rPr>
      </w:pPr>
    </w:p>
    <w:p>
      <w:pPr>
        <w:spacing w:after="0"/>
        <w:tabs>
          <w:tab w:leader="none" w:pos="2940" w:val="left"/>
          <w:tab w:leader="none" w:pos="10040" w:val="left"/>
        </w:tabs>
        <w:rPr>
          <w:sz w:val="20"/>
          <w:szCs w:val="20"/>
          <w:color w:val="auto"/>
        </w:rPr>
      </w:pPr>
      <w:r>
        <w:rPr>
          <w:rFonts w:ascii="Arial" w:cs="Arial" w:eastAsia="Arial" w:hAnsi="Arial"/>
          <w:sz w:val="17"/>
          <w:szCs w:val="17"/>
          <w:color w:val="auto"/>
        </w:rPr>
        <w:t>After giving effect to the sale of</w:t>
      </w:r>
      <w:r>
        <w:rPr>
          <w:sz w:val="20"/>
          <w:szCs w:val="20"/>
          <w:color w:val="auto"/>
        </w:rPr>
        <w:tab/>
      </w:r>
      <w:r>
        <w:rPr>
          <w:rFonts w:ascii="Arial" w:cs="Arial" w:eastAsia="Arial" w:hAnsi="Arial"/>
          <w:sz w:val="17"/>
          <w:szCs w:val="17"/>
          <w:color w:val="auto"/>
        </w:rPr>
        <w:t>shares of common stock in this offering at the assumed initial public offering price of $</w:t>
      </w:r>
      <w:r>
        <w:rPr>
          <w:sz w:val="20"/>
          <w:szCs w:val="20"/>
          <w:color w:val="auto"/>
        </w:rPr>
        <w:tab/>
      </w:r>
      <w:r>
        <w:rPr>
          <w:rFonts w:ascii="Arial" w:cs="Arial" w:eastAsia="Arial" w:hAnsi="Arial"/>
          <w:sz w:val="17"/>
          <w:szCs w:val="17"/>
          <w:color w:val="auto"/>
        </w:rPr>
        <w:t>per share (the</w:t>
      </w:r>
    </w:p>
    <w:p>
      <w:pPr>
        <w:spacing w:after="0" w:line="232" w:lineRule="auto"/>
        <w:rPr>
          <w:sz w:val="20"/>
          <w:szCs w:val="20"/>
          <w:color w:val="auto"/>
        </w:rPr>
      </w:pPr>
      <w:r>
        <w:rPr>
          <w:rFonts w:ascii="Arial" w:cs="Arial" w:eastAsia="Arial" w:hAnsi="Arial"/>
          <w:sz w:val="17"/>
          <w:szCs w:val="17"/>
          <w:color w:val="auto"/>
        </w:rPr>
        <w:t>midpoint of the price range listed on the cover page of this prospectus) and the application of the net proceeds from this offering, our as adjusted net</w:t>
      </w:r>
    </w:p>
    <w:p>
      <w:pPr>
        <w:spacing w:after="0" w:line="37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tangible book value (deficit) as of March 31, 2016 would have been $ million, or $ per share of our common stock. This represents an immediate increase in net tangible book value (deficit) of $ per share to our existing investors and an immediate dilution in net tangible book value (deficit) of $ per share to new investors.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of common stock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1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80" w:type="dxa"/>
            <w:vAlign w:val="bottom"/>
            <w:gridSpan w:val="4"/>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280" w:type="dxa"/>
            <w:vAlign w:val="bottom"/>
            <w:gridSpan w:val="5"/>
          </w:tcPr>
          <w:p>
            <w:pPr>
              <w:ind w:left="240"/>
              <w:spacing w:after="0" w:line="189" w:lineRule="exact"/>
              <w:rPr>
                <w:sz w:val="20"/>
                <w:szCs w:val="20"/>
                <w:color w:val="auto"/>
              </w:rPr>
            </w:pPr>
            <w:r>
              <w:rPr>
                <w:rFonts w:ascii="Arial" w:cs="Arial" w:eastAsia="Arial" w:hAnsi="Arial"/>
                <w:sz w:val="17"/>
                <w:szCs w:val="17"/>
                <w:color w:val="auto"/>
              </w:rPr>
              <w:t>Net tangible book value (deficit) per share as of March 31, 2016 before this offering</w:t>
            </w:r>
          </w:p>
        </w:tc>
        <w:tc>
          <w:tcPr>
            <w:tcW w:w="640" w:type="dxa"/>
            <w:vAlign w:val="bottom"/>
          </w:tcPr>
          <w:p>
            <w:pPr>
              <w:spacing w:after="0"/>
              <w:rPr>
                <w:sz w:val="16"/>
                <w:szCs w:val="16"/>
                <w:color w:val="auto"/>
              </w:rPr>
            </w:pPr>
          </w:p>
        </w:tc>
        <w:tc>
          <w:tcPr>
            <w:tcW w:w="1860" w:type="dxa"/>
            <w:vAlign w:val="bottom"/>
            <w:gridSpan w:val="2"/>
          </w:tcPr>
          <w:p>
            <w:pPr>
              <w:jc w:val="right"/>
              <w:ind w:right="98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280" w:type="dxa"/>
            <w:vAlign w:val="bottom"/>
            <w:gridSpan w:val="5"/>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net tangible book value (deficit) per share attributable to new investors</w:t>
            </w: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240"/>
              <w:spacing w:after="0"/>
              <w:rPr>
                <w:sz w:val="20"/>
                <w:szCs w:val="20"/>
                <w:color w:val="auto"/>
              </w:rPr>
            </w:pPr>
            <w:r>
              <w:rPr>
                <w:rFonts w:ascii="Arial" w:cs="Arial" w:eastAsia="Arial" w:hAnsi="Arial"/>
                <w:sz w:val="17"/>
                <w:szCs w:val="17"/>
                <w:color w:val="auto"/>
              </w:rPr>
              <w:t>As adjusted net tangible book value (deficit) per share after this offering</w:t>
            </w: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4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Dilution in net tangible book value (deficit) per share to new investors</w:t>
            </w:r>
          </w:p>
        </w:tc>
        <w:tc>
          <w:tcPr>
            <w:tcW w:w="1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95"/>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
        </w:trPr>
        <w:tc>
          <w:tcPr>
            <w:tcW w:w="5960" w:type="dxa"/>
            <w:vAlign w:val="bottom"/>
            <w:gridSpan w:val="5"/>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auto"/>
            </w:tcBorders>
            <w:gridSpan w:val="4"/>
          </w:tcPr>
          <w:p>
            <w:pPr>
              <w:spacing w:after="0"/>
              <w:rPr>
                <w:sz w:val="18"/>
                <w:szCs w:val="18"/>
                <w:color w:val="auto"/>
              </w:rPr>
            </w:pPr>
          </w:p>
        </w:tc>
        <w:tc>
          <w:tcPr>
            <w:tcW w:w="5460" w:type="dxa"/>
            <w:vAlign w:val="bottom"/>
            <w:tcBorders>
              <w:bottom w:val="single" w:sz="8" w:color="auto"/>
            </w:tcBorders>
            <w:gridSpan w:val="8"/>
          </w:tcPr>
          <w:p>
            <w:pPr>
              <w:spacing w:after="0"/>
              <w:rPr>
                <w:sz w:val="18"/>
                <w:szCs w:val="18"/>
                <w:color w:val="auto"/>
              </w:rPr>
            </w:pPr>
          </w:p>
        </w:tc>
      </w:tr>
      <w:tr>
        <w:trPr>
          <w:trHeight w:val="338"/>
        </w:trPr>
        <w:tc>
          <w:tcPr>
            <w:tcW w:w="5960" w:type="dxa"/>
            <w:vAlign w:val="bottom"/>
            <w:gridSpan w:val="5"/>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460" w:type="dxa"/>
            <w:vAlign w:val="bottom"/>
            <w:gridSpan w:val="8"/>
          </w:tcPr>
          <w:p>
            <w:pPr>
              <w:jc w:val="right"/>
              <w:ind w:right="140"/>
              <w:spacing w:after="0"/>
              <w:rPr>
                <w:sz w:val="20"/>
                <w:szCs w:val="20"/>
                <w:color w:val="auto"/>
              </w:rPr>
            </w:pPr>
            <w:r>
              <w:rPr>
                <w:rFonts w:ascii="Arial" w:cs="Arial" w:eastAsia="Arial" w:hAnsi="Arial"/>
                <w:sz w:val="17"/>
                <w:szCs w:val="17"/>
                <w:color w:val="auto"/>
              </w:rPr>
              <w:t>per share (the midpoint of the price range listed on the cover page</w:t>
            </w:r>
          </w:p>
        </w:tc>
      </w:tr>
      <w:tr>
        <w:trPr>
          <w:trHeight w:val="189"/>
        </w:trPr>
        <w:tc>
          <w:tcPr>
            <w:tcW w:w="11220" w:type="dxa"/>
            <w:vAlign w:val="bottom"/>
            <w:gridSpan w:val="11"/>
          </w:tcPr>
          <w:p>
            <w:pPr>
              <w:spacing w:after="0" w:line="189" w:lineRule="exact"/>
              <w:rPr>
                <w:sz w:val="20"/>
                <w:szCs w:val="20"/>
                <w:color w:val="auto"/>
              </w:rPr>
            </w:pPr>
            <w:r>
              <w:rPr>
                <w:rFonts w:ascii="Arial" w:cs="Arial" w:eastAsia="Arial" w:hAnsi="Arial"/>
                <w:sz w:val="17"/>
                <w:szCs w:val="17"/>
                <w:color w:val="auto"/>
              </w:rPr>
              <w:t>of this prospectus) would increase (decrease) the as adjusted net tangible book value (deficit) per share after this offering by approximately $</w:t>
            </w:r>
          </w:p>
        </w:tc>
        <w:tc>
          <w:tcPr>
            <w:tcW w:w="100" w:type="dxa"/>
            <w:vAlign w:val="bottom"/>
          </w:tcPr>
          <w:p>
            <w:pPr>
              <w:jc w:val="right"/>
              <w:ind w:right="12"/>
              <w:spacing w:after="0"/>
              <w:rPr>
                <w:sz w:val="20"/>
                <w:szCs w:val="20"/>
                <w:color w:val="auto"/>
              </w:rPr>
            </w:pPr>
            <w:r>
              <w:rPr>
                <w:rFonts w:ascii="Arial" w:cs="Arial" w:eastAsia="Arial" w:hAnsi="Arial"/>
                <w:sz w:val="10"/>
                <w:szCs w:val="10"/>
                <w:color w:val="auto"/>
                <w:w w:val="70"/>
              </w:rPr>
              <w:t>,</w:t>
            </w:r>
          </w:p>
        </w:tc>
        <w:tc>
          <w:tcPr>
            <w:tcW w:w="100" w:type="dxa"/>
            <w:vAlign w:val="bottom"/>
          </w:tcPr>
          <w:p>
            <w:pPr>
              <w:spacing w:after="0"/>
              <w:rPr>
                <w:sz w:val="16"/>
                <w:szCs w:val="16"/>
                <w:color w:val="auto"/>
              </w:rPr>
            </w:pPr>
          </w:p>
        </w:tc>
      </w:tr>
      <w:tr>
        <w:trPr>
          <w:trHeight w:val="189"/>
        </w:trPr>
        <w:tc>
          <w:tcPr>
            <w:tcW w:w="7300" w:type="dxa"/>
            <w:vAlign w:val="bottom"/>
            <w:gridSpan w:val="6"/>
          </w:tcPr>
          <w:p>
            <w:pPr>
              <w:spacing w:after="0" w:line="189" w:lineRule="exact"/>
              <w:rPr>
                <w:sz w:val="20"/>
                <w:szCs w:val="20"/>
                <w:color w:val="auto"/>
              </w:rPr>
            </w:pPr>
            <w:r>
              <w:rPr>
                <w:rFonts w:ascii="Arial" w:cs="Arial" w:eastAsia="Arial" w:hAnsi="Arial"/>
                <w:sz w:val="17"/>
                <w:szCs w:val="17"/>
                <w:color w:val="auto"/>
              </w:rPr>
              <w:t>and dilution in net tangible book value (deficit) per share to new investors by approximately $</w:t>
            </w:r>
          </w:p>
        </w:tc>
        <w:tc>
          <w:tcPr>
            <w:tcW w:w="392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 assuming that the number of shares offered by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1220" w:type="dxa"/>
            <w:vAlign w:val="bottom"/>
            <w:gridSpan w:val="11"/>
          </w:tcPr>
          <w:p>
            <w:pPr>
              <w:spacing w:after="0" w:line="189" w:lineRule="exact"/>
              <w:rPr>
                <w:sz w:val="20"/>
                <w:szCs w:val="20"/>
                <w:color w:val="auto"/>
              </w:rPr>
            </w:pPr>
            <w:r>
              <w:rPr>
                <w:rFonts w:ascii="Arial" w:cs="Arial" w:eastAsia="Arial" w:hAnsi="Arial"/>
                <w:sz w:val="17"/>
                <w:szCs w:val="17"/>
                <w:color w:val="auto"/>
              </w:rPr>
              <w:t>us, as set forth on the cover page of this prospectus, remains the same and after deducting estimated underwriting discounts and commissions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960" w:type="dxa"/>
            <w:vAlign w:val="bottom"/>
            <w:gridSpan w:val="5"/>
          </w:tcPr>
          <w:p>
            <w:pPr>
              <w:spacing w:after="0"/>
              <w:rPr>
                <w:sz w:val="20"/>
                <w:szCs w:val="20"/>
                <w:color w:val="auto"/>
              </w:rPr>
            </w:pPr>
            <w:r>
              <w:rPr>
                <w:rFonts w:ascii="Arial" w:cs="Arial" w:eastAsia="Arial" w:hAnsi="Arial"/>
                <w:sz w:val="17"/>
                <w:szCs w:val="17"/>
                <w:color w:val="auto"/>
              </w:rPr>
              <w:t>estimated expenses payable by us in connection with this offering.</w:t>
            </w: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5"/>
        </w:trPr>
        <w:tc>
          <w:tcPr>
            <w:tcW w:w="11220" w:type="dxa"/>
            <w:vAlign w:val="bottom"/>
            <w:gridSpan w:val="11"/>
          </w:tcPr>
          <w:p>
            <w:pPr>
              <w:spacing w:after="0"/>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as adjusted net tangible book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3500" w:type="dxa"/>
            <w:vAlign w:val="bottom"/>
            <w:gridSpan w:val="4"/>
          </w:tcPr>
          <w:p>
            <w:pPr>
              <w:spacing w:after="0" w:line="189" w:lineRule="exact"/>
              <w:rPr>
                <w:sz w:val="20"/>
                <w:szCs w:val="20"/>
                <w:color w:val="auto"/>
              </w:rPr>
            </w:pPr>
            <w:r>
              <w:rPr>
                <w:rFonts w:ascii="Arial" w:cs="Arial" w:eastAsia="Arial" w:hAnsi="Arial"/>
                <w:sz w:val="17"/>
                <w:szCs w:val="17"/>
                <w:color w:val="auto"/>
              </w:rPr>
              <w:t>value (deficit) after the offering would be $</w:t>
            </w:r>
          </w:p>
        </w:tc>
        <w:tc>
          <w:tcPr>
            <w:tcW w:w="7920" w:type="dxa"/>
            <w:vAlign w:val="bottom"/>
            <w:gridSpan w:val="9"/>
          </w:tcPr>
          <w:p>
            <w:pPr>
              <w:jc w:val="right"/>
              <w:ind w:right="160"/>
              <w:spacing w:after="0" w:line="189" w:lineRule="exact"/>
              <w:rPr>
                <w:sz w:val="20"/>
                <w:szCs w:val="20"/>
                <w:color w:val="auto"/>
              </w:rPr>
            </w:pPr>
            <w:r>
              <w:rPr>
                <w:rFonts w:ascii="Arial" w:cs="Arial" w:eastAsia="Arial" w:hAnsi="Arial"/>
                <w:sz w:val="17"/>
                <w:szCs w:val="17"/>
                <w:color w:val="auto"/>
              </w:rPr>
              <w:t>per share, the increase in net tangible book value (deficit) per share to existing shareholders would</w:t>
            </w:r>
          </w:p>
        </w:tc>
      </w:tr>
      <w:tr>
        <w:trPr>
          <w:trHeight w:val="189"/>
        </w:trPr>
        <w:tc>
          <w:tcPr>
            <w:tcW w:w="640" w:type="dxa"/>
            <w:vAlign w:val="bottom"/>
            <w:gridSpan w:val="2"/>
          </w:tcPr>
          <w:p>
            <w:pPr>
              <w:spacing w:after="0" w:line="189" w:lineRule="exact"/>
              <w:rPr>
                <w:sz w:val="20"/>
                <w:szCs w:val="20"/>
                <w:color w:val="auto"/>
              </w:rPr>
            </w:pPr>
            <w:r>
              <w:rPr>
                <w:rFonts w:ascii="Arial" w:cs="Arial" w:eastAsia="Arial" w:hAnsi="Arial"/>
                <w:sz w:val="17"/>
                <w:szCs w:val="17"/>
                <w:color w:val="auto"/>
              </w:rPr>
              <w:t>be $</w:t>
            </w:r>
          </w:p>
        </w:tc>
        <w:tc>
          <w:tcPr>
            <w:tcW w:w="7300" w:type="dxa"/>
            <w:vAlign w:val="bottom"/>
            <w:gridSpan w:val="5"/>
          </w:tcPr>
          <w:p>
            <w:pPr>
              <w:ind w:left="320"/>
              <w:spacing w:after="0" w:line="189" w:lineRule="exact"/>
              <w:rPr>
                <w:sz w:val="20"/>
                <w:szCs w:val="20"/>
                <w:color w:val="auto"/>
              </w:rPr>
            </w:pPr>
            <w:r>
              <w:rPr>
                <w:rFonts w:ascii="Arial" w:cs="Arial" w:eastAsia="Arial" w:hAnsi="Arial"/>
                <w:sz w:val="17"/>
                <w:szCs w:val="17"/>
                <w:color w:val="auto"/>
              </w:rPr>
              <w:t>and the dilution in net tangible book value (deficit) per share to new investors would be $</w:t>
            </w:r>
          </w:p>
        </w:tc>
        <w:tc>
          <w:tcPr>
            <w:tcW w:w="3280" w:type="dxa"/>
            <w:vAlign w:val="bottom"/>
            <w:gridSpan w:val="4"/>
          </w:tcPr>
          <w:p>
            <w:pPr>
              <w:jc w:val="right"/>
              <w:ind w:right="95"/>
              <w:spacing w:after="0" w:line="189" w:lineRule="exact"/>
              <w:rPr>
                <w:sz w:val="20"/>
                <w:szCs w:val="20"/>
                <w:color w:val="auto"/>
              </w:rPr>
            </w:pPr>
            <w:r>
              <w:rPr>
                <w:rFonts w:ascii="Arial" w:cs="Arial" w:eastAsia="Arial" w:hAnsi="Arial"/>
                <w:sz w:val="17"/>
                <w:szCs w:val="17"/>
                <w:color w:val="auto"/>
              </w:rPr>
              <w:t>per share, in each case assuming 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560" w:type="dxa"/>
            <w:vAlign w:val="bottom"/>
            <w:gridSpan w:val="3"/>
          </w:tcPr>
          <w:p>
            <w:pPr>
              <w:spacing w:after="0"/>
              <w:rPr>
                <w:sz w:val="20"/>
                <w:szCs w:val="20"/>
                <w:color w:val="auto"/>
              </w:rPr>
            </w:pPr>
            <w:r>
              <w:rPr>
                <w:rFonts w:ascii="Arial" w:cs="Arial" w:eastAsia="Arial" w:hAnsi="Arial"/>
                <w:sz w:val="17"/>
                <w:szCs w:val="17"/>
                <w:color w:val="auto"/>
              </w:rPr>
              <w:t>initial public offering price of $</w:t>
            </w:r>
          </w:p>
        </w:tc>
        <w:tc>
          <w:tcPr>
            <w:tcW w:w="8660" w:type="dxa"/>
            <w:vAlign w:val="bottom"/>
            <w:gridSpan w:val="8"/>
          </w:tcPr>
          <w:p>
            <w:pPr>
              <w:jc w:val="right"/>
              <w:ind w:right="1775"/>
              <w:spacing w:after="0"/>
              <w:rPr>
                <w:sz w:val="20"/>
                <w:szCs w:val="20"/>
                <w:color w:val="auto"/>
              </w:rPr>
            </w:pPr>
            <w:r>
              <w:rPr>
                <w:rFonts w:ascii="Arial" w:cs="Arial" w:eastAsia="Arial" w:hAnsi="Arial"/>
                <w:sz w:val="17"/>
                <w:szCs w:val="17"/>
                <w:color w:val="auto"/>
              </w:rPr>
              <w:t>per share (the midpoint of the price range listed on the cover page of this prospectus).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46"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The following table summarizes as of March 31, 2016, on an as adjusted basis after giving effect to this offering, the total number of shares of common stock purchased from us, the total cash consideration paid to us, or to be paid, and the average price per share paid, or to be paid, by our existing</w:t>
      </w:r>
    </w:p>
    <w:p>
      <w:pPr>
        <w:ind w:right="120"/>
        <w:spacing w:after="0" w:line="238" w:lineRule="auto"/>
        <w:rPr>
          <w:sz w:val="20"/>
          <w:szCs w:val="20"/>
          <w:color w:val="auto"/>
        </w:rPr>
      </w:pPr>
      <w:r>
        <w:rPr>
          <w:rFonts w:ascii="Arial" w:cs="Arial" w:eastAsia="Arial" w:hAnsi="Arial"/>
          <w:sz w:val="17"/>
          <w:szCs w:val="17"/>
          <w:color w:val="auto"/>
        </w:rPr>
        <w:t>investors and by new investors purchasing shares in this offering, at the assumed initial public offering price of $ per share (the midpoint of the price range listed on the cover page of this prospectus) before deducting the estimated underwriting discounts and commissions and estimated expenses payable by us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center"/>
              <w:ind w:right="588"/>
              <w:spacing w:after="0"/>
              <w:rPr>
                <w:sz w:val="20"/>
                <w:szCs w:val="20"/>
                <w:color w:val="auto"/>
              </w:rPr>
            </w:pPr>
            <w:r>
              <w:rPr>
                <w:rFonts w:ascii="Arial" w:cs="Arial" w:eastAsia="Arial" w:hAnsi="Arial"/>
                <w:sz w:val="14"/>
                <w:szCs w:val="14"/>
                <w:b w:val="1"/>
                <w:bCs w:val="1"/>
                <w:color w:val="auto"/>
                <w:w w:val="98"/>
              </w:rPr>
              <w:t>TOTAL</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PURCHASED</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CONSIDERATION</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1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PERCENT</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PERCENT</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w w:val="92"/>
              </w:rPr>
              <w:t>%</w:t>
            </w:r>
          </w:p>
        </w:tc>
        <w:tc>
          <w:tcPr>
            <w:tcW w:w="2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04"/>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w w:val="92"/>
              </w:rPr>
              <w:t>%</w:t>
            </w: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7"/>
                <w:szCs w:val="17"/>
                <w:color w:val="auto"/>
              </w:rPr>
              <w:t>New investors</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92"/>
              </w:rPr>
              <w:t>%</w:t>
            </w:r>
          </w:p>
        </w:tc>
        <w:tc>
          <w:tcPr>
            <w:tcW w:w="960" w:type="dxa"/>
            <w:vAlign w:val="bottom"/>
            <w:gridSpan w:val="2"/>
          </w:tcPr>
          <w:p>
            <w:pPr>
              <w:jc w:val="right"/>
              <w:ind w:right="504"/>
              <w:spacing w:after="0" w:line="189" w:lineRule="exact"/>
              <w:rPr>
                <w:sz w:val="20"/>
                <w:szCs w:val="20"/>
                <w:color w:val="auto"/>
              </w:rPr>
            </w:pPr>
            <w:r>
              <w:rPr>
                <w:rFonts w:ascii="Arial" w:cs="Arial" w:eastAsia="Arial" w:hAnsi="Arial"/>
                <w:sz w:val="17"/>
                <w:szCs w:val="17"/>
                <w:color w:val="auto"/>
              </w:rPr>
              <w:t>$</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92"/>
              </w:rPr>
              <w:t>%</w:t>
            </w:r>
          </w:p>
        </w:tc>
        <w:tc>
          <w:tcPr>
            <w:tcW w:w="14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w w:val="92"/>
              </w:rPr>
              <w:t>%</w:t>
            </w:r>
          </w:p>
        </w:tc>
        <w:tc>
          <w:tcPr>
            <w:tcW w:w="960" w:type="dxa"/>
            <w:vAlign w:val="bottom"/>
            <w:gridSpan w:val="2"/>
            <w:shd w:val="clear" w:color="auto" w:fill="CCEEFF"/>
          </w:tcPr>
          <w:p>
            <w:pPr>
              <w:jc w:val="right"/>
              <w:ind w:right="504"/>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w w:val="92"/>
              </w:rPr>
              <w:t>%</w:t>
            </w:r>
          </w:p>
        </w:tc>
        <w:tc>
          <w:tcPr>
            <w:tcW w:w="146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auto"/>
            </w:tcBorders>
            <w:gridSpan w:val="3"/>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6180" w:type="dxa"/>
            <w:vAlign w:val="bottom"/>
            <w:gridSpan w:val="4"/>
          </w:tcPr>
          <w:p>
            <w:pPr>
              <w:jc w:val="right"/>
              <w:ind w:right="380"/>
              <w:spacing w:after="0"/>
              <w:rPr>
                <w:sz w:val="20"/>
                <w:szCs w:val="20"/>
                <w:color w:val="auto"/>
              </w:rPr>
            </w:pPr>
            <w:r>
              <w:rPr>
                <w:rFonts w:ascii="Arial" w:cs="Arial" w:eastAsia="Arial" w:hAnsi="Arial"/>
                <w:sz w:val="16"/>
                <w:szCs w:val="16"/>
                <w:color w:val="auto"/>
              </w:rPr>
              <w:t>51</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listed on the cover page of this prospectus) would increase (decrease) the total consideration paid by new investors and the total consideration paid by all shareholders by</w:t>
      </w:r>
    </w:p>
    <w:p>
      <w:pPr>
        <w:ind w:right="460" w:firstLine="8"/>
        <w:spacing w:after="0" w:line="243" w:lineRule="auto"/>
        <w:tabs>
          <w:tab w:leader="none" w:pos="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remains the same and before deducting the estimated underwriting discounts and commissions and estimated expenses payable by us in connection with this offering.</w:t>
      </w:r>
    </w:p>
    <w:p>
      <w:pPr>
        <w:spacing w:after="0" w:line="144"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shares of our common stock held by existing investors would be %, and the percentage of shares of our common stock held by new investors would be %.</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above discussion and tables are based on the number of shares outstanding as of March 31, 2016 and excludes:</w:t>
      </w:r>
    </w:p>
    <w:p>
      <w:pPr>
        <w:spacing w:after="0" w:line="196" w:lineRule="exact"/>
        <w:rPr>
          <w:sz w:val="20"/>
          <w:szCs w:val="20"/>
          <w:color w:val="auto"/>
        </w:rPr>
      </w:pPr>
    </w:p>
    <w:p>
      <w:pPr>
        <w:ind w:left="800" w:right="120" w:hanging="454"/>
        <w:spacing w:after="0" w:line="195" w:lineRule="auto"/>
        <w:tabs>
          <w:tab w:leader="none" w:pos="800" w:val="left"/>
        </w:tabs>
        <w:numPr>
          <w:ilvl w:val="0"/>
          <w:numId w:val="42"/>
        </w:numPr>
        <w:rPr>
          <w:rFonts w:ascii="Arial" w:cs="Arial" w:eastAsia="Arial" w:hAnsi="Arial"/>
          <w:sz w:val="25"/>
          <w:szCs w:val="25"/>
          <w:color w:val="auto"/>
          <w:vertAlign w:val="superscript"/>
        </w:rPr>
      </w:pPr>
      <w:r>
        <w:rPr>
          <w:rFonts w:ascii="Arial" w:cs="Arial" w:eastAsia="Arial" w:hAnsi="Arial"/>
          <w:sz w:val="17"/>
          <w:szCs w:val="17"/>
          <w:color w:val="auto"/>
        </w:rPr>
        <w:t>shares of common stock issuable upon exercise of stock options outstanding as of March 31, 2016 at a weighted average exercise price of $ per share; and</w:t>
      </w:r>
    </w:p>
    <w:p>
      <w:pPr>
        <w:spacing w:after="0" w:line="18" w:lineRule="exact"/>
        <w:rPr>
          <w:sz w:val="20"/>
          <w:szCs w:val="20"/>
          <w:color w:val="auto"/>
        </w:rPr>
      </w:pPr>
    </w:p>
    <w:p>
      <w:pPr>
        <w:ind w:left="800" w:right="40" w:hanging="459"/>
        <w:spacing w:after="0" w:line="206" w:lineRule="auto"/>
        <w:tabs>
          <w:tab w:leader="none" w:pos="780" w:val="left"/>
        </w:tabs>
        <w:rPr>
          <w:sz w:val="20"/>
          <w:szCs w:val="20"/>
          <w:color w:val="auto"/>
        </w:rPr>
      </w:pPr>
      <w:r>
        <w:rPr>
          <w:rFonts w:ascii="Arial" w:cs="Arial" w:eastAsia="Arial" w:hAnsi="Arial"/>
          <w:sz w:val="25"/>
          <w:szCs w:val="25"/>
          <w:color w:val="auto"/>
          <w:vertAlign w:val="superscript"/>
        </w:rPr>
        <w:t>n</w:t>
      </w:r>
      <w:r>
        <w:rPr>
          <w:sz w:val="20"/>
          <w:szCs w:val="20"/>
          <w:color w:val="auto"/>
        </w:rPr>
        <w:tab/>
      </w:r>
      <w:r>
        <w:rPr>
          <w:rFonts w:ascii="Arial" w:cs="Arial" w:eastAsia="Arial" w:hAnsi="Arial"/>
          <w:sz w:val="17"/>
          <w:szCs w:val="17"/>
          <w:color w:val="auto"/>
        </w:rPr>
        <w:t>an additional shares of common stock reserved for future issuance under the Plan, including pursuant to equity awards to be granted in connection with this offering, as described in “Executive and Director Compensation—Narrative to Summary Compensation Table —Offering Grants to Employees under the 2016 Incentive Award Plan.”</w:t>
      </w:r>
    </w:p>
    <w:p>
      <w:pPr>
        <w:spacing w:after="0" w:line="155"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shareholders. See “Risk Factors—Risks Relating to Our Common Stock and this Offering—If you purchase shares of common stock sold in this offering, you will incur immediate and substantial dilution.”</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However, because indications of interest are not binding agreements or commitments to purchase, this existing shareholder may determine to increase or reduce the amount of his indication of interest, or otherwise elect not to purchase any shares. It is also possible that the number of shares, if any, allocated to this shareholder in the offering may be smaller than the amount of his indication of interest. Any allocation of shares in the offering to this existing shareholder will be made at our direction.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33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following tables set forth our selected consolidated historical financial and other data for the periods ending on and as of the dates indicated. We derived the consolidated statements of operations data for the years ended December 31, 2013 (Predecessor) and December 31, 2015 (Successor) and the consolidated balance sheet data as of December 31, 2014 and December 31, 2015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three months ended March 31, 2015 and March 31, 2016 and the condensed consolidated balance sheet data as of March 31,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5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“Management’s Discussion and Analysis of Financial Condition and Results of Operations,” “Capitalization” and our consolidated financial statements and the related notes thereto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SUCCESSOR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THREE MONTH</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PERIOD 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Service revenue, net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87,800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76,030</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320,101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219,791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70,250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244,270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Reimbursed out-of-pocket revenue</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Pr>
          <w:p>
            <w:pPr>
              <w:ind w:left="520"/>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99,586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83,033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359,059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248,499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77,929</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272,890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 amortization</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46,981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39,125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163,707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117,550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38,759</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119,779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13,509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11,742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56,998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29,465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10,203</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35,109</w:t>
            </w: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9,313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12,668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17,201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63,142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56,422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86,717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76,644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338,497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246,052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76,092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12,869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6,389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20,562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1,837</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58,863</w:t>
            </w: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Arial" w:cs="Arial" w:eastAsia="Arial" w:hAnsi="Arial"/>
                <w:sz w:val="14"/>
                <w:szCs w:val="14"/>
                <w:color w:val="auto"/>
              </w:rPr>
              <w:t>Miscellaneous (expense) income, net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(976)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1,213</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(7,073)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(27,259)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(23,185)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Pr>
          <w:p>
            <w:pPr>
              <w:ind w:left="520"/>
              <w:spacing w:after="0"/>
              <w:rPr>
                <w:sz w:val="20"/>
                <w:szCs w:val="20"/>
                <w:color w:val="auto"/>
              </w:rPr>
            </w:pPr>
            <w:r>
              <w:rPr>
                <w:rFonts w:ascii="Arial" w:cs="Arial" w:eastAsia="Arial" w:hAnsi="Arial"/>
                <w:sz w:val="14"/>
                <w:szCs w:val="14"/>
                <w:color w:val="auto"/>
              </w:rPr>
              <w:t>Total other expense, net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(6,908)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(8,049)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(28,392)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(23,486)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(2,059)</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(19,718)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5,961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(1,660)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39,145</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2,513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(1,601)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843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(6,703)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(8,673)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(1,236)</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5"/>
          </w:tcPr>
          <w:p>
            <w:pPr>
              <w:jc w:val="right"/>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12"/>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6"/>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top w:val="single" w:sz="8" w:color="auto"/>
            </w:tcBorders>
            <w:gridSpan w:val="7"/>
          </w:tcPr>
          <w:p>
            <w:pPr>
              <w:spacing w:after="0" w:line="143" w:lineRule="exact"/>
              <w:rPr>
                <w:sz w:val="20"/>
                <w:szCs w:val="20"/>
                <w:color w:val="auto"/>
              </w:rPr>
            </w:pPr>
            <w:r>
              <w:rPr>
                <w:rFonts w:ascii="Arial" w:cs="Arial" w:eastAsia="Arial" w:hAnsi="Arial"/>
                <w:sz w:val="14"/>
                <w:szCs w:val="14"/>
                <w:b w:val="1"/>
                <w:bCs w:val="1"/>
                <w:color w:val="auto"/>
              </w:rPr>
              <w:t>THREE MONTH</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4"/>
                <w:szCs w:val="14"/>
                <w:color w:val="auto"/>
              </w:rPr>
            </w:pPr>
          </w:p>
        </w:tc>
        <w:tc>
          <w:tcPr>
            <w:tcW w:w="12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PERIOD FROM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rPr>
              <w:t>THREE</w:t>
            </w:r>
          </w:p>
        </w:tc>
        <w:tc>
          <w:tcPr>
            <w:tcW w:w="1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rPr>
              <w:t>APRIL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JANUARY 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MONTHS</w:t>
            </w:r>
          </w:p>
        </w:tc>
        <w:tc>
          <w:tcPr>
            <w:tcW w:w="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6"/>
          </w:tcPr>
          <w:p>
            <w:pPr>
              <w:jc w:val="center"/>
              <w:ind w:left="36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left="1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1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6"/>
          </w:tcPr>
          <w:p>
            <w:pPr>
              <w:jc w:val="center"/>
              <w:ind w:left="36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left="1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left="6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income (loss) per share attributable to common shareholders:</w:t>
            </w: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Basic</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108"/>
              <w:spacing w:after="0"/>
              <w:rPr>
                <w:sz w:val="20"/>
                <w:szCs w:val="20"/>
                <w:color w:val="auto"/>
              </w:rPr>
            </w:pPr>
            <w:r>
              <w:rPr>
                <w:rFonts w:ascii="Arial" w:cs="Arial" w:eastAsia="Arial" w:hAnsi="Arial"/>
                <w:sz w:val="14"/>
                <w:szCs w:val="14"/>
                <w:color w:val="auto"/>
              </w:rPr>
              <w:t>0.08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(0.20)</w:t>
            </w:r>
          </w:p>
        </w:tc>
        <w:tc>
          <w:tcPr>
            <w:tcW w:w="520" w:type="dxa"/>
            <w:vAlign w:val="bottom"/>
            <w:gridSpan w:val="3"/>
          </w:tcPr>
          <w:p>
            <w:pPr>
              <w:jc w:val="center"/>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(0.34)</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6"/>
          </w:tcPr>
          <w:p>
            <w:pPr>
              <w:jc w:val="right"/>
              <w:ind w:right="120"/>
              <w:spacing w:after="0"/>
              <w:rPr>
                <w:sz w:val="20"/>
                <w:szCs w:val="20"/>
                <w:color w:val="auto"/>
              </w:rPr>
            </w:pPr>
            <w:r>
              <w:rPr>
                <w:rFonts w:ascii="Arial" w:cs="Arial" w:eastAsia="Arial" w:hAnsi="Arial"/>
                <w:sz w:val="14"/>
                <w:szCs w:val="14"/>
                <w:color w:val="auto"/>
              </w:rPr>
              <w:t>(0.05)</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0.99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520" w:type="dxa"/>
            <w:vAlign w:val="bottom"/>
            <w:gridSpan w:val="3"/>
            <w:shd w:val="clear" w:color="auto" w:fill="CCEEFF"/>
          </w:tcPr>
          <w:p>
            <w:pPr>
              <w:jc w:val="center"/>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tcBorders>
              <w:right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(0.34)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6"/>
            <w:shd w:val="clear" w:color="auto" w:fill="CCEEFF"/>
          </w:tcPr>
          <w:p>
            <w:pPr>
              <w:jc w:val="right"/>
              <w:ind w:right="120"/>
              <w:spacing w:after="0"/>
              <w:rPr>
                <w:sz w:val="20"/>
                <w:szCs w:val="20"/>
                <w:color w:val="auto"/>
              </w:rPr>
            </w:pPr>
            <w:r>
              <w:rPr>
                <w:rFonts w:ascii="Arial" w:cs="Arial" w:eastAsia="Arial" w:hAnsi="Arial"/>
                <w:sz w:val="14"/>
                <w:szCs w:val="14"/>
                <w:color w:val="auto"/>
              </w:rPr>
              <w:t>(0.05)</w:t>
            </w:r>
          </w:p>
        </w:tc>
        <w:tc>
          <w:tcPr>
            <w:tcW w:w="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44,044</w:t>
            </w: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41,808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42,317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tcBorders>
              <w:righ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w w:val="97"/>
              </w:rPr>
              <w:t>41,673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6"/>
            <w:shd w:val="clear" w:color="auto" w:fill="CCEEFF"/>
          </w:tcPr>
          <w:p>
            <w:pPr>
              <w:jc w:val="right"/>
              <w:ind w:right="180"/>
              <w:spacing w:after="0"/>
              <w:rPr>
                <w:sz w:val="20"/>
                <w:szCs w:val="20"/>
                <w:color w:val="auto"/>
              </w:rPr>
            </w:pPr>
            <w:r>
              <w:rPr>
                <w:rFonts w:ascii="Arial" w:cs="Arial" w:eastAsia="Arial" w:hAnsi="Arial"/>
                <w:sz w:val="14"/>
                <w:szCs w:val="14"/>
                <w:color w:val="auto"/>
              </w:rPr>
              <w:t>25,047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25,204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Diluted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08"/>
              <w:spacing w:after="0"/>
              <w:rPr>
                <w:sz w:val="20"/>
                <w:szCs w:val="20"/>
                <w:color w:val="auto"/>
              </w:rPr>
            </w:pPr>
            <w:r>
              <w:rPr>
                <w:rFonts w:ascii="Arial" w:cs="Arial" w:eastAsia="Arial" w:hAnsi="Arial"/>
                <w:sz w:val="14"/>
                <w:szCs w:val="14"/>
                <w:color w:val="auto"/>
              </w:rPr>
              <w:t>44,044</w:t>
            </w:r>
          </w:p>
        </w:tc>
        <w:tc>
          <w:tcPr>
            <w:tcW w:w="12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41,808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4"/>
                <w:szCs w:val="14"/>
                <w:color w:val="auto"/>
              </w:rPr>
              <w:t>42,317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7"/>
              </w:rPr>
              <w:t>41,673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6"/>
          </w:tcPr>
          <w:p>
            <w:pPr>
              <w:jc w:val="right"/>
              <w:ind w:right="180"/>
              <w:spacing w:after="0"/>
              <w:rPr>
                <w:sz w:val="20"/>
                <w:szCs w:val="20"/>
                <w:color w:val="auto"/>
              </w:rPr>
            </w:pPr>
            <w:r>
              <w:rPr>
                <w:rFonts w:ascii="Arial" w:cs="Arial" w:eastAsia="Arial" w:hAnsi="Arial"/>
                <w:sz w:val="14"/>
                <w:szCs w:val="14"/>
                <w:color w:val="auto"/>
              </w:rPr>
              <w:t>25,047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26,150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108"/>
              <w:spacing w:after="0"/>
              <w:rPr>
                <w:sz w:val="20"/>
                <w:szCs w:val="20"/>
                <w:color w:val="auto"/>
              </w:rPr>
            </w:pPr>
            <w:r>
              <w:rPr>
                <w:rFonts w:ascii="Arial" w:cs="Arial" w:eastAsia="Arial" w:hAnsi="Arial"/>
                <w:sz w:val="14"/>
                <w:szCs w:val="14"/>
                <w:color w:val="auto"/>
              </w:rPr>
              <w:t>12,721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4,795</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4"/>
                <w:szCs w:val="14"/>
                <w:color w:val="auto"/>
              </w:rPr>
              <w:t>84,117</w:t>
            </w:r>
          </w:p>
        </w:tc>
        <w:tc>
          <w:tcPr>
            <w:tcW w:w="520" w:type="dxa"/>
            <w:vAlign w:val="bottom"/>
            <w:gridSpan w:val="3"/>
          </w:tcPr>
          <w:p>
            <w:pPr>
              <w:jc w:val="center"/>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7"/>
              </w:rPr>
              <w:t>62,539</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6"/>
          </w:tcPr>
          <w:p>
            <w:pPr>
              <w:jc w:val="right"/>
              <w:ind w:right="180"/>
              <w:spacing w:after="0"/>
              <w:rPr>
                <w:sz w:val="20"/>
                <w:szCs w:val="20"/>
                <w:color w:val="auto"/>
              </w:rPr>
            </w:pPr>
            <w:r>
              <w:rPr>
                <w:rFonts w:ascii="Arial" w:cs="Arial" w:eastAsia="Arial" w:hAnsi="Arial"/>
                <w:sz w:val="14"/>
                <w:szCs w:val="14"/>
                <w:color w:val="auto"/>
              </w:rPr>
              <w:t>12,807</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98,142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(3,424)</w:t>
            </w: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(6,432)</w:t>
            </w:r>
          </w:p>
        </w:tc>
        <w:tc>
          <w:tcPr>
            <w:tcW w:w="1260" w:type="dxa"/>
            <w:vAlign w:val="bottom"/>
            <w:tcBorders>
              <w:right w:val="single" w:sz="8" w:color="auto"/>
            </w:tcBorders>
            <w:gridSpan w:val="9"/>
            <w:shd w:val="clear" w:color="auto" w:fill="CCEEFF"/>
          </w:tcPr>
          <w:p>
            <w:pPr>
              <w:jc w:val="right"/>
              <w:ind w:right="60"/>
              <w:spacing w:after="0"/>
              <w:rPr>
                <w:sz w:val="20"/>
                <w:szCs w:val="20"/>
                <w:color w:val="auto"/>
              </w:rPr>
            </w:pPr>
            <w:r>
              <w:rPr>
                <w:rFonts w:ascii="Arial" w:cs="Arial" w:eastAsia="Arial" w:hAnsi="Arial"/>
                <w:sz w:val="14"/>
                <w:szCs w:val="14"/>
                <w:color w:val="auto"/>
              </w:rPr>
              <w:t>(907,640)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6"/>
            <w:shd w:val="clear" w:color="auto" w:fill="CCEEFF"/>
          </w:tcPr>
          <w:p>
            <w:pPr>
              <w:jc w:val="right"/>
              <w:ind w:right="120"/>
              <w:spacing w:after="0"/>
              <w:rPr>
                <w:sz w:val="20"/>
                <w:szCs w:val="20"/>
                <w:color w:val="auto"/>
              </w:rPr>
            </w:pPr>
            <w:r>
              <w:rPr>
                <w:rFonts w:ascii="Arial" w:cs="Arial" w:eastAsia="Arial" w:hAnsi="Arial"/>
                <w:sz w:val="14"/>
                <w:szCs w:val="14"/>
                <w:color w:val="auto"/>
              </w:rPr>
              <w:t>(827)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(30,293)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color w:val="auto"/>
              </w:rPr>
              <w:t>(116,489)</w:t>
            </w:r>
          </w:p>
        </w:tc>
        <w:tc>
          <w:tcPr>
            <w:tcW w:w="1260" w:type="dxa"/>
            <w:vAlign w:val="bottom"/>
            <w:tcBorders>
              <w:right w:val="single" w:sz="8" w:color="auto"/>
            </w:tcBorders>
            <w:gridSpan w:val="9"/>
          </w:tcPr>
          <w:p>
            <w:pPr>
              <w:jc w:val="right"/>
              <w:ind w:right="120"/>
              <w:spacing w:after="0"/>
              <w:rPr>
                <w:sz w:val="20"/>
                <w:szCs w:val="20"/>
                <w:color w:val="auto"/>
              </w:rPr>
            </w:pPr>
            <w:r>
              <w:rPr>
                <w:rFonts w:ascii="Arial" w:cs="Arial" w:eastAsia="Arial" w:hAnsi="Arial"/>
                <w:sz w:val="14"/>
                <w:szCs w:val="14"/>
                <w:color w:val="auto"/>
              </w:rPr>
              <w:t>900,171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6"/>
          </w:tcPr>
          <w:p>
            <w:pPr>
              <w:jc w:val="right"/>
              <w:ind w:right="120"/>
              <w:spacing w:after="0"/>
              <w:rPr>
                <w:sz w:val="20"/>
                <w:szCs w:val="20"/>
                <w:color w:val="auto"/>
              </w:rPr>
            </w:pPr>
            <w:r>
              <w:rPr>
                <w:rFonts w:ascii="Arial" w:cs="Arial" w:eastAsia="Arial" w:hAnsi="Arial"/>
                <w:sz w:val="14"/>
                <w:szCs w:val="14"/>
                <w:color w:val="auto"/>
              </w:rPr>
              <w:t>(17,968)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(95,851)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gridSpan w:val="3"/>
          </w:tcPr>
          <w:p>
            <w:pPr>
              <w:spacing w:after="0"/>
              <w:rPr>
                <w:sz w:val="18"/>
                <w:szCs w:val="18"/>
                <w:color w:val="auto"/>
              </w:rPr>
            </w:pPr>
          </w:p>
        </w:tc>
        <w:tc>
          <w:tcPr>
            <w:tcW w:w="82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gridSpan w:val="3"/>
          </w:tcPr>
          <w:p>
            <w:pPr>
              <w:spacing w:after="0"/>
              <w:rPr>
                <w:sz w:val="21"/>
                <w:szCs w:val="21"/>
                <w:color w:val="auto"/>
              </w:rPr>
            </w:pPr>
          </w:p>
        </w:tc>
        <w:tc>
          <w:tcPr>
            <w:tcW w:w="8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12"/>
            <w:vMerge w:val="restart"/>
          </w:tcPr>
          <w:p>
            <w:pPr>
              <w:jc w:val="right"/>
              <w:ind w:right="8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center"/>
              <w:spacing w:after="0" w:line="143" w:lineRule="exact"/>
              <w:rPr>
                <w:sz w:val="20"/>
                <w:szCs w:val="20"/>
                <w:color w:val="auto"/>
              </w:rPr>
            </w:pPr>
            <w:r>
              <w:rPr>
                <w:rFonts w:ascii="Arial" w:cs="Arial" w:eastAsia="Arial" w:hAnsi="Arial"/>
                <w:sz w:val="14"/>
                <w:szCs w:val="14"/>
                <w:b w:val="1"/>
                <w:bCs w:val="1"/>
                <w:color w:val="auto"/>
              </w:rPr>
              <w:t>NINE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MONTH</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THREE MONTH</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FROM</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THREE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APRIL 1,</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JANUARY 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MONTHS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THROUGH</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DECEMBER</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rPr>
              <w:t>2015</w:t>
            </w:r>
          </w:p>
        </w:tc>
        <w:tc>
          <w:tcPr>
            <w:tcW w:w="100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left="6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Other Financial Data:</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line="162" w:lineRule="exact"/>
              <w:rPr>
                <w:sz w:val="20"/>
                <w:szCs w:val="20"/>
                <w:color w:val="auto"/>
              </w:rPr>
            </w:pPr>
            <w:r>
              <w:rPr>
                <w:rFonts w:ascii="Arial" w:cs="Arial" w:eastAsia="Arial" w:hAnsi="Arial"/>
                <w:sz w:val="11"/>
                <w:szCs w:val="11"/>
                <w:color w:val="auto"/>
              </w:rPr>
              <w:t xml:space="preserve">EBITDA </w:t>
            </w:r>
            <w:r>
              <w:rPr>
                <w:rFonts w:ascii="Arial" w:cs="Arial" w:eastAsia="Arial" w:hAnsi="Arial"/>
                <w:sz w:val="18"/>
                <w:szCs w:val="18"/>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26,375</w:t>
            </w:r>
          </w:p>
        </w:tc>
        <w:tc>
          <w:tcPr>
            <w:tcW w:w="1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    24,187</w:t>
            </w: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88,950</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color w:val="auto"/>
              </w:rPr>
              <w:t>63,178</w:t>
            </w: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10,081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87,664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Adjusted EBITDA </w:t>
            </w:r>
            <w:r>
              <w:rPr>
                <w:rFonts w:ascii="Arial" w:cs="Arial" w:eastAsia="Arial" w:hAnsi="Arial"/>
                <w:sz w:val="18"/>
                <w:szCs w:val="18"/>
                <w:color w:val="auto"/>
                <w:vertAlign w:val="superscript"/>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25,759</w:t>
            </w:r>
          </w:p>
        </w:tc>
        <w:tc>
          <w:tcPr>
            <w:tcW w:w="12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23,447</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101,216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70,450</w:t>
            </w:r>
          </w:p>
        </w:tc>
        <w:tc>
          <w:tcPr>
            <w:tcW w:w="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21,710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85,409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line="162" w:lineRule="exact"/>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18"/>
                <w:szCs w:val="18"/>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11,552</w:t>
            </w:r>
          </w:p>
        </w:tc>
        <w:tc>
          <w:tcPr>
            <w:tcW w:w="1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10,809</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40,445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color w:val="auto"/>
              </w:rPr>
              <w:t>26,685</w:t>
            </w: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9,715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Free Cash Flow </w:t>
            </w:r>
            <w:r>
              <w:rPr>
                <w:rFonts w:ascii="Arial" w:cs="Arial" w:eastAsia="Arial" w:hAnsi="Arial"/>
                <w:sz w:val="18"/>
                <w:szCs w:val="18"/>
                <w:color w:val="auto"/>
                <w:vertAlign w:val="superscript"/>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8,896</w:t>
            </w:r>
          </w:p>
        </w:tc>
        <w:tc>
          <w:tcPr>
            <w:tcW w:w="12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3,881</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76,360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57,030</w:t>
            </w:r>
          </w:p>
        </w:tc>
        <w:tc>
          <w:tcPr>
            <w:tcW w:w="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11,552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93,581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line="162" w:lineRule="exact"/>
              <w:rPr>
                <w:sz w:val="20"/>
                <w:szCs w:val="20"/>
                <w:color w:val="auto"/>
              </w:rPr>
            </w:pPr>
            <w:r>
              <w:rPr>
                <w:rFonts w:ascii="Arial" w:cs="Arial" w:eastAsia="Arial" w:hAnsi="Arial"/>
                <w:sz w:val="11"/>
                <w:szCs w:val="11"/>
                <w:color w:val="auto"/>
              </w:rPr>
              <w:t xml:space="preserve">Backlog (at period end) </w:t>
            </w:r>
            <w:r>
              <w:rPr>
                <w:rFonts w:ascii="Arial" w:cs="Arial" w:eastAsia="Arial" w:hAnsi="Arial"/>
                <w:sz w:val="18"/>
                <w:szCs w:val="18"/>
                <w:color w:val="auto"/>
                <w:vertAlign w:val="superscript"/>
              </w:rPr>
              <w:t>(2)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448,123</w:t>
            </w:r>
          </w:p>
        </w:tc>
        <w:tc>
          <w:tcPr>
            <w:tcW w:w="1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405,850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429,659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w w:val="98"/>
              </w:rPr>
              <w:t>394,023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386,047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359,341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Net new business awards </w:t>
            </w:r>
            <w:r>
              <w:rPr>
                <w:rFonts w:ascii="Arial" w:cs="Arial" w:eastAsia="Arial" w:hAnsi="Arial"/>
                <w:sz w:val="18"/>
                <w:szCs w:val="18"/>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106,370</w:t>
            </w:r>
          </w:p>
        </w:tc>
        <w:tc>
          <w:tcPr>
            <w:tcW w:w="12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91,112</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359,538</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8"/>
              </w:rPr>
              <w:t>231,918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97,220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291,577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DECEMBER</w:t>
            </w:r>
          </w:p>
        </w:tc>
        <w:tc>
          <w:tcPr>
            <w:tcW w:w="40" w:type="dxa"/>
            <w:vAlign w:val="bottom"/>
          </w:tcPr>
          <w:p>
            <w:pPr>
              <w:spacing w:after="0"/>
              <w:rPr>
                <w:sz w:val="14"/>
                <w:szCs w:val="14"/>
                <w:color w:val="auto"/>
              </w:rPr>
            </w:pPr>
          </w:p>
        </w:tc>
        <w:tc>
          <w:tcPr>
            <w:tcW w:w="13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31, 2016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31, 2015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22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 Data</w:t>
            </w: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$ 24,181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14,880</w:t>
            </w:r>
          </w:p>
        </w:tc>
        <w:tc>
          <w:tcPr>
            <w:tcW w:w="140" w:type="dxa"/>
            <w:vAlign w:val="bottom"/>
          </w:tcPr>
          <w:p>
            <w:pPr>
              <w:spacing w:after="0"/>
              <w:rPr>
                <w:sz w:val="14"/>
                <w:szCs w:val="14"/>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54,285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cash</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2,761</w:t>
            </w:r>
          </w:p>
        </w:tc>
        <w:tc>
          <w:tcPr>
            <w:tcW w:w="1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2,857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Accounts receivable billed, net and unbilled services: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75,006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65,088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65,248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(24,067)</w:t>
            </w:r>
          </w:p>
        </w:tc>
        <w:tc>
          <w:tcPr>
            <w:tcW w:w="1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(39,296)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993,996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984,041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1,096,912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long-term debt, net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378,457</w:t>
            </w:r>
          </w:p>
        </w:tc>
        <w:tc>
          <w:tcPr>
            <w:tcW w:w="1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377,882</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491,518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576,134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570,567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694,942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417,862</w:t>
            </w:r>
          </w:p>
        </w:tc>
        <w:tc>
          <w:tcPr>
            <w:tcW w:w="1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413,474</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401,970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40" w:type="dxa"/>
            <w:vAlign w:val="bottom"/>
            <w:gridSpan w:val="2"/>
          </w:tcPr>
          <w:p>
            <w:pPr>
              <w:spacing w:after="0"/>
              <w:rPr>
                <w:sz w:val="20"/>
                <w:szCs w:val="20"/>
                <w:color w:val="auto"/>
              </w:rPr>
            </w:pPr>
            <w:r>
              <w:rPr>
                <w:rFonts w:ascii="Arial" w:cs="Arial" w:eastAsia="Arial" w:hAnsi="Arial"/>
                <w:sz w:val="14"/>
                <w:szCs w:val="14"/>
                <w:color w:val="auto"/>
              </w:rPr>
              <w:t>Total liabilities and shareholders’ equity</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993,996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984,041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1,096,912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340" w:hanging="305"/>
        <w:spacing w:after="0" w:line="221"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78"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25"/>
          <w:szCs w:val="25"/>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135"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14"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4"/>
          <w:szCs w:val="14"/>
          <w:color w:val="auto"/>
        </w:rPr>
        <w:t>as a consideration to assess incentive compensation for our employees;</w:t>
      </w:r>
    </w:p>
    <w:p>
      <w:pPr>
        <w:spacing w:after="0" w:line="30" w:lineRule="exact"/>
        <w:rPr>
          <w:rFonts w:ascii="Arial" w:cs="Arial" w:eastAsia="Arial" w:hAnsi="Arial"/>
          <w:sz w:val="25"/>
          <w:szCs w:val="25"/>
          <w:color w:val="auto"/>
          <w:vertAlign w:val="superscript"/>
        </w:rPr>
      </w:pPr>
    </w:p>
    <w:p>
      <w:pPr>
        <w:ind w:left="800" w:hanging="454"/>
        <w:spacing w:after="0" w:line="189"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1"/>
          <w:szCs w:val="11"/>
          <w:color w:val="auto"/>
        </w:rPr>
        <w:t>for planning purposes, including the preparation of our internal annual operating budget; and</w:t>
      </w:r>
    </w:p>
    <w:p>
      <w:pPr>
        <w:spacing w:after="0" w:line="30" w:lineRule="exact"/>
        <w:rPr>
          <w:rFonts w:ascii="Arial" w:cs="Arial" w:eastAsia="Arial" w:hAnsi="Arial"/>
          <w:sz w:val="19"/>
          <w:szCs w:val="19"/>
          <w:color w:val="auto"/>
          <w:vertAlign w:val="superscript"/>
        </w:rPr>
      </w:pPr>
    </w:p>
    <w:p>
      <w:pPr>
        <w:ind w:left="800" w:hanging="454"/>
        <w:spacing w:after="0" w:line="189"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1"/>
          <w:szCs w:val="11"/>
          <w:color w:val="auto"/>
        </w:rPr>
        <w:t>to evaluate the performance and effectiveness of our operational strategies.</w:t>
      </w:r>
    </w:p>
    <w:p>
      <w:pPr>
        <w:spacing w:after="0" w:line="152" w:lineRule="exact"/>
        <w:rPr>
          <w:sz w:val="20"/>
          <w:szCs w:val="20"/>
          <w:color w:val="auto"/>
        </w:rPr>
      </w:pPr>
    </w:p>
    <w:p>
      <w:pPr>
        <w:ind w:left="360" w:right="120"/>
        <w:spacing w:after="0" w:line="244" w:lineRule="auto"/>
        <w:rPr>
          <w:sz w:val="20"/>
          <w:szCs w:val="20"/>
          <w:color w:val="auto"/>
        </w:rPr>
      </w:pPr>
      <w:r>
        <w:rPr>
          <w:rFonts w:ascii="Arial" w:cs="Arial" w:eastAsia="Arial" w:hAnsi="Arial"/>
          <w:sz w:val="14"/>
          <w:szCs w:val="14"/>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151" w:lineRule="exact"/>
        <w:rPr>
          <w:sz w:val="20"/>
          <w:szCs w:val="20"/>
          <w:color w:val="auto"/>
        </w:rPr>
      </w:pPr>
    </w:p>
    <w:p>
      <w:pPr>
        <w:ind w:left="360" w:right="300"/>
        <w:spacing w:after="0" w:line="258"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65" w:lineRule="exact"/>
        <w:rPr>
          <w:sz w:val="20"/>
          <w:szCs w:val="20"/>
          <w:color w:val="auto"/>
        </w:rPr>
      </w:pPr>
    </w:p>
    <w:p>
      <w:pPr>
        <w:ind w:left="800" w:hanging="454"/>
        <w:spacing w:after="0"/>
        <w:tabs>
          <w:tab w:leader="none" w:pos="800" w:val="left"/>
        </w:tabs>
        <w:numPr>
          <w:ilvl w:val="0"/>
          <w:numId w:val="46"/>
        </w:numPr>
        <w:rPr>
          <w:rFonts w:ascii="Arial" w:cs="Arial" w:eastAsia="Arial" w:hAnsi="Arial"/>
          <w:sz w:val="25"/>
          <w:szCs w:val="25"/>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30" w:lineRule="exact"/>
        <w:rPr>
          <w:rFonts w:ascii="Arial" w:cs="Arial" w:eastAsia="Arial" w:hAnsi="Arial"/>
          <w:sz w:val="25"/>
          <w:szCs w:val="25"/>
          <w:color w:val="auto"/>
          <w:vertAlign w:val="superscript"/>
        </w:rPr>
      </w:pPr>
    </w:p>
    <w:p>
      <w:pPr>
        <w:ind w:left="800" w:hanging="454"/>
        <w:spacing w:after="0" w:line="189" w:lineRule="auto"/>
        <w:tabs>
          <w:tab w:leader="none" w:pos="800" w:val="left"/>
        </w:tabs>
        <w:numPr>
          <w:ilvl w:val="0"/>
          <w:numId w:val="46"/>
        </w:numPr>
        <w:rPr>
          <w:rFonts w:ascii="Arial" w:cs="Arial" w:eastAsia="Arial" w:hAnsi="Arial"/>
          <w:sz w:val="19"/>
          <w:szCs w:val="19"/>
          <w:color w:val="auto"/>
          <w:vertAlign w:val="superscript"/>
        </w:rPr>
      </w:pPr>
      <w:r>
        <w:rPr>
          <w:rFonts w:ascii="Arial" w:cs="Arial" w:eastAsia="Arial" w:hAnsi="Arial"/>
          <w:sz w:val="11"/>
          <w:szCs w:val="11"/>
          <w:color w:val="auto"/>
        </w:rPr>
        <w:t>they do not reflect our cash expenditures, or future requirements for capital expenditures or contractual commitments;</w:t>
      </w:r>
    </w:p>
    <w:p>
      <w:pPr>
        <w:spacing w:after="0" w:line="30" w:lineRule="exact"/>
        <w:rPr>
          <w:rFonts w:ascii="Arial" w:cs="Arial" w:eastAsia="Arial" w:hAnsi="Arial"/>
          <w:sz w:val="19"/>
          <w:szCs w:val="19"/>
          <w:color w:val="auto"/>
          <w:vertAlign w:val="superscript"/>
        </w:rPr>
      </w:pPr>
    </w:p>
    <w:p>
      <w:pPr>
        <w:ind w:left="800" w:hanging="454"/>
        <w:spacing w:after="0" w:line="189" w:lineRule="auto"/>
        <w:tabs>
          <w:tab w:leader="none" w:pos="800" w:val="left"/>
        </w:tabs>
        <w:numPr>
          <w:ilvl w:val="0"/>
          <w:numId w:val="46"/>
        </w:numPr>
        <w:rPr>
          <w:rFonts w:ascii="Arial" w:cs="Arial" w:eastAsia="Arial" w:hAnsi="Arial"/>
          <w:sz w:val="19"/>
          <w:szCs w:val="19"/>
          <w:color w:val="auto"/>
          <w:vertAlign w:val="superscript"/>
        </w:rPr>
      </w:pPr>
      <w:r>
        <w:rPr>
          <w:rFonts w:ascii="Arial" w:cs="Arial" w:eastAsia="Arial" w:hAnsi="Arial"/>
          <w:sz w:val="11"/>
          <w:szCs w:val="11"/>
          <w:color w:val="auto"/>
        </w:rPr>
        <w:t>they do not reflect changes in, or cash requirements for, our working capital needs;</w:t>
      </w:r>
    </w:p>
    <w:p>
      <w:pPr>
        <w:spacing w:after="0" w:line="30" w:lineRule="exact"/>
        <w:rPr>
          <w:rFonts w:ascii="Arial" w:cs="Arial" w:eastAsia="Arial" w:hAnsi="Arial"/>
          <w:sz w:val="19"/>
          <w:szCs w:val="19"/>
          <w:color w:val="auto"/>
          <w:vertAlign w:val="superscript"/>
        </w:rPr>
      </w:pPr>
    </w:p>
    <w:p>
      <w:pPr>
        <w:ind w:left="800" w:right="260" w:hanging="454"/>
        <w:spacing w:after="0" w:line="183" w:lineRule="auto"/>
        <w:tabs>
          <w:tab w:leader="none" w:pos="8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4"/>
          <w:szCs w:val="24"/>
          <w:color w:val="auto"/>
          <w:vertAlign w:val="superscript"/>
        </w:rPr>
      </w:pPr>
    </w:p>
    <w:p>
      <w:pPr>
        <w:ind w:left="800" w:hanging="454"/>
        <w:spacing w:after="0" w:line="183" w:lineRule="auto"/>
        <w:tabs>
          <w:tab w:leader="none" w:pos="800" w:val="left"/>
        </w:tabs>
        <w:numPr>
          <w:ilvl w:val="0"/>
          <w:numId w:val="46"/>
        </w:numPr>
        <w:rPr>
          <w:rFonts w:ascii="Arial" w:cs="Arial" w:eastAsia="Arial" w:hAnsi="Arial"/>
          <w:sz w:val="23"/>
          <w:szCs w:val="23"/>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31" w:lineRule="exact"/>
        <w:rPr>
          <w:rFonts w:ascii="Arial" w:cs="Arial" w:eastAsia="Arial" w:hAnsi="Arial"/>
          <w:sz w:val="23"/>
          <w:szCs w:val="23"/>
          <w:color w:val="auto"/>
          <w:vertAlign w:val="superscript"/>
        </w:rPr>
      </w:pPr>
    </w:p>
    <w:p>
      <w:pPr>
        <w:ind w:left="800" w:hanging="454"/>
        <w:spacing w:after="0" w:line="189" w:lineRule="auto"/>
        <w:tabs>
          <w:tab w:leader="none" w:pos="800" w:val="left"/>
        </w:tabs>
        <w:numPr>
          <w:ilvl w:val="0"/>
          <w:numId w:val="46"/>
        </w:numPr>
        <w:rPr>
          <w:rFonts w:ascii="Arial" w:cs="Arial" w:eastAsia="Arial" w:hAnsi="Arial"/>
          <w:sz w:val="19"/>
          <w:szCs w:val="19"/>
          <w:color w:val="auto"/>
          <w:vertAlign w:val="superscript"/>
        </w:rPr>
      </w:pPr>
      <w:r>
        <w:rPr>
          <w:rFonts w:ascii="Arial" w:cs="Arial" w:eastAsia="Arial" w:hAnsi="Arial"/>
          <w:sz w:val="11"/>
          <w:szCs w:val="11"/>
          <w:color w:val="auto"/>
        </w:rPr>
        <w:t>Adjusted EBITDA does not reflect the non-cash component of certain stock based awards related to fair value adjustments and unusual non-recurring stock awards;</w:t>
      </w:r>
    </w:p>
    <w:p>
      <w:pPr>
        <w:spacing w:after="0" w:line="30" w:lineRule="exact"/>
        <w:rPr>
          <w:rFonts w:ascii="Arial" w:cs="Arial" w:eastAsia="Arial" w:hAnsi="Arial"/>
          <w:sz w:val="19"/>
          <w:szCs w:val="19"/>
          <w:color w:val="auto"/>
          <w:vertAlign w:val="superscript"/>
        </w:rPr>
      </w:pPr>
    </w:p>
    <w:p>
      <w:pPr>
        <w:ind w:left="800" w:right="100" w:hanging="454"/>
        <w:spacing w:after="0" w:line="183" w:lineRule="auto"/>
        <w:tabs>
          <w:tab w:leader="none" w:pos="8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4"/>
          <w:szCs w:val="24"/>
          <w:color w:val="auto"/>
          <w:vertAlign w:val="superscript"/>
        </w:rPr>
      </w:pPr>
    </w:p>
    <w:p>
      <w:pPr>
        <w:ind w:left="800" w:hanging="454"/>
        <w:spacing w:after="0" w:line="183" w:lineRule="auto"/>
        <w:tabs>
          <w:tab w:leader="none" w:pos="800" w:val="left"/>
        </w:tabs>
        <w:numPr>
          <w:ilvl w:val="0"/>
          <w:numId w:val="46"/>
        </w:numPr>
        <w:rPr>
          <w:rFonts w:ascii="Arial" w:cs="Arial" w:eastAsia="Arial" w:hAnsi="Arial"/>
          <w:sz w:val="23"/>
          <w:szCs w:val="23"/>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53" w:lineRule="exact"/>
        <w:rPr>
          <w:sz w:val="20"/>
          <w:szCs w:val="20"/>
          <w:color w:val="auto"/>
        </w:rPr>
      </w:pPr>
    </w:p>
    <w:p>
      <w:pPr>
        <w:ind w:left="360" w:right="520"/>
        <w:spacing w:after="0" w:line="258" w:lineRule="auto"/>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 We compensate for these limitations by relying primarily on our U.S. GAAP results and using EBITDA and Adjusted EBITDA only supplementally.</w:t>
      </w:r>
    </w:p>
    <w:p>
      <w:pPr>
        <w:spacing w:after="0" w:line="140" w:lineRule="exact"/>
        <w:rPr>
          <w:sz w:val="20"/>
          <w:szCs w:val="20"/>
          <w:color w:val="auto"/>
        </w:rPr>
      </w:pPr>
    </w:p>
    <w:p>
      <w:pPr>
        <w:ind w:left="360" w:right="20"/>
        <w:spacing w:after="0" w:line="247"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8" w:lineRule="exact"/>
        <w:rPr>
          <w:sz w:val="20"/>
          <w:szCs w:val="20"/>
          <w:color w:val="auto"/>
        </w:rPr>
      </w:pPr>
    </w:p>
    <w:p>
      <w:pPr>
        <w:ind w:left="360"/>
        <w:spacing w:after="0" w:line="244"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460"/>
        <w:spacing w:after="0" w:line="258"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NINE MONTH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THREE</w:t>
            </w:r>
          </w:p>
        </w:tc>
        <w:tc>
          <w:tcPr>
            <w:tcW w:w="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APRIL 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ENDED</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right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3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EBITDA and Adjusted EBITDA:</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5,973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7,073</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27,259</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23,185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2,513</w:t>
            </w: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(1,601)</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(6,703)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1,773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1,573</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4,610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12,668</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17,201</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63,142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56,422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EBITDA</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26,375</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24,187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88,950</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63,178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87,664</w:t>
            </w:r>
          </w:p>
        </w:tc>
      </w:tr>
      <w:tr>
        <w:trPr>
          <w:trHeight w:val="166"/>
        </w:trPr>
        <w:tc>
          <w:tcPr>
            <w:tcW w:w="3800" w:type="dxa"/>
            <w:vAlign w:val="bottom"/>
          </w:tcPr>
          <w:p>
            <w:pPr>
              <w:spacing w:after="0"/>
              <w:rPr>
                <w:sz w:val="20"/>
                <w:szCs w:val="20"/>
                <w:color w:val="auto"/>
              </w:rPr>
            </w:pPr>
            <w:r>
              <w:rPr>
                <w:rFonts w:ascii="Arial" w:cs="Arial" w:eastAsia="Arial" w:hAnsi="Arial"/>
                <w:sz w:val="14"/>
                <w:szCs w:val="14"/>
                <w:color w:val="auto"/>
              </w:rPr>
              <w:t>Stock compensation expense: liability awards mark-to-</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0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market and CEO award </w:t>
            </w:r>
            <w:r>
              <w:rPr>
                <w:rFonts w:ascii="Arial" w:cs="Arial" w:eastAsia="Arial" w:hAnsi="Arial"/>
                <w:sz w:val="19"/>
                <w:szCs w:val="19"/>
                <w:color w:val="auto"/>
                <w:vertAlign w:val="superscript"/>
              </w:rPr>
              <w:t>(a)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(930)</w:t>
            </w: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(930)</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(3,635)</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4"/>
                <w:szCs w:val="14"/>
                <w:color w:val="auto"/>
              </w:rPr>
              <w:t>Adjusted EBITDA</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25,759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23,447</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101,216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70,450</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85,409</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Adjusted Net Income:</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12,668</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17,201</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63,142</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56,422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59"/>
        </w:trPr>
        <w:tc>
          <w:tcPr>
            <w:tcW w:w="3800" w:type="dxa"/>
            <w:vAlign w:val="bottom"/>
          </w:tcPr>
          <w:p>
            <w:pPr>
              <w:spacing w:after="0" w:line="159" w:lineRule="exact"/>
              <w:rPr>
                <w:sz w:val="20"/>
                <w:szCs w:val="20"/>
                <w:color w:val="auto"/>
              </w:rPr>
            </w:pPr>
            <w:r>
              <w:rPr>
                <w:rFonts w:ascii="Arial" w:cs="Arial" w:eastAsia="Arial" w:hAnsi="Arial"/>
                <w:sz w:val="14"/>
                <w:szCs w:val="14"/>
                <w:color w:val="auto"/>
              </w:rPr>
              <w:t>Stock compensation expense: liability awards mark-to-</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80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market and CEO award </w:t>
            </w:r>
            <w:r>
              <w:rPr>
                <w:rFonts w:ascii="Arial" w:cs="Arial" w:eastAsia="Arial" w:hAnsi="Arial"/>
                <w:sz w:val="19"/>
                <w:szCs w:val="19"/>
                <w:color w:val="auto"/>
                <w:vertAlign w:val="superscript"/>
              </w:rPr>
              <w:t>(a)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payments—principal portion </w:t>
            </w:r>
            <w:r>
              <w:rPr>
                <w:rFonts w:ascii="Arial" w:cs="Arial" w:eastAsia="Arial" w:hAnsi="Arial"/>
                <w:sz w:val="18"/>
                <w:szCs w:val="18"/>
                <w:color w:val="auto"/>
                <w:vertAlign w:val="superscript"/>
              </w:rPr>
              <w:t>(c)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672</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655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2,687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2,064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Income tax effect of adjustments (39.0%)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(5,181)</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(6,949)</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(31,405)</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(26,226)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(10,589)</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4"/>
                <w:szCs w:val="14"/>
                <w:color w:val="auto"/>
              </w:rPr>
              <w:t>Adjusted Net Income</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11,552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10,809</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40,445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26,685</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41,407</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Free Cash Flow:</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Cash flow provided by operating activities</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12,721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4,795</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84,117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62,539</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12,807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3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Capital expenditures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(3,456)</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(685)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(6,465)</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(4,225)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(4,561)</w:t>
            </w:r>
          </w:p>
        </w:tc>
      </w:tr>
      <w:tr>
        <w:trPr>
          <w:trHeight w:val="159"/>
        </w:trPr>
        <w:tc>
          <w:tcPr>
            <w:tcW w:w="3800" w:type="dxa"/>
            <w:vAlign w:val="bottom"/>
          </w:tcPr>
          <w:p>
            <w:pPr>
              <w:ind w:left="260"/>
              <w:spacing w:after="0" w:line="159" w:lineRule="exact"/>
              <w:rPr>
                <w:sz w:val="20"/>
                <w:szCs w:val="20"/>
                <w:color w:val="auto"/>
              </w:rPr>
            </w:pPr>
            <w:r>
              <w:rPr>
                <w:rFonts w:ascii="Arial" w:cs="Arial" w:eastAsia="Arial" w:hAnsi="Arial"/>
                <w:sz w:val="14"/>
                <w:szCs w:val="14"/>
                <w:color w:val="auto"/>
              </w:rPr>
              <w:t>Less: Corporate campus lease payments—principal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800" w:type="dxa"/>
            <w:vAlign w:val="bottom"/>
          </w:tcPr>
          <w:p>
            <w:pPr>
              <w:ind w:left="520"/>
              <w:spacing w:after="0" w:line="164" w:lineRule="exact"/>
              <w:rPr>
                <w:sz w:val="20"/>
                <w:szCs w:val="20"/>
                <w:color w:val="auto"/>
              </w:rPr>
            </w:pPr>
            <w:r>
              <w:rPr>
                <w:rFonts w:ascii="Arial" w:cs="Arial" w:eastAsia="Arial" w:hAnsi="Arial"/>
                <w:sz w:val="12"/>
                <w:szCs w:val="12"/>
                <w:color w:val="auto"/>
              </w:rPr>
              <w:t xml:space="preserve">portion </w:t>
            </w:r>
            <w:r>
              <w:rPr>
                <w:rFonts w:ascii="Arial" w:cs="Arial" w:eastAsia="Arial" w:hAnsi="Arial"/>
                <w:sz w:val="19"/>
                <w:szCs w:val="19"/>
                <w:color w:val="auto"/>
                <w:vertAlign w:val="superscript"/>
              </w:rPr>
              <w:t>(c)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Free Cash Flow</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8,896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3,881</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76,360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57,030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93,581</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jc w:val="both"/>
        <w:ind w:left="800" w:right="60" w:hanging="306"/>
        <w:spacing w:after="0" w:line="199" w:lineRule="auto"/>
        <w:tabs>
          <w:tab w:leader="none" w:pos="8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ind w:left="800" w:hanging="306"/>
        <w:spacing w:after="0" w:line="183" w:lineRule="auto"/>
        <w:tabs>
          <w:tab w:leader="none" w:pos="80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Represents attorney fees, advisory fees and other professional service fees incurred in connection with the Transaction.</w:t>
      </w:r>
    </w:p>
    <w:p>
      <w:pPr>
        <w:spacing w:after="0" w:line="31" w:lineRule="exact"/>
        <w:rPr>
          <w:rFonts w:ascii="Arial" w:cs="Arial" w:eastAsia="Arial" w:hAnsi="Arial"/>
          <w:sz w:val="23"/>
          <w:szCs w:val="23"/>
          <w:color w:val="auto"/>
          <w:vertAlign w:val="superscript"/>
        </w:rPr>
      </w:pPr>
    </w:p>
    <w:p>
      <w:pPr>
        <w:ind w:left="800" w:right="20" w:hanging="299"/>
        <w:spacing w:after="0" w:line="214" w:lineRule="auto"/>
        <w:tabs>
          <w:tab w:leader="none" w:pos="8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ind w:left="800" w:hanging="306"/>
        <w:spacing w:after="0" w:line="183" w:lineRule="auto"/>
        <w:tabs>
          <w:tab w:leader="none" w:pos="80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69" w:lineRule="exact"/>
        <w:rPr>
          <w:sz w:val="20"/>
          <w:szCs w:val="20"/>
          <w:color w:val="auto"/>
        </w:rPr>
      </w:pPr>
    </w:p>
    <w:p>
      <w:pPr>
        <w:ind w:left="800" w:right="260" w:hanging="266"/>
        <w:spacing w:after="0" w:line="182" w:lineRule="auto"/>
        <w:tabs>
          <w:tab w:leader="none" w:pos="800" w:val="left"/>
        </w:tabs>
        <w:numPr>
          <w:ilvl w:val="1"/>
          <w:numId w:val="48"/>
        </w:numPr>
        <w:rPr>
          <w:rFonts w:ascii="Arial" w:cs="Arial" w:eastAsia="Arial" w:hAnsi="Arial"/>
          <w:sz w:val="23"/>
          <w:szCs w:val="23"/>
          <w:color w:val="auto"/>
          <w:vertAlign w:val="superscript"/>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 w:lineRule="exact"/>
        <w:rPr>
          <w:rFonts w:ascii="Arial" w:cs="Arial" w:eastAsia="Arial" w:hAnsi="Arial"/>
          <w:sz w:val="23"/>
          <w:szCs w:val="23"/>
          <w:color w:val="auto"/>
          <w:vertAlign w:val="superscript"/>
        </w:rPr>
      </w:pPr>
    </w:p>
    <w:p>
      <w:pPr>
        <w:ind w:left="800" w:hanging="272"/>
        <w:spacing w:after="0" w:line="189" w:lineRule="auto"/>
        <w:tabs>
          <w:tab w:leader="none" w:pos="800" w:val="left"/>
        </w:tabs>
        <w:numPr>
          <w:ilvl w:val="1"/>
          <w:numId w:val="48"/>
        </w:numPr>
        <w:rPr>
          <w:rFonts w:ascii="Arial" w:cs="Arial" w:eastAsia="Arial" w:hAnsi="Arial"/>
          <w:sz w:val="19"/>
          <w:szCs w:val="19"/>
          <w:color w:val="auto"/>
          <w:vertAlign w:val="superscript"/>
        </w:rPr>
      </w:pPr>
      <w:r>
        <w:rPr>
          <w:rFonts w:ascii="Arial" w:cs="Arial" w:eastAsia="Arial" w:hAnsi="Arial"/>
          <w:sz w:val="12"/>
          <w:szCs w:val="12"/>
          <w:color w:val="auto"/>
        </w:rPr>
        <w:t>Represents advisory costs and other fees related to this offering.</w:t>
      </w:r>
    </w:p>
    <w:p>
      <w:pPr>
        <w:spacing w:after="0" w:line="30" w:lineRule="exact"/>
        <w:rPr>
          <w:rFonts w:ascii="Arial" w:cs="Arial" w:eastAsia="Arial" w:hAnsi="Arial"/>
          <w:sz w:val="19"/>
          <w:szCs w:val="19"/>
          <w:color w:val="auto"/>
          <w:vertAlign w:val="superscript"/>
        </w:rPr>
      </w:pPr>
    </w:p>
    <w:p>
      <w:pPr>
        <w:ind w:left="340" w:right="40" w:hanging="305"/>
        <w:spacing w:after="0" w:line="199"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30" w:lineRule="exact"/>
        <w:rPr>
          <w:rFonts w:ascii="Arial" w:cs="Arial" w:eastAsia="Arial" w:hAnsi="Arial"/>
          <w:sz w:val="24"/>
          <w:szCs w:val="24"/>
          <w:color w:val="auto"/>
          <w:vertAlign w:val="superscript"/>
        </w:rPr>
      </w:pPr>
    </w:p>
    <w:p>
      <w:pPr>
        <w:ind w:left="340" w:hanging="305"/>
        <w:spacing w:after="0" w:line="225"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“Selected Historical Consolidated Financial and Other Data” and the consolidated financial statements and the related notes included elsewhere in this prospectus. This discussion contains forward looking statements related to future events and our future financial performance that are based on current expectations and subject to risks and uncertainties. Our actual results may differ materially from those anticipated in these forward looking statements as a result of many factors, including those set forth under “Risk Factors,” “Cautionary Note Regarding Forward Looking Statements” and elsewhere in this prospectus.</w:t>
      </w:r>
    </w:p>
    <w:p>
      <w:pPr>
        <w:spacing w:after="0" w:line="129"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The following discussion and analysis presents operations and cash flows for two periods, Predecessor and Successor, which relate to the period preceding the Transaction (as defined below) and the period succeeding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 The Company refers to the operations of Medpace Holdings</w:t>
      </w:r>
      <w:r>
        <w:rPr>
          <w:rFonts w:ascii="Arial" w:cs="Arial" w:eastAsia="Arial" w:hAnsi="Arial"/>
          <w:sz w:val="17"/>
          <w:szCs w:val="17"/>
          <w:color w:val="auto"/>
        </w:rPr>
        <w:t>.</w:t>
      </w:r>
      <w:r>
        <w:rPr>
          <w:rFonts w:ascii="Arial" w:cs="Arial" w:eastAsia="Arial" w:hAnsi="Arial"/>
          <w:sz w:val="17"/>
          <w:szCs w:val="17"/>
          <w:i w:val="1"/>
          <w:iCs w:val="1"/>
          <w:color w:val="auto"/>
        </w:rPr>
        <w:t>, Inc. and subsidiaries for both the Predecessor period and Successor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2,200 employees across 35 countries, providing our customers with broad access to diverse markets and patient populations and local regulatory expertise and market knowledge.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8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We were founded in 1992 as a Phase II-IV-focused CRO with a strong, scientifically-driven and disciplined operating model, and we continue today as a founder-led enterprise. Throughout our 24-year history, we have grown almost exclusively organically, with our core founding members having been integrally involved in developing and instilling our differentiated culture and operating philosophy across our company.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“Prospectus Summary—Our Structure.”</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Transaction was accounted for as a business combination using the acquisition method of accounting. As of the Transaction date, our consolidated financial statements reflect the allocation of the $921.3 million purchase price to the assets acquired, including identifiable intangible assets of $306.3 million, and liabilities assumed based on fair values at the date of the Transaction. The excess of the purchase price over the fair value of the assets acquired and liabilities assumed amounted to $670.3 million, which was recorded as goodwill. Transaction related costs, including attorney fees, advisory fees and other professional service fees related to the Transaction, were $9.3 million, including $3.3 million related to success based advisory fees, for the Successor nine month period ended December 31, 2014 and $12.4 million, including $10.1 million related to success based advisory fees, for the Predecessor three month period ended March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revenue consists of net service revenue and reimbursed-out-of-pocket revenue.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Revenue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consolidated statements of operations with no resulting effect on our revenue or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8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costs and expenses are comprised primarily of our direct costs, selling, general and administrative costs, depreciation and amortization and income taxes. In addition, as noted above, we also have reimbursed out-of-pocket expenditures that are directly offset by our reimbursed out-of-pocket revenue.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 Costs, Excluding Depreciation and Amortization</w:t>
      </w:r>
    </w:p>
    <w:p>
      <w:pPr>
        <w:spacing w:after="0" w:line="41"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500"/>
        <w:spacing w:after="0" w:line="236" w:lineRule="auto"/>
        <w:rPr>
          <w:sz w:val="20"/>
          <w:szCs w:val="20"/>
          <w:color w:val="auto"/>
        </w:rPr>
      </w:pPr>
      <w:r>
        <w:rPr>
          <w:rFonts w:ascii="Arial" w:cs="Arial" w:eastAsia="Arial" w:hAnsi="Arial"/>
          <w:sz w:val="17"/>
          <w:szCs w:val="17"/>
          <w:color w:val="auto"/>
        </w:rPr>
        <w:t>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41"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4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 (Benefit)</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Income tax provision (benefit)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To evaluate the performance of our business, we utilize a variety of financial and performance metrics. These key measures include new business awards, cancellations and backlog.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Business Awards, Cancellations and Backlog</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Our average quarterly cancellation rates as a percentage of the beginning of the period backlog were 4.5% and</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3.7% for the Successor three months ended March 31, 2016 and March 31, 2015, respectively, and 3.2% for the Successor year ended December 31, 2015, 3.3% for the Successor nine month period ended December 2014, 2.5% for the Predecessor three month period ended March 2014 and 3.7% for the Predecessor year ended December 2013.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Net new business awards were $106.4 million and $91.1 million for the Successor three months ended March 31, 2016 and March 31,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w:t>
      </w:r>
    </w:p>
    <w:p>
      <w:pPr>
        <w:spacing w:after="0" w:line="150"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March 31, 2016, our backlog increased by $42.3 million, or 10.4%, to $448.1 million compared to $405.9 million as of March 31, 2015. Our backlog increased by $35.6 million, or 9.0%, to $429.7 million as of December 31, 2015, compared to $394.0 million as of December 31, 2014. Our backlog increased by $34.7 million, or</w:t>
      </w:r>
    </w:p>
    <w:p>
      <w:pPr>
        <w:spacing w:after="0" w:line="1"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9.7%, to $394.0 million as of December 31, 2014, compared to $359.3 million as of December 31, 2013. Included within backlog as of March 31, 2016 was approximately $227.5 million to $237.5 million that we expect to convert to net service revenue in 2016, with the remainder expected to convert to net service revenue in years after 2016.</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effect of foreign currency adjustments on backlog was as follows: no net currency adjustments for the Successor three months ended March 31, 2016, unfavorable foreign currency adjustments of $3.1 million for the Successor three months ended March 31, 2015, unfavorable foreign currency adjustments of $3.6 million for the Successor year ended December 31, 2015; unfavorable foreign currency adjustments of $3.4 million for the Successor nine month period ended December 2014; no net currency adjustments for the Predecessor three month period ended March 2014; and foreign currency adjustments of $0.2 million for the Predecessor year ended December 2013.</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11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4"/>
          </w:tcPr>
          <w:p>
            <w:pPr>
              <w:ind w:left="74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2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THREE MONTH</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THREE</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PERIOD FROM</w:t>
            </w: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PERIOD FROM</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MONTHS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MONTHS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JANUARY 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ENDED</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16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2014 THROUGH</w:t>
            </w: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2014 THROUGH</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9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c>
          <w:tcPr>
            <w:tcW w:w="14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183"/>
        </w:trPr>
        <w:tc>
          <w:tcPr>
            <w:tcW w:w="29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U.S. dollars per Euro</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1.11</w:t>
            </w: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c>
          <w:tcPr>
            <w:tcW w:w="4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1.31</w:t>
            </w:r>
          </w:p>
        </w:tc>
        <w:tc>
          <w:tcPr>
            <w:tcW w:w="520" w:type="dxa"/>
            <w:vAlign w:val="bottom"/>
            <w:tcBorders>
              <w:top w:val="single" w:sz="8" w:color="CCEEFF"/>
              <w:right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ind w:left="760"/>
              <w:spacing w:after="0" w:line="183" w:lineRule="exact"/>
              <w:rPr>
                <w:sz w:val="20"/>
                <w:szCs w:val="20"/>
                <w:color w:val="auto"/>
              </w:rPr>
            </w:pPr>
            <w:r>
              <w:rPr>
                <w:rFonts w:ascii="Arial" w:cs="Arial" w:eastAsia="Arial" w:hAnsi="Arial"/>
                <w:sz w:val="17"/>
                <w:szCs w:val="17"/>
                <w:color w:val="auto"/>
                <w:w w:val="90"/>
              </w:rPr>
              <w:t>1.37</w:t>
            </w:r>
          </w:p>
        </w:tc>
        <w:tc>
          <w:tcPr>
            <w:tcW w:w="4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1.33</w:t>
            </w: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three months ended March 31, 2016 compared to the Successor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THREE</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7"/>
              <w:spacing w:after="0" w:line="143" w:lineRule="exact"/>
              <w:rPr>
                <w:sz w:val="20"/>
                <w:szCs w:val="20"/>
                <w:color w:val="auto"/>
              </w:rPr>
            </w:pPr>
            <w:r>
              <w:rPr>
                <w:rFonts w:ascii="Arial" w:cs="Arial" w:eastAsia="Arial" w:hAnsi="Arial"/>
                <w:sz w:val="14"/>
                <w:szCs w:val="14"/>
                <w:b w:val="1"/>
                <w:bCs w:val="1"/>
                <w:color w:val="auto"/>
              </w:rPr>
              <w:t>THREE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87,800</w:t>
            </w:r>
          </w:p>
        </w:tc>
        <w:tc>
          <w:tcPr>
            <w:tcW w:w="26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76,030</w:t>
            </w: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11,770</w:t>
            </w:r>
          </w:p>
        </w:tc>
        <w:tc>
          <w:tcPr>
            <w:tcW w:w="42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11,786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7,003</w:t>
            </w: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4,783</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99,586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83,033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16,553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46,981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39,125</w:t>
            </w: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7,856</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11,786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7,003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4,783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13,509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11,742</w:t>
            </w: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1,767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1,773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1,573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200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12,668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17,201</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(4,533)</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86,717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76,644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10,073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12,869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6,389</w:t>
            </w:r>
          </w:p>
        </w:tc>
        <w:tc>
          <w:tcPr>
            <w:tcW w:w="1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6,480</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(935)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(5,973)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(7,073)</w:t>
            </w: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1,100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5,961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(1,660)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7,621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12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2,513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(1,601)</w:t>
            </w: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4,114</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3,448</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3,507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Net service revenue was $87.8 million for the Successor three months ended March 31, 2016, compared to $76.0 million for the Successor three months ended March 31, 2015. Contributing to the $11.8 million growth in net service revenue was an increase in the number of active projects. On average, we converted 20.4% of our beginning of the quarter backlog to revenue in the Successor three months ended March 31, 2016, compared to 19.3% of our beginning of the quarter backlog to revenue in the Successor three months ended March 31, 2015.</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Reimbursed out-of-pocket revenue was $11.8 million for the Successor three months ended March 31, 2016, compared to $7.0 million for the Successor three months ended March 31, 2015.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Direct costs, excluding depreciation and amortization were $47.0 million for the Successor three months ended March 31, 2016, compared to $39.1 million for the Successor three months ended March 31, 2015. The $7.9 million increase was primarily attributable to increases in salaries and wages of $4.7 million related to additional headcount.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Selling, general and administrative expenses were $13.5 million for the Successor three months ended March 31, 2016, compared to $11.7 million for the Successor three months ended March 31, 2015. The $1.8 million increase was primarily attributable to increases in salaries and wages of $1.5 million related to additional headcount in business support functions.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52"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Depreciation and amortization expense was $14.4 million for the Successor three months ended March 31, 2016, compared to $18.8 million for the Successor three months ended March 31, 2015. The $4.3 million decrease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depreciation and amortization was primarily related to a decrease in amortization related to definite lived intangible assets. Certain intangible assets acquired as part of the Transaction have relatively short useful lives and are amortized based on an accelerated methodology in line with the timing for which we realize the benefit of the assets. The expiration of the useful life of the definite lived intangible asset related to backlog and the effect of the accelerated amortization of the definite lived intangible asset related to customer relationship assets drove the decrease in depreciation and amortization.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Interest expense, net was $6.0 million for the Successor three months ended March 31, 2016, compared to $7.1 million for the Successor three months ended March 31, 2015. The $1.1 million decrease in interest expense, net was related to the average lower outstanding balance under our Senior Secured Term Loan Facility (as defined below) in the Successor three months ended March 31, 2016 compared to the Successor three months ended March 31, 2015, as $85.0 million of principal payments were applied to the Senior Secured Term Loan Facility between March 31, 2015 and March 31, 2016.</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Income tax provision was $2.5 million for the Successor three months ended March 31, 2016, compared to an income tax benefit of $1.6 million for the Successor three months ended March 31, 2015. The overall effective tax rate for the Successor three months ended March 31, 2016 was 42.2% compared to a 96.4% for the Successor three months ended March 31, 2015. The change in effective tax rate was primarily due to the notable increase in projected pre-tax book income for the Successor three months ended March 31, 2016 coupled with relatively consistent year over year rate reconciliation drivers.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Successor year ended December 31, 2015 compared to the Successor nine month period from April 1, 2014 through December 31, 2014 and Predecessor three month period from January 1, 2014 through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right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SUCCESSOR</w:t>
            </w:r>
          </w:p>
        </w:tc>
        <w:tc>
          <w:tcPr>
            <w:tcW w:w="52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8"/>
              <w:spacing w:after="0" w:line="143" w:lineRule="exact"/>
              <w:rPr>
                <w:sz w:val="20"/>
                <w:szCs w:val="20"/>
                <w:color w:val="auto"/>
              </w:rPr>
            </w:pPr>
            <w:r>
              <w:rPr>
                <w:rFonts w:ascii="Arial" w:cs="Arial" w:eastAsia="Arial" w:hAnsi="Arial"/>
                <w:sz w:val="14"/>
                <w:szCs w:val="14"/>
                <w:b w:val="1"/>
                <w:bCs w:val="1"/>
                <w:color w:val="auto"/>
              </w:rPr>
              <w:t>THREE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MONTH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NINE MONTH</w:t>
            </w:r>
          </w:p>
        </w:tc>
        <w:tc>
          <w:tcPr>
            <w:tcW w:w="52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PERIOD FROM</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PERIOD FROM</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APRIL 1, 2014</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THROUGH</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5"/>
                <w:szCs w:val="15"/>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vMerge w:val="restart"/>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320,101</w:t>
            </w:r>
          </w:p>
        </w:tc>
        <w:tc>
          <w:tcPr>
            <w:tcW w:w="1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219,791</w:t>
            </w:r>
          </w:p>
        </w:tc>
        <w:tc>
          <w:tcPr>
            <w:tcW w:w="300" w:type="dxa"/>
            <w:vAlign w:val="bottom"/>
            <w:tcBorders>
              <w:right w:val="single" w:sz="8" w:color="auto"/>
            </w:tcBorders>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70,250</w:t>
            </w: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30,060</w:t>
            </w:r>
          </w:p>
        </w:tc>
        <w:tc>
          <w:tcPr>
            <w:tcW w:w="56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38,958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28,708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7,679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2,571</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359,059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248,499</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77,929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32,631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line="183" w:lineRule="exact"/>
              <w:rPr>
                <w:sz w:val="20"/>
                <w:szCs w:val="20"/>
                <w:color w:val="auto"/>
              </w:rPr>
            </w:pPr>
            <w:r>
              <w:rPr>
                <w:rFonts w:ascii="Arial" w:cs="Arial" w:eastAsia="Arial" w:hAnsi="Arial"/>
                <w:sz w:val="17"/>
                <w:szCs w:val="17"/>
                <w:color w:val="auto"/>
              </w:rPr>
              <w:t>Direct costs, excluding depreciation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20" w:type="dxa"/>
            <w:vAlign w:val="bottom"/>
          </w:tcPr>
          <w:p>
            <w:pPr>
              <w:ind w:left="240"/>
              <w:spacing w:after="0"/>
              <w:rPr>
                <w:sz w:val="20"/>
                <w:szCs w:val="20"/>
                <w:color w:val="auto"/>
              </w:rPr>
            </w:pPr>
            <w:r>
              <w:rPr>
                <w:rFonts w:ascii="Arial" w:cs="Arial" w:eastAsia="Arial" w:hAnsi="Arial"/>
                <w:sz w:val="17"/>
                <w:szCs w:val="17"/>
                <w:color w:val="auto"/>
              </w:rPr>
              <w:t>amortization</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163,707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117,550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7"/>
                <w:szCs w:val="17"/>
                <w:color w:val="auto"/>
              </w:rPr>
              <w:t>38,759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7,398</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38,958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28,708</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7,679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2,571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56,998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29,465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10,203</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17,330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and integration</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9,297</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12,420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w w:val="97"/>
              </w:rPr>
              <w:t>(21,717)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Impairment of goodwill</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9,313</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6,379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4,610</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(63)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63,142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56,422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5,199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1,521</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338,497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246,052</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76,092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16,353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2,447</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7"/>
                <w:szCs w:val="17"/>
                <w:color w:val="auto"/>
              </w:rPr>
              <w:t>1,837</w:t>
            </w:r>
          </w:p>
        </w:tc>
        <w:tc>
          <w:tcPr>
            <w:tcW w:w="10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16,278</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(301)</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1,213</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(2,045)</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40"/>
              <w:spacing w:after="0" w:line="189" w:lineRule="exact"/>
              <w:rPr>
                <w:sz w:val="20"/>
                <w:szCs w:val="20"/>
                <w:color w:val="auto"/>
              </w:rPr>
            </w:pPr>
            <w:r>
              <w:rPr>
                <w:rFonts w:ascii="Arial" w:cs="Arial" w:eastAsia="Arial" w:hAnsi="Arial"/>
                <w:sz w:val="17"/>
                <w:szCs w:val="17"/>
                <w:color w:val="auto"/>
              </w:rPr>
              <w:t>(23,185)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(3,272)</w:t>
            </w:r>
          </w:p>
        </w:tc>
        <w:tc>
          <w:tcPr>
            <w:tcW w:w="100" w:type="dxa"/>
            <w:vAlign w:val="bottom"/>
          </w:tcPr>
          <w:p>
            <w:pPr>
              <w:spacing w:after="0"/>
              <w:rPr>
                <w:sz w:val="16"/>
                <w:szCs w:val="16"/>
                <w:color w:val="auto"/>
              </w:rPr>
            </w:pPr>
          </w:p>
        </w:tc>
        <w:tc>
          <w:tcPr>
            <w:tcW w:w="11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(802)</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income before income taxes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(7,830)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(21,039)</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13,431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40"/>
              <w:spacing w:after="0" w:line="189" w:lineRule="exact"/>
              <w:rPr>
                <w:sz w:val="20"/>
                <w:szCs w:val="20"/>
                <w:color w:val="auto"/>
              </w:rPr>
            </w:pPr>
            <w:r>
              <w:rPr>
                <w:rFonts w:ascii="Arial" w:cs="Arial" w:eastAsia="Arial" w:hAnsi="Arial"/>
                <w:sz w:val="17"/>
                <w:szCs w:val="17"/>
                <w:color w:val="auto"/>
              </w:rPr>
              <w:t>(6,703)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1,014</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6,532</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income</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(8,673)</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(14,336)</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6,899</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Net service revenue was $320.1 million for the Successor year ended December 31, 2015, compared to $219.8 million for the Successor nine month period ended December 31, 2014, and $70.3 million for the Predecessor three month period ended March 31, 2014. Contributing to growth in net service revenue in the Successor year ended December 31, 2015 was a larger number of active projects. On average, we converted 19.7% of our beginning of the quarter backlog to revenue each quarter during the Successor year ended December 31, 2015. In comparison, we converted an average of 18.7% and 19.6% of our beginning of quarter backlog to revenue each quarter during the Successor nine month period ended December 31, 2014 and Predecessor three month period ended March 31, 2014, respectively.</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Reimbursed out-of-pocket revenue was $39.0 million for the Successor year ended December 31, 2015, $28.7 million for the Successor nine month period ended December 31, 2014 and $7.7 million for the Predecessor three month period ended March 31, 2014.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Direct costs, excluding depreciation and amortization were $163.7 million for the Successor year ended December 31, 2015, compared to $117.6 million for the Successor nine month period ended December 31, 2014 and $38.8 million for the Predecessor three month period ended March 31, 2014. The increase for the Successor year ended December 31, 2015 was primarily the result of an increase in revenue generating headcount from December 31, 2014 to support our increased project activity and new business awards.</w:t>
      </w:r>
    </w:p>
    <w:p>
      <w:pPr>
        <w:spacing w:after="0" w:line="14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While direct costs, excluding depreciation and amortization, increased in the Successor year ended December 31, 2015 compared to the Successor nine month period ended December 31, 2014 and Predecessor three month period ended March 31, 2014, they decreased to 51.1% of net service revenue, from 53.5% of net service revenue in the Successor nine months period ended December 31, 2014 and 55.2% of net service revenue for the Predecessor three month period ended March 31, 2015. An increase in headcount drove salaries, wages and other employee related direct costs to $119.8 million, or 37.4%, of net service revenue, from $86.8 million, or 39.5% of net service revenue, in the Successor nine month period ended December 31, 2014, and $25.7 million, or 36.6% of net service revenue, in the Predecessor three month period ended March 31, 2014. In addition, stock based compensation expense recognized in direct costs, excluding depreciation and amortization, was $9.2 million, or 2.9% of net service revenue, in the Successor year ended 2015, compared to $4.4 million, or 2.0% of net service revenue, in the Successor nine month period ended December 31, 2014 and $5.4 million, or 7.7% of net service revenue, in the Predecessor three month period ended March 31, 2014. Stock based compensation expense was elevated in the Predecessor three month period ended March 31, 2014 as a result of the acceleration of stock option vesting that occurred in advance of the Transaction.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Selling, general and administrative expenses were $57.0 million for the Successor year ended December 31, 2015, compared to $29.5 million for the Successor nine month period ended December 31, 2014, and $10.2 million for the Predecessor three month period ended March 31, 2014. The increase for the Successor year ended December 31, 2015 was primarily due to $13.1 million of stock based compensation expense related to the issuance of new stock based awards granted to select management personnel, recurring and accelerated amortization of previously granted restricted share awards, and the impact of mark-to-market expense adjustments due to an increase in the fair value of liability classified stock based</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awards. Stock based compensation expense was $1.0 million and $1.9 million for the Successor nine month period ended December 31, 2014 and Predecessor three month period ended March 31, 2014, respectively.</w:t>
      </w:r>
    </w:p>
    <w:p>
      <w:pPr>
        <w:spacing w:after="0" w:line="14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Selling, general and administrative expenses increased to 17.8% of net service revenue for the Successor year ended December 31, 2015, compared to 13.4% of net service revenue for the Successor nine month period ended December 31, 2014, and 14.5% of net service revenue for the Predecessor three month period ended March 31, 2014. The increase in selling, general and administrative expense as a percentage of net service revenue was primarily related to the aforementioned increase in stock based compensation expense to 4.1% of net service revenue for the Successor year ended December 31, 2015 from 0.5% of net service revenue for the Successor nine month period ended December 31, 2014 and 2.7% of net service revenue for the Predecessor three month period ended March 31, 2014. Further contributing to this increase as a percentage of net service revenue were higher salaries and wages. Salaries and wages as a percentage of net service revenue were 7.4% for the Successor year ended December 31, 2015, compared to 5.6% and 5.5% of net service revenue for the Successor nine month period ended December 31, 2014 and the Predecessor three month period ended March 31, 2014, respectively. Salaries and wages grew at a higher percentage than net service revenue for the Successor year ended December 31, 2015 as we continued to hire both sales force and administrative personnel in anticipation of future</w:t>
      </w:r>
    </w:p>
    <w:p>
      <w:pPr>
        <w:spacing w:after="0" w:line="1"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growth. Offsetting the increase in selling, general and administrative expense as a percentage of net service revenue were bad debt recoveries and gains on litigation matters of $2.7 million, or 0.9% of net service revenue, for the Successor year ended December 31, 2015, compared to bad debt expense and litigation losses of $2.2 million, or 1.0% of net service revenue, for the Successor nine month period ended December 31, 2014.</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52"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There were no acquisition and integration expenses for the Successor year ended December 31, 2015. Acquisition and integration expenses were $9.3 million for the Successor nine month period ended December 31, 2014 and $12.4 million for the Predecessor three month period ended March 31, 2015. These expenses included attorney fees, advisory fees and other professional service fees related to the Transaction.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w:t>
      </w:r>
    </w:p>
    <w:p>
      <w:pPr>
        <w:spacing w:after="0" w:line="5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During the Successor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Depreciation and amortization expense was $69.5 million for the Successor year ended December 31, 2015, compared to $61.0 million for the Successor nine month period ended December 31, 2014 and $7.0 million for the Predecessor three month period ended March 31, 2014. The increase in depreciation and amortization was primarily related to the amortization expense associated with the Transaction in which $274.7 million in finite-lived intangible assets that were identified and capitalized as part of the Transaction. Depreciation and amortization as a percentage of net service revenue, decreased to 21.7% in the Successor year ended 2015, compared to 27.8% for the Successor nine month period ended December 31, 2014. This decrease primarily related to the accelerated amortization methodology of our backlog and customer relationship intangibles. Within the Successor nine month period ended December 31, 2014 and the Predecessor three month period ended March 31, 2014, depreciation and amortization expense as a percentage of net service revenue increased to 27.8% from 10.0%, respectively. This increase was the result of the capitalization and amortization of the finite-lived intangible assets identified as part of the Transaction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52"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Miscellaneous (expense) income, net was $1.1 million of expense for the Successor year ended December 31, 2015, compared to $0.3 million of expense for the Successor nine month period ended December 31, 2014 and $1.2 million of income for the Predecessor three month period ended December 31, 2014. Changes are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Interest expense, net was $27.3 million for the Successor year ended December 31, 2015, compared to $23.2 million for the Successor nine month period ended December 31, 2014 and $3.3 million for the Predecessor three month period ended March 31, 2014. Interest expense, net was 8.5% of net service revenue for the Successor year ended December 31, 2015, compared to 10.5% of net service revenue for the Successor nine month period ended December 31, 2014 and 4.7% of net service revenue for the Predecessor three month period ended March 31, 2014. The change in interest expense, net was primarily attributed to the average lower outstanding balance under our Senior Secured Term Loan Facility (as defined below) in the Successor year ended December 31, 2015, compared to the Successor nine month period ended December 31, 2014, as $116.1 million of principal payments were applied to the Senior Secured Term Loan Facility throughout the year. For the Successor nine month period ended December 31, 2014, compared to the Predecessor three month period ended March 31, 2014, the increase in interest expense, net was related to entering into the Senior Secured Credit Facilities (as defined below) to finance a portion of the Transaction, which increased outstanding debt, net from $143.7 million (that was paid in full at the Transaction date) to $530.0 million as of April 1, 2014.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52"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Income tax provision was $0.8 million for the Successor year ended December 31, 2015, compared to a benefit of $6.7 million for the Successor nine month period ended December 31, 2014 and a provision of $1.0 million for the Predecessor three month period ended March 31, 2014.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effective tax rate for the Successor year ended December 31, 2015 was negative 10.8%, compared to 31.8% for the Successor nine month period ended December 31, 2014. This change in the effective tax rates was primarily the result of higher non-deductible expenses in the Successor year ended December 31, 2015. The nondeductible expenses for the Successor year ended December 31, 2015 included goodwill impairment and stock based compensation expense resulting from the vesting of stock based awards for foreign employees and an increase of domestic and foreign uncertain tax positions in the Successor year ended December 31, 2015. In the Successor nine month period ended December 31, 2014, the Company experienced significant nondeductible transaction costs resulting from the Transaction. Although both periods experienced high levels of nondeductible expenses, the total nondeductible expenses related to the Successor year ended December 31, 2015 exceeded nondeductible expenses incurred in the Successor nine month period ended December 31, 2014.</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 sale of an investment. The valuation allowance was recorded in the Predecessor three month period ended March 31, 2014 because the Company did not anticipate generating capital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30"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b w:val="1"/>
          <w:bCs w:val="1"/>
          <w:i w:val="1"/>
          <w:iCs w:val="1"/>
          <w:color w:val="auto"/>
        </w:rPr>
        <w:t>Successor nine month period from April 1, 2014 through December 31, 2014 and Predecessor three month period from January 1, 2014 through March 31, 2014 compared to the Predecessor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SUCCESSOR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62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THREE</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PERIOD FROM</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FROM APRIL 1,</w:t>
            </w:r>
          </w:p>
        </w:tc>
        <w:tc>
          <w:tcPr>
            <w:tcW w:w="4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219,791</w:t>
            </w:r>
          </w:p>
        </w:tc>
        <w:tc>
          <w:tcPr>
            <w:tcW w:w="220" w:type="dxa"/>
            <w:vAlign w:val="bottom"/>
            <w:tcBorders>
              <w:right w:val="single" w:sz="8" w:color="auto"/>
            </w:tcBorders>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70,250</w:t>
            </w:r>
          </w:p>
        </w:tc>
        <w:tc>
          <w:tcPr>
            <w:tcW w:w="2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244,270</w:t>
            </w:r>
          </w:p>
        </w:tc>
        <w:tc>
          <w:tcPr>
            <w:tcW w:w="2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45,771</w:t>
            </w:r>
          </w:p>
        </w:tc>
        <w:tc>
          <w:tcPr>
            <w:tcW w:w="48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28,708</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7,679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28,620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7,767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248,499</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77,929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272,890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53,538</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117,550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38,759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119,779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36,530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28,708</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7,679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28,620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7,767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29,465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10,203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35,109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4,559</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and integration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9,297</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12,420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21,717</w:t>
            </w:r>
          </w:p>
        </w:tc>
        <w:tc>
          <w:tcPr>
            <w:tcW w:w="8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Impairment of goodwill</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4,610</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1,832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6,665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(223)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56,422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5,199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23,854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37,767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246,052</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76,092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214,027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108,117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2,447</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1,837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58,863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(54,579)</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(301)</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1,213</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(1,718)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2,630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color w:val="auto"/>
              </w:rPr>
              <w:t>(23,185)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(3,272)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(18,000)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(8,457)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income before income taxes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(21,039)</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39,145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(60,406)</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color w:val="auto"/>
              </w:rPr>
              <w:t>(6,703)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1,014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14,301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(19,990)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income</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(14,336)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(1,236)</w:t>
            </w:r>
          </w:p>
        </w:tc>
        <w:tc>
          <w:tcPr>
            <w:tcW w:w="5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24,844</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(40,146)</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Net service revenue was $219.8 million for the Successor nine month period ended December 31, 2014 and $70.3 million for the Predecessor three month period ended March 31, 2014, compared to $244.3 million for the Predecessor year ended December 31, 2013. Results in the Successor nine month period ended December 31, 2014, compared to the Predecessor three month period ended March 31, 2014 benefitted from a larger number of overall active projects. Compared to the Predecessor year ended December 31, 2013, the Predecessor three month period ended March 31, 2014 also benefitted from more active projects, combined with relatively low project cancellations. Average quarterly backlog conversion was 18.7% for the Successor nine month period ended December 31, 2014 and 19.6% for the Predecessor three month period ended March 31, 2014, compared to 18.7% for the Predecessor year ended December 31, 2013.</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Reimbursed out-of-pocket revenue was $28.7 million for the Successor nine month period ended December 31, 2014, $7.7 million for the Predecessor three month period ended March 31, 2014 and $28.6 million for the Predecessor year ended December 31, 2013.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Direct costs, excluding depreciation and amortization, were $117.6 million for the Successor nine month period ended December 31, 2014 and $38.8 million for the Predecessor three month period ended March 31, 2014, compared to $119.8 million for the Predecessor year ended December 31, 2013. The increase for the Successor nine month period ended December 31, 2014 and three month period ended March 31, 2014 was primarily due to an increase in revenue generating headcount from the Predecessor year ended December 31, 2013 to support higher project activity and new business awards. Additionally, stock based compensation increased to $4.4 million for the Successor nine month period ended December 31, 2014 and $5.4 million for the Predecessor three month period ended March 31, 2014, compared to $0.6 million for the Predecessor year ended December 31, 2013. The increase in stock based compensation was primarily driven by the acceleration of stock option vesting that occurred in advance of the Transaction and new stock based awards issued subsequent to the Transaction.</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a percentage of net service revenue, direct costs, excluding depreciation and amortization, increased to 53.5% of net service revenue for the Successor nine month period ended December 31, 2014 and 55.2% for the Predecessor three month period ended March 31, 2014, compared to 49.0% for the Predecessor year ended December 31, 2013. The primary driver of the increase as a percentage of net service revenue was the aforementioned higher stock based compensation. As a percentage of net service revenue stock based compensation was 2.0% and 7.7% for the Successor nine month period ended December 31, 2014 and Predecessor three month period ended March 31, 2014, respectively, compared to 0.3% for the Predecessor year ended December 31, 2013.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Selling, general and administrative expenses were $29.5 million for the Successor nine month period ended December 31, 2014 and $10.2 million for the Predecessor three month period ended March 31, 2014, compared to $35.1 for the Predecessor year ended December 31, 2013. The increase was primarily related to higher litigation costs resulting from a certain customer bad debt and an employee matter, representing $1.8 million for the Successor nine month period ended December 31, 2014 and $0.0 million for the Predecessor three month period ended March 31, 2014, compared to $0.0 million for the Predecessor year ended December 31, 2013. Further increasing selling, general and administrative expenses was higher employee stock based compensation expense of $1.0 million for the Successor nine month period ended December 31, 2014 for stock based awards issued after the Transaction and $1.9 million for the Predecessor three month period ended March 31, 2014 due to the aforementioned acceleration of stock option vesting that occurred immediately prior to the Transaction, compared to $1.4 million for the Predecessor year ended December 31, 2013.</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as a percentage of net service revenue were 13.4% for the for the Successor nine month period ended</w:t>
      </w:r>
    </w:p>
    <w:p>
      <w:pPr>
        <w:spacing w:after="0" w:line="232" w:lineRule="auto"/>
        <w:rPr>
          <w:sz w:val="20"/>
          <w:szCs w:val="20"/>
          <w:color w:val="auto"/>
        </w:rPr>
      </w:pPr>
      <w:r>
        <w:rPr>
          <w:rFonts w:ascii="Arial" w:cs="Arial" w:eastAsia="Arial" w:hAnsi="Arial"/>
          <w:sz w:val="17"/>
          <w:szCs w:val="17"/>
          <w:color w:val="auto"/>
        </w:rPr>
        <w:t>December 31, 2014 and 14.5% for the Predecessor three month period ended March 31, 2014, compared to 14.4% for the Predecessor year ended</w:t>
      </w:r>
    </w:p>
    <w:p>
      <w:pPr>
        <w:spacing w:after="0"/>
        <w:rPr>
          <w:sz w:val="20"/>
          <w:szCs w:val="20"/>
          <w:color w:val="auto"/>
        </w:rPr>
      </w:pPr>
      <w:r>
        <w:rPr>
          <w:rFonts w:ascii="Arial" w:cs="Arial" w:eastAsia="Arial" w:hAnsi="Arial"/>
          <w:sz w:val="17"/>
          <w:szCs w:val="17"/>
          <w:color w:val="auto"/>
        </w:rPr>
        <w:t>December 31, 2013. Growth of net service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revenue over for the Successor nine month period ended December 31, 2014 and Predecessor three month period ended March 31, 2014 outpaced the corresponding period increases to selling, general and administrative salary and wage growth, causing the decrease as a percent of net service revenue, compared to the Predecessor year ended December 31, 2013.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3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Acquisition and integration expenses were $9.3 million for the Successor nine month period ended December 31, 2014 and $12.4 million for the Predecessor three month period ended March 31, 2014 related to the Transaction. There were no acquisition and integration expenses for the Predecessor year ended December 31, 2013. The expenses in the Successor nine month period ended December 31, 2014 and Predecessor three month period ended March 31, 2014 include attorney fees, advisory fees and other professional service fees related to the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3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Depreciation and amortization expense was $61.0 million for the Successor nine month period ended December 31, 2014 and $7.0 million for the Predecessor three month period ended March 31, 2014, compared to $30.5 million for the Predecessor year ended December 31, 2013. The increase in depreciation and amortization was primarily related to the Transaction in which $274.7 million in finite-lived intangible assets were identified and capitalized as part of the purchase accounting adjustments as of April 1, 2014. The gross carrying value of finite-lived intangible assets prior to the transaction date was $181.7 million. The additional capitalized intangible assets caused depreciation and amortization expense to be 27.8% of net service revenue for the Successor nine month period ended December 31, 2014 and 10.0% of net service revenue for the Predecessor three month period ended March 31, 2014, compared to 12.5% of net service revenue for the Predecessor year ended December 31, 2013. The increase in depreciation and amortization expense in the Successor period ended December 31, 2014 is further driven by certain intangible assets, such as backlog and customer relationships that have an accelerated amortization that aligns to the time period over which cash flows of each respective intangible asset is generated.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3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Miscellaneous (expense) income, net was $0.3 million of expense for the Successor nine month period and $1.2 million of income for the Predecessor three month period ended March 31, 2014, compared to $1.7 million of expense in the Predecessor year ended December 31, 2013. Changes in miscellaneous (expense) income, net were mainly attributed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Interest expense, net was $23.2 million for the Successor nine month period ended December 31, 2014 and $3.3 million for the Predecessor three month period ended March 31, 2014, compared to $18.0 million for the Predecessor year ended December 31, 2013. Interest expense, net was 10.5% of net service revenue for the Successor nine month period December 31, 2014 and 4.7% of net service revenue for the Predecessor three month period ended March 31, 2014, compared to 7.4% of net service revenue for the Predecessor year ended December 31, 2013. The increase in interest expense, net in the Successor nine month period ended December 31, 2014 was related to entering into the Senior Secured Credit Facilities to finance a portion of the Transaction, which increased outstanding debt, net from $143.7 million (that was paid in full at the Transaction date) in the Predecessor three month period ended March 31, 2014, to $530.0 million as of December 31, 2014.</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39"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We had an income tax benefit of $6.7 million for the Successor nine month period ended December 31, 2014, compared to a provision of $1.0 million for the Predecessor three month period ended March 31, 2014, and a provision of $14.3 million for the Predecessor year ended December 31, 2013.</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sale of an investment. The valuation allowance was recorded in the Predecessor three month period ended March 31, 2014 because the Company did not anticipate generating taxable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effective tax rate for the Predecessor three month period ended March 31, 2014 was negative 456.1%, compared to 36.5% for the Predecessor year ended December 31, 2013. The change in the effective tax rates between the Predecessor three month period ended March 31, 2014 and the Predecessor year ended December 31, 2013 was primarily due to an increase in our valuation allowance on U.S. deferred tax assets. The valuation allowance was recorded on a deferred tax asset resulting from a capital loss realized in March 2014 on the sale of an investment. The capital loss is limited to offset future taxable gains which the Company does not anticipate will be generated, resulting in a full valuation allowance. The change in the effective tax rate was also related to non-deductible stock based compensation expense related to foreign earnings due to the acceleration of stock based awards vesting in advance of the Transaction.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tables below present selected unaudited quarterly condensed consolidated statements of operations for our last eight completed fiscal quarters. The information for each of these quarters has been prepared on the same basis as our audited consolidated financial statements appearing elsewhere in this prospectus and, in the opinion of management, includes all adjustments of a normal recurring nature necessary for a fair presentation of the results of operations for these periods. The quarterly results of operations should be read in conjunction with our audited consolidated financial statements and related notes appearing elsewhere in this prospectus. The results for any interim period are not necessarily indicative of the results that may be expected for a full year. Additionally, our historical results are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110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THREE</w:t>
            </w: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72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100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6"/>
              </w:rPr>
              <w:t>THREE</w:t>
            </w:r>
          </w:p>
        </w:tc>
        <w:tc>
          <w:tcPr>
            <w:tcW w:w="40" w:type="dxa"/>
            <w:vAlign w:val="bottom"/>
          </w:tcPr>
          <w:p>
            <w:pPr>
              <w:spacing w:after="0"/>
              <w:rPr>
                <w:sz w:val="10"/>
                <w:szCs w:val="10"/>
                <w:color w:val="auto"/>
              </w:rPr>
            </w:pPr>
          </w:p>
        </w:tc>
        <w:tc>
          <w:tcPr>
            <w:tcW w:w="6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2"/>
              </w:rPr>
              <w:t>THREE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w:t>
            </w: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w:t>
            </w:r>
          </w:p>
        </w:tc>
        <w:tc>
          <w:tcPr>
            <w:tcW w:w="1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MONTHS</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w:t>
            </w:r>
          </w:p>
        </w:tc>
        <w:tc>
          <w:tcPr>
            <w:tcW w:w="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ENDED</w:t>
            </w:r>
          </w:p>
        </w:tc>
        <w:tc>
          <w:tcPr>
            <w:tcW w:w="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2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Service revenue, net</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87,800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85,681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81,638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76,752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76,030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74,476</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68,773</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76,542</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revenue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9,366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520"/>
              <w:spacing w:after="0"/>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99,586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96,041</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92,131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87,854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83,033</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83,754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78,837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85,908</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80" w:type="dxa"/>
            <w:vAlign w:val="bottom"/>
          </w:tcPr>
          <w:p>
            <w:pPr>
              <w:ind w:left="520"/>
              <w:spacing w:after="0" w:line="157" w:lineRule="exact"/>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46,981</w:t>
            </w:r>
          </w:p>
        </w:tc>
        <w:tc>
          <w:tcPr>
            <w:tcW w:w="140" w:type="dxa"/>
            <w:vAlign w:val="bottom"/>
          </w:tcPr>
          <w:p>
            <w:pPr>
              <w:spacing w:after="0"/>
              <w:rPr>
                <w:sz w:val="13"/>
                <w:szCs w:val="13"/>
                <w:color w:val="auto"/>
              </w:rPr>
            </w:pPr>
          </w:p>
        </w:tc>
        <w:tc>
          <w:tcPr>
            <w:tcW w:w="11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44,219</w:t>
            </w:r>
          </w:p>
        </w:tc>
        <w:tc>
          <w:tcPr>
            <w:tcW w:w="160" w:type="dxa"/>
            <w:vAlign w:val="bottom"/>
          </w:tcPr>
          <w:p>
            <w:pPr>
              <w:spacing w:after="0"/>
              <w:rPr>
                <w:sz w:val="13"/>
                <w:szCs w:val="13"/>
                <w:color w:val="auto"/>
              </w:rPr>
            </w:pPr>
          </w:p>
        </w:tc>
        <w:tc>
          <w:tcPr>
            <w:tcW w:w="10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41,763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38,600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39,125</w:t>
            </w: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39,264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40,780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37,506</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11,786</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9,366</w:t>
            </w: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13,509</w:t>
            </w: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18,255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11,706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11,742</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10,247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10,382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8,836</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9,407</w:t>
            </w: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9,313</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1,773</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1,658</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12,668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13,125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15,774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17,042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17,201</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18,879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18,771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18,772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86,717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96,930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84,936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79,987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76,644</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79,261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81,442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85,349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12,869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(889)</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7,195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6,389</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4,493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(2,605)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Miscellaneous (expense) income, net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(935)</w:t>
            </w:r>
          </w:p>
        </w:tc>
        <w:tc>
          <w:tcPr>
            <w:tcW w:w="1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(205)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(976)</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interest (expense) income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(5,973)</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(6,547)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(7,073)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(7,766)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ind w:left="520"/>
              <w:spacing w:after="0"/>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(6,908)</w:t>
            </w:r>
          </w:p>
        </w:tc>
        <w:tc>
          <w:tcPr>
            <w:tcW w:w="1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(6,752)</w:t>
            </w:r>
          </w:p>
        </w:tc>
        <w:tc>
          <w:tcPr>
            <w:tcW w:w="1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(6,904)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(8,049)</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(8,013)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(8,049)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(7,641)</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(1,660)</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935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(1,601)</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(3,277)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(8,576)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(7,341)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(5,282)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share attributable to</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common stockholders: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60"/>
              <w:spacing w:after="0"/>
              <w:rPr>
                <w:sz w:val="20"/>
                <w:szCs w:val="20"/>
                <w:color w:val="auto"/>
              </w:rPr>
            </w:pPr>
            <w:r>
              <w:rPr>
                <w:rFonts w:ascii="Arial" w:cs="Arial" w:eastAsia="Arial" w:hAnsi="Arial"/>
                <w:sz w:val="14"/>
                <w:szCs w:val="14"/>
                <w:color w:val="auto"/>
              </w:rPr>
              <w:t>Basic</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(0.04)</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(0.18)</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Arial" w:cs="Arial" w:eastAsia="Arial" w:hAnsi="Arial"/>
                <w:sz w:val="14"/>
                <w:szCs w:val="14"/>
                <w:color w:val="auto"/>
              </w:rPr>
              <w:t>Weighted average common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80" w:type="dxa"/>
            <w:vAlign w:val="bottom"/>
          </w:tcPr>
          <w:p>
            <w:pPr>
              <w:ind w:left="260"/>
              <w:spacing w:after="0" w:line="157" w:lineRule="exact"/>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44,044</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42,665</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42,430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42,825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41,808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41,771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41,465</w:t>
            </w:r>
          </w:p>
        </w:tc>
        <w:tc>
          <w:tcPr>
            <w:tcW w:w="0" w:type="dxa"/>
            <w:vAlign w:val="bottom"/>
          </w:tcPr>
          <w:p>
            <w:pPr>
              <w:spacing w:after="0"/>
              <w:rPr>
                <w:sz w:val="1"/>
                <w:szCs w:val="1"/>
                <w:color w:val="auto"/>
              </w:rPr>
            </w:pPr>
          </w:p>
        </w:tc>
      </w:tr>
      <w:tr>
        <w:trPr>
          <w:trHeight w:val="177"/>
        </w:trPr>
        <w:tc>
          <w:tcPr>
            <w:tcW w:w="2880" w:type="dxa"/>
            <w:vAlign w:val="bottom"/>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44,044</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42,665</w:t>
            </w: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42,430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42,889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41,808</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41,782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41,771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41,465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reconciliation of net income (loss) to EBITDA,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9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THREE</w:t>
            </w:r>
          </w:p>
        </w:tc>
        <w:tc>
          <w:tcPr>
            <w:tcW w:w="80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6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ENDED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EBITDA and Adjusted EBITDA:</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 (loss) as reported</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(8,576)</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(1,713)</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(7,341)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5,973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6,737</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2,513</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641</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868</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(3,277)</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1,611</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12,668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13,125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15,774</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17,042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17,201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18,879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18,771</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13,689</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24,630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24,885</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17,314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20,979</w:t>
            </w:r>
          </w:p>
        </w:tc>
        <w:tc>
          <w:tcPr>
            <w:tcW w:w="0" w:type="dxa"/>
            <w:vAlign w:val="bottom"/>
          </w:tcPr>
          <w:p>
            <w:pPr>
              <w:spacing w:after="0"/>
              <w:rPr>
                <w:sz w:val="1"/>
                <w:szCs w:val="1"/>
                <w:color w:val="auto"/>
              </w:rPr>
            </w:pPr>
          </w:p>
        </w:tc>
      </w:tr>
      <w:tr>
        <w:trPr>
          <w:trHeight w:val="155"/>
        </w:trPr>
        <w:tc>
          <w:tcPr>
            <w:tcW w:w="2940" w:type="dxa"/>
            <w:vAlign w:val="bottom"/>
            <w:gridSpan w:val="2"/>
          </w:tcPr>
          <w:p>
            <w:pPr>
              <w:spacing w:after="0" w:line="155" w:lineRule="exact"/>
              <w:rPr>
                <w:sz w:val="20"/>
                <w:szCs w:val="20"/>
                <w:color w:val="auto"/>
              </w:rPr>
            </w:pPr>
            <w:r>
              <w:rPr>
                <w:rFonts w:ascii="Arial" w:cs="Arial" w:eastAsia="Arial" w:hAnsi="Arial"/>
                <w:sz w:val="14"/>
                <w:szCs w:val="14"/>
                <w:color w:val="auto"/>
              </w:rPr>
              <w:t>Stock compensation expense: liability awards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240"/>
              <w:spacing w:after="0" w:line="149" w:lineRule="exact"/>
              <w:rPr>
                <w:sz w:val="20"/>
                <w:szCs w:val="20"/>
                <w:color w:val="auto"/>
              </w:rPr>
            </w:pPr>
            <w:r>
              <w:rPr>
                <w:rFonts w:ascii="Arial" w:cs="Arial" w:eastAsia="Arial" w:hAnsi="Arial"/>
                <w:sz w:val="14"/>
                <w:szCs w:val="14"/>
                <w:color w:val="auto"/>
              </w:rPr>
              <w:t>mark-to-market and CEO award</w:t>
            </w:r>
            <w:r>
              <w:rPr>
                <w:rFonts w:ascii="Arial" w:cs="Arial" w:eastAsia="Arial" w:hAnsi="Arial"/>
                <w:sz w:val="11"/>
                <w:szCs w:val="11"/>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5,111</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transaction related cost</w:t>
            </w:r>
            <w:r>
              <w:rPr>
                <w:rFonts w:ascii="Arial" w:cs="Arial" w:eastAsia="Arial" w:hAnsi="Arial"/>
                <w:sz w:val="11"/>
                <w:szCs w:val="11"/>
                <w:color w:val="auto"/>
              </w:rPr>
              <w:t>(b)</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Corporate campus lease payments</w:t>
            </w:r>
            <w:r>
              <w:rPr>
                <w:rFonts w:ascii="Arial" w:cs="Arial" w:eastAsia="Arial" w:hAnsi="Arial"/>
                <w:sz w:val="11"/>
                <w:szCs w:val="11"/>
                <w:color w:val="auto"/>
              </w:rPr>
              <w:t>(c)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Litigation matters</w:t>
            </w:r>
            <w:r>
              <w:rPr>
                <w:rFonts w:ascii="Arial" w:cs="Arial" w:eastAsia="Arial" w:hAnsi="Arial"/>
                <w:sz w:val="11"/>
                <w:szCs w:val="11"/>
                <w:color w:val="auto"/>
              </w:rPr>
              <w:t>(d)</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Impairment of goodwill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transaction expenses</w:t>
            </w:r>
            <w:r>
              <w:rPr>
                <w:rFonts w:ascii="Arial" w:cs="Arial" w:eastAsia="Arial" w:hAnsi="Arial"/>
                <w:sz w:val="11"/>
                <w:szCs w:val="11"/>
                <w:color w:val="auto"/>
              </w:rPr>
              <w:t>(e)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25,759</w:t>
            </w:r>
          </w:p>
        </w:tc>
        <w:tc>
          <w:tcPr>
            <w:tcW w:w="2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26,781</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26,050</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24,938</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23,447</w:t>
            </w:r>
          </w:p>
        </w:tc>
        <w:tc>
          <w:tcPr>
            <w:tcW w:w="12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24,002</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16,849</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Adjusted Net Income: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 (loss) as reported</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(8,576)</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(1,713)</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(7,341)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12,668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15,774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18,771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8" w:lineRule="exact"/>
              <w:rPr>
                <w:sz w:val="20"/>
                <w:szCs w:val="20"/>
                <w:color w:val="auto"/>
              </w:rPr>
            </w:pPr>
            <w:r>
              <w:rPr>
                <w:rFonts w:ascii="Arial" w:cs="Arial" w:eastAsia="Arial" w:hAnsi="Arial"/>
                <w:sz w:val="14"/>
                <w:szCs w:val="14"/>
                <w:color w:val="auto"/>
              </w:rPr>
              <w:t>Stock compensation expense: liability 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240"/>
              <w:spacing w:after="0" w:line="149" w:lineRule="exact"/>
              <w:rPr>
                <w:sz w:val="20"/>
                <w:szCs w:val="20"/>
                <w:color w:val="auto"/>
              </w:rPr>
            </w:pPr>
            <w:r>
              <w:rPr>
                <w:rFonts w:ascii="Arial" w:cs="Arial" w:eastAsia="Arial" w:hAnsi="Arial"/>
                <w:sz w:val="14"/>
                <w:szCs w:val="14"/>
                <w:color w:val="auto"/>
              </w:rPr>
              <w:t>mark-to-market and CEO award</w:t>
            </w:r>
            <w:r>
              <w:rPr>
                <w:rFonts w:ascii="Arial" w:cs="Arial" w:eastAsia="Arial" w:hAnsi="Arial"/>
                <w:sz w:val="11"/>
                <w:szCs w:val="11"/>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5,111</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transaction related cost</w:t>
            </w:r>
            <w:r>
              <w:rPr>
                <w:rFonts w:ascii="Arial" w:cs="Arial" w:eastAsia="Arial" w:hAnsi="Arial"/>
                <w:sz w:val="11"/>
                <w:szCs w:val="11"/>
                <w:color w:val="auto"/>
              </w:rPr>
              <w:t>(b)</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line="148" w:lineRule="exact"/>
              <w:rPr>
                <w:sz w:val="20"/>
                <w:szCs w:val="20"/>
                <w:color w:val="auto"/>
              </w:rPr>
            </w:pPr>
            <w:r>
              <w:rPr>
                <w:rFonts w:ascii="Arial" w:cs="Arial" w:eastAsia="Arial" w:hAnsi="Arial"/>
                <w:sz w:val="14"/>
                <w:szCs w:val="14"/>
                <w:color w:val="auto"/>
              </w:rPr>
              <w:t>Corporate campus lease payments—principal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240"/>
              <w:spacing w:after="0" w:line="149" w:lineRule="exact"/>
              <w:rPr>
                <w:sz w:val="20"/>
                <w:szCs w:val="20"/>
                <w:color w:val="auto"/>
              </w:rPr>
            </w:pPr>
            <w:r>
              <w:rPr>
                <w:rFonts w:ascii="Arial" w:cs="Arial" w:eastAsia="Arial" w:hAnsi="Arial"/>
                <w:sz w:val="14"/>
                <w:szCs w:val="14"/>
                <w:color w:val="auto"/>
              </w:rPr>
              <w:t>portion</w:t>
            </w:r>
            <w:r>
              <w:rPr>
                <w:rFonts w:ascii="Arial" w:cs="Arial" w:eastAsia="Arial" w:hAnsi="Arial"/>
                <w:sz w:val="11"/>
                <w:szCs w:val="11"/>
                <w:color w:val="auto"/>
              </w:rPr>
              <w:t>(c)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(369)</w:t>
            </w: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(354)</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Litigation matters</w:t>
            </w:r>
            <w:r>
              <w:rPr>
                <w:rFonts w:ascii="Arial" w:cs="Arial" w:eastAsia="Arial" w:hAnsi="Arial"/>
                <w:sz w:val="11"/>
                <w:szCs w:val="11"/>
                <w:color w:val="auto"/>
              </w:rPr>
              <w:t>(d)</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Impairment of goodwill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fees</w:t>
            </w:r>
            <w:r>
              <w:rPr>
                <w:rFonts w:ascii="Arial" w:cs="Arial" w:eastAsia="Arial" w:hAnsi="Arial"/>
                <w:sz w:val="11"/>
                <w:szCs w:val="11"/>
                <w:color w:val="auto"/>
              </w:rPr>
              <w:t>(e)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Other transaction expenses</w:t>
            </w:r>
            <w:r>
              <w:rPr>
                <w:rFonts w:ascii="Arial" w:cs="Arial" w:eastAsia="Arial" w:hAnsi="Arial"/>
                <w:sz w:val="11"/>
                <w:szCs w:val="11"/>
                <w:color w:val="auto"/>
              </w:rPr>
              <w:t>(f)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effect of adjustments (39.0%)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(5,181)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(7,196)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(6,549)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(7,699)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(11,244)</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tcPr>
          <w:p>
            <w:pPr>
              <w:spacing w:after="0" w:line="155" w:lineRule="exact"/>
              <w:rPr>
                <w:sz w:val="20"/>
                <w:szCs w:val="20"/>
                <w:color w:val="auto"/>
              </w:rPr>
            </w:pPr>
            <w:r>
              <w:rPr>
                <w:rFonts w:ascii="Arial" w:cs="Arial" w:eastAsia="Arial" w:hAnsi="Arial"/>
                <w:sz w:val="14"/>
                <w:szCs w:val="14"/>
                <w:color w:val="auto"/>
              </w:rPr>
              <w:t>Adjusted Net Income</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11,552</w:t>
            </w:r>
          </w:p>
        </w:tc>
        <w:tc>
          <w:tcPr>
            <w:tcW w:w="2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8,177</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11,121</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10,338</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10,809</w:t>
            </w:r>
          </w:p>
        </w:tc>
        <w:tc>
          <w:tcPr>
            <w:tcW w:w="12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9,680</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4,700</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Diluted Adjusted Net Income per share</w:t>
            </w:r>
          </w:p>
        </w:tc>
        <w:tc>
          <w:tcPr>
            <w:tcW w:w="30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0.26</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0.19</w:t>
            </w:r>
          </w:p>
        </w:tc>
        <w:tc>
          <w:tcPr>
            <w:tcW w:w="2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0.26</w:t>
            </w:r>
          </w:p>
        </w:tc>
        <w:tc>
          <w:tcPr>
            <w:tcW w:w="22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0.23</w:t>
            </w:r>
          </w:p>
        </w:tc>
        <w:tc>
          <w:tcPr>
            <w:tcW w:w="2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color w:val="auto"/>
              </w:rPr>
              <w:t>Diluted average common shares 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44,044</w:t>
            </w: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42,665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42,430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42,889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41,808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41,782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41,771</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41,465</w:t>
            </w: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00" w:hanging="306"/>
        <w:spacing w:after="0" w:line="199" w:lineRule="auto"/>
        <w:tabs>
          <w:tab w:leader="none" w:pos="80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are expected to be classified as equity for accounting purposes and will not be subject to period ending fair value adjustments.</w:t>
      </w:r>
    </w:p>
    <w:p>
      <w:pPr>
        <w:ind w:left="800" w:hanging="306"/>
        <w:spacing w:after="0" w:line="183"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4"/>
          <w:szCs w:val="14"/>
          <w:color w:val="auto"/>
        </w:rPr>
        <w:t>Represents attorney fees, advisory fees and other professional service fees incurred in connection with the Transaction.</w:t>
      </w:r>
    </w:p>
    <w:p>
      <w:pPr>
        <w:spacing w:after="0" w:line="31" w:lineRule="exact"/>
        <w:rPr>
          <w:rFonts w:ascii="Arial" w:cs="Arial" w:eastAsia="Arial" w:hAnsi="Arial"/>
          <w:sz w:val="23"/>
          <w:szCs w:val="23"/>
          <w:color w:val="auto"/>
          <w:vertAlign w:val="superscript"/>
        </w:rPr>
      </w:pPr>
    </w:p>
    <w:p>
      <w:pPr>
        <w:ind w:left="800" w:right="20" w:hanging="299"/>
        <w:spacing w:after="0" w:line="214" w:lineRule="auto"/>
        <w:tabs>
          <w:tab w:leader="none" w:pos="80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ind w:left="800" w:hanging="306"/>
        <w:spacing w:after="0" w:line="183"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31" w:lineRule="exact"/>
        <w:rPr>
          <w:rFonts w:ascii="Arial" w:cs="Arial" w:eastAsia="Arial" w:hAnsi="Arial"/>
          <w:sz w:val="23"/>
          <w:szCs w:val="23"/>
          <w:color w:val="auto"/>
          <w:vertAlign w:val="superscript"/>
        </w:rPr>
      </w:pPr>
    </w:p>
    <w:p>
      <w:pPr>
        <w:ind w:left="800" w:right="300" w:hanging="266"/>
        <w:spacing w:after="0" w:line="183" w:lineRule="auto"/>
        <w:tabs>
          <w:tab w:leader="none" w:pos="800" w:val="left"/>
        </w:tabs>
        <w:numPr>
          <w:ilvl w:val="1"/>
          <w:numId w:val="50"/>
        </w:numPr>
        <w:rPr>
          <w:rFonts w:ascii="Arial" w:cs="Arial" w:eastAsia="Arial" w:hAnsi="Arial"/>
          <w:sz w:val="24"/>
          <w:szCs w:val="24"/>
          <w:color w:val="auto"/>
          <w:vertAlign w:val="superscript"/>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 w:lineRule="exact"/>
        <w:rPr>
          <w:rFonts w:ascii="Arial" w:cs="Arial" w:eastAsia="Arial" w:hAnsi="Arial"/>
          <w:sz w:val="24"/>
          <w:szCs w:val="24"/>
          <w:color w:val="auto"/>
          <w:vertAlign w:val="superscript"/>
        </w:rPr>
      </w:pPr>
    </w:p>
    <w:p>
      <w:pPr>
        <w:ind w:left="800" w:hanging="272"/>
        <w:spacing w:after="0" w:line="183" w:lineRule="auto"/>
        <w:tabs>
          <w:tab w:leader="none" w:pos="800" w:val="left"/>
        </w:tabs>
        <w:numPr>
          <w:ilvl w:val="1"/>
          <w:numId w:val="50"/>
        </w:numPr>
        <w:rPr>
          <w:rFonts w:ascii="Arial" w:cs="Arial" w:eastAsia="Arial" w:hAnsi="Arial"/>
          <w:sz w:val="23"/>
          <w:szCs w:val="23"/>
          <w:color w:val="auto"/>
          <w:vertAlign w:val="superscript"/>
        </w:rPr>
      </w:pPr>
      <w:r>
        <w:rPr>
          <w:rFonts w:ascii="Arial" w:cs="Arial" w:eastAsia="Arial" w:hAnsi="Arial"/>
          <w:sz w:val="14"/>
          <w:szCs w:val="14"/>
          <w:color w:val="auto"/>
        </w:rPr>
        <w:t>Represents advisory costs and other fees related to this offering.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March 31, 2016, we had cash and cash equivalents of $26.9 million, including approximately $2.8 million of restricted cash, primarily related to advanced payments received pursuant to certain sponsor contracts. Approximately $9.5 million of our cash and cash equivalents, none of which was restricted, was held by our foreign subsidiaries as of March 31, 2016. Additionally, as of March 31, 2016, we had $60.0 million available for borrowing under our Senior Secured Revolving Credit Facility.</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expected primary cash needs on both a short and long-term basis are for investment in operational growth, capital expenditures, payment of debt and other general corporate purposes. We have historically funded our operations and growth, including acquisitions, with cash flow from operations and borrowings under our credit facilities. We expect to continue expanding our operations through organic growth and selective strategic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sources of liquidity and capital will be sufficient to finance our investment in operational growth, capital expenditures, payment of debt, selective strategic bolt-on acquisitions, other investments, additional expenses we expect to incur as a public company and other general corporate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jc w:val="center"/>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THREE</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MONTH</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FROM</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MONTHS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APRIL 1, 2014</w:t>
            </w:r>
          </w:p>
        </w:tc>
        <w:tc>
          <w:tcPr>
            <w:tcW w:w="10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THROUGH</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00" w:type="dxa"/>
            <w:vAlign w:val="bottom"/>
          </w:tcPr>
          <w:p>
            <w:pPr>
              <w:spacing w:after="0"/>
              <w:rPr>
                <w:sz w:val="20"/>
                <w:szCs w:val="20"/>
                <w:color w:val="auto"/>
              </w:rPr>
            </w:pPr>
            <w:r>
              <w:rPr>
                <w:rFonts w:ascii="Arial" w:cs="Arial" w:eastAsia="Arial" w:hAnsi="Arial"/>
                <w:sz w:val="14"/>
                <w:szCs w:val="14"/>
                <w:b w:val="1"/>
                <w:bCs w:val="1"/>
                <w:color w:val="auto"/>
              </w:rPr>
              <w:t>Cash Flows (In thousands)</w:t>
            </w:r>
          </w:p>
        </w:tc>
        <w:tc>
          <w:tcPr>
            <w:tcW w:w="104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5"/>
                <w:szCs w:val="15"/>
                <w:color w:val="auto"/>
              </w:rPr>
            </w:pPr>
          </w:p>
        </w:tc>
        <w:tc>
          <w:tcPr>
            <w:tcW w:w="10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183"/>
        </w:trPr>
        <w:tc>
          <w:tcPr>
            <w:tcW w:w="40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12,721</w:t>
            </w: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4,795</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4"/>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84,117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62,539</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   12,807</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4"/>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98,142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00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3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(3,424)</w:t>
            </w: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(685)</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(6,432)</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color w:val="auto"/>
              </w:rPr>
              <w:t>(907,640)</w:t>
            </w:r>
          </w:p>
        </w:tc>
        <w:tc>
          <w:tcPr>
            <w:tcW w:w="13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(827)</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(4,472)</w:t>
            </w:r>
          </w:p>
        </w:tc>
      </w:tr>
      <w:tr>
        <w:trPr>
          <w:trHeight w:val="189"/>
        </w:trPr>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provided by financing activities</w:t>
            </w:r>
          </w:p>
        </w:tc>
        <w:tc>
          <w:tcPr>
            <w:tcW w:w="13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(380)</w:t>
            </w:r>
          </w:p>
        </w:tc>
        <w:tc>
          <w:tcPr>
            <w:tcW w:w="10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(30,293)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(116,489)</w:t>
            </w: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900,171</w:t>
            </w:r>
          </w:p>
        </w:tc>
        <w:tc>
          <w:tcPr>
            <w:tcW w:w="13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(17,968)</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(95,851)</w:t>
            </w:r>
          </w:p>
        </w:tc>
      </w:tr>
      <w:tr>
        <w:trPr>
          <w:trHeight w:val="183"/>
        </w:trPr>
        <w:tc>
          <w:tcPr>
            <w:tcW w:w="4000" w:type="dxa"/>
            <w:vAlign w:val="bottom"/>
          </w:tcPr>
          <w:p>
            <w:pPr>
              <w:spacing w:after="0" w:line="183" w:lineRule="exact"/>
              <w:rPr>
                <w:sz w:val="20"/>
                <w:szCs w:val="20"/>
                <w:color w:val="auto"/>
              </w:rPr>
            </w:pPr>
            <w:r>
              <w:rPr>
                <w:rFonts w:ascii="Arial" w:cs="Arial" w:eastAsia="Arial" w:hAnsi="Arial"/>
                <w:sz w:val="17"/>
                <w:szCs w:val="17"/>
                <w:color w:val="auto"/>
              </w:rPr>
              <w:t>Effect of exchange rates on cash and cash</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4000" w:type="dxa"/>
            <w:vAlign w:val="bottom"/>
          </w:tcPr>
          <w:p>
            <w:pPr>
              <w:ind w:left="260"/>
              <w:spacing w:after="0"/>
              <w:rPr>
                <w:sz w:val="20"/>
                <w:szCs w:val="20"/>
                <w:color w:val="auto"/>
              </w:rPr>
            </w:pPr>
            <w:r>
              <w:rPr>
                <w:rFonts w:ascii="Arial" w:cs="Arial" w:eastAsia="Arial" w:hAnsi="Arial"/>
                <w:sz w:val="17"/>
                <w:szCs w:val="17"/>
                <w:color w:val="auto"/>
              </w:rPr>
              <w:t>equivalents</w:t>
            </w:r>
          </w:p>
        </w:tc>
        <w:tc>
          <w:tcPr>
            <w:tcW w:w="1320" w:type="dxa"/>
            <w:vAlign w:val="bottom"/>
            <w:gridSpan w:val="3"/>
          </w:tcPr>
          <w:p>
            <w:pPr>
              <w:jc w:val="right"/>
              <w:ind w:right="280"/>
              <w:spacing w:after="0"/>
              <w:rPr>
                <w:sz w:val="20"/>
                <w:szCs w:val="20"/>
                <w:color w:val="auto"/>
              </w:rPr>
            </w:pPr>
            <w:r>
              <w:rPr>
                <w:rFonts w:ascii="Arial" w:cs="Arial" w:eastAsia="Arial" w:hAnsi="Arial"/>
                <w:sz w:val="17"/>
                <w:szCs w:val="17"/>
                <w:color w:val="auto"/>
              </w:rPr>
              <w:t>384</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(156)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(601)</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(785)</w:t>
            </w: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r>
      <w:tr>
        <w:trPr>
          <w:trHeight w:val="189"/>
        </w:trPr>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(decrease) in cash and cash equivalents</w:t>
            </w:r>
          </w:p>
        </w:tc>
        <w:tc>
          <w:tcPr>
            <w:tcW w:w="13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9,301</w:t>
            </w:r>
          </w:p>
        </w:tc>
        <w:tc>
          <w:tcPr>
            <w:tcW w:w="10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(26,339)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(39,405)</w:t>
            </w: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54,285</w:t>
            </w:r>
          </w:p>
        </w:tc>
        <w:tc>
          <w:tcPr>
            <w:tcW w:w="13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(6,013)</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5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Cash flows from operations are driven mainly by net income and net movement in accounts receivable, net and unbilled services, advanced billings, pre-funded liabilities, accounts payable and accrued expenses. Accounts receivable, net and unbilled services,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5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Net cash provided by operating activities was $12.7 million for the Successor three months ended March 31, 2016, consisting of net income of $19.3 million, after adjustments for net non-cash items of $15.9 million primarily related to amortization of intangibles of $12.7 million, depreciation of $1.8 million and stock based compensation expense of $1.0 million. Changes in operating assets and liabilities used $6.6 million in operating cash flows and was primarily driven by increased accounts receivable, net and unbilled services of $9.9 million, decreased accrued expenses of $5.0 million primarily related to incentive compensation payments and a decrease in accounts payable of $2.0 million offset by an increase in advanced billings of $9.7 million.</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Net cash provided by operating activities was $4.8 million for the Successor three months ended March 31, 2015, consisting of net income of $19.6 million, after adjustments for net non-cash items of $19.7 million primarily related to amortization of intangibles of $17.2 million and stock based compensation expense of $3.7 million, offset by $3.6 million of benefit from deferred taxes. Changes in operating assets and liabilities used $14.8 million in operating cash flows and was primarily driven by lower accrued expenses of $7.3 million related to incentive compensation payments and $6.5 million from a decrease in advanced billings partially offset by a decrease in accounts receivable, net of unbilled services of $3.6 million.</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Net cash provided by operating activities was $84.1 million for the Successor year ended December 31, 2015, consisting of net income of $82.2 million, after adjustments for net non-cash items of $90.9 million primarily related to amortization of intangibles of $63.1 million, depreciation of $6.4 million, impairment of goodwill of $9.3 million and stock based compensation expense of $22.3 million, offset by a tax benefit of $12.7 million. Changes in operating assets and liabilities provided $1.9 million in operating cash flows and were driven primarily by an increase in pre-funded cash and a decrease in prepaid assets while being offset by a decrease in advanced billings and an increase in restricted cash.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Net cash provided by operating activities was $62.5 million for the Successor nine month period ended December 31, 2014, consisting of net income of $44.4 million, after adjustments for net non-cash items of $58.7 million primarily related to amortization of intangibles of $56.4 million. Changes in operating assets and liabilities over the period provided $18.1 million in operating cash flows and were driven primarily by an increase in accrued expenses related to employee incentive compensation of $11.0 million and an increase in advanced billings of $6.0 million.</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Net cash provided by operating activities was $12.8 million for the Predecessor three month period ended March 31, 2014, consisting of net income of $13.1 million, after adjustments for net non-cash items of $14.3 million primarily related to stock based compensation expense of $7.3 as a result of accelerated vesting of stock awards during this period, along with amortization of $1.8 million and depreciation of $5.2 million in the period. Changes in operating assets and liabilities over the period used $0.3 million in operating cash flows and were driven primarily by increases in accounts receivable and prepaid expense balances and decreases in accrued expenses as a result of incentive compensation payments in the period offset by an increase in accounts payable.</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Net cash provided by operations was $98.1 million for the Predecessor year ended December 31, 2013, consisting of net income of $69.2 million, after adjustments for net non-cash items of $44.4 million primarily related amortization of intangibles of $23.9 million, depreciation of $6.7 million, loss on the sale of an equity investment of $2.3 million and provision for taxes of $6.0 million. Changes in operating assets and liabilities over the Predecessor year ended December 31, 2013 provided $28.9 million in operating cash flows and were driven primarily by increases in advanced billings of $10.7 million, increases of accrued expenses of $8.3 million and decreases to prepaid expense balances of $4.8 million.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41"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Net cash used in investing activities was $3.4 million for the Successor three months ended March 31, 2016, primarily consisting of property and equipment expenditures.</w:t>
      </w:r>
    </w:p>
    <w:p>
      <w:pPr>
        <w:spacing w:after="0" w:line="144"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Net cash used in investing activities was $0.7 million for the Successor three months ended March 31, 2015, primarily consisting of property and equipment expenditures.</w:t>
      </w:r>
    </w:p>
    <w:p>
      <w:pPr>
        <w:spacing w:after="0" w:line="144"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Net cash used in investing activities was $6.4 million for the Successor year ended December 31, 2015 primarily consisting of capital expenditures relating to property and equipment purchases.</w:t>
      </w:r>
    </w:p>
    <w:p>
      <w:pPr>
        <w:spacing w:after="0" w:line="144"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Net cash used in investing activities was $907.6 million in the Successor nine month period ended December 31, 2014. The cash used in investing activities was primarily related to the Transaction, which we completed for $903.5 million net of cash received in the Successor nine month period ended December 31, 2014. Cash used in the period for property and equipment purchases was $4.2 million.</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Net cash used in investing activities was $0.8 million in the Predecessor three months ended March 31, 2014 consisting of property and equipment expenditures.</w:t>
      </w:r>
    </w:p>
    <w:p>
      <w:pPr>
        <w:spacing w:after="0" w:line="144"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Net cash used in investing activities was $4.5 million in the Predecessor year ended December 31, 2013 consisting of property and equipment expenditures.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Net cash used in financing activities was $0.4 million for the Successor three months ended March 31, 2016, primarily consisting of rental payments on deemed landlord assets.</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Net cash used in financing activities was $30.3 million for the Successor three month period ended March 31, 2015, primarily related to a $30.0 million principal payment on our Senior Secured Term Loan Facility.</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Net cash used in financing activities was $116.5 million in the Successor year ended December 31, 2015, primarily related to $116.1 million in principal payments on our Senior Secured Term Loan Facility.</w:t>
      </w:r>
    </w:p>
    <w:p>
      <w:pPr>
        <w:spacing w:after="0" w:line="144"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Net cash provided in financing activities was $900.2 million for the Successor nine month period ended December 31, 2014. The cash provided was primarily related to $414.0 million from the issuance of common stock and $511.8 million, net of debt issuance costs, from the issuance of debt under our Senior Secured Term Loan Facility on April 1, 2014 as part of the Transaction. Debt payments under the Senior Secured Term Loan Facility offset total cash provided by $25.2 million in the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Net cash used in financing activities was $18.0 million in the Predecessor three month period ended March 31, 2014, primarily related to $23.1 million utilized to repay our then outstanding credit facility as of March 31, 2014. This amount was offset by $5.3 million of excess tax benefit received from the acceleration of vesting related to outstanding stock based compensation awards in conjunction with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$95.9 million in the Predecessor year ended December 31, 2013, primarily related to the pay down of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conjunction with the Transaction, on April 1, 2014, we entered into a new credit agreement, or the Senior Secured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The Senior Secured Term Loan Facility expires in April 2021 and the Senior Secured Revolving Credit Facility expires in April 2019. The Senior Secured Credit Facilities proceeds were utilized to finance a portion of the Transaction, which upon consummation resulted in the extinguishment of our previously existing $335.0 million credit agreement that consisted of a $285.0 million term loan and a $50.0 million revolving credit agreement, of which $143.7 million was outstanding at the time of extinguishment. The Senior Secured Credit Facilities are guaranteed by the Company and certain of its subsidiaries.</w:t>
      </w:r>
    </w:p>
    <w:p>
      <w:pPr>
        <w:spacing w:after="0" w:line="15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 xml:space="preserve">From April 1, 2014 to the date on which the first compliance certificate accompanying financials was delivered under the Senior Secured Credit Facilities, borrowings under the Senior Secured Credit Facilities bore interest at our option, equal to a Eurocurrency rate plus a margin of 4.00% and 3.75%, or a base rate plus a margin of 3.00% and 2.75% for the Senior Secured Term Loan Facility and Senior Secured Revolving Credit Facility, respectively. The Eurocurrency rate is based on LIBOR for U.S. dollar deposits for loans denominated in dollars, EURIBOR for Euros deposits for loans denominated in Euros and the offer rate for any other currencies for loans denominated in such other currencies and, in each case, is subject to a 1.00% floor. The base rate is defined as the highest of (a)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(b) the Prime Lending Rate on such day, (c) the Adjusted Eurocurrency Rate for Loans denominated in U.S. dollars published on such day for an Interest Period of one month plus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1.00% and (d) 2.00%. At our discretion, we may choose interest periods of one, two, three or six months, or the Eurocurrency term, which determines the interest rate to be applied. Interest on the Eurocurrency rate loan continues to be payable at the end of the selected Eurocurrency term and interest on the base rate tranche of the Senior Secured Term Loan Facility is payable quarterly in conjunction with any required principal payments.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delivery of the first compliance certificate accompanying financials under the Senior Secured Credit Facilities, the borrowings under the Senior Secured Credit Facilities bear interest at a rate per annum equal to an applicable spread, within two pricing tiers that are determined upon achievement towards a defined total net debt to consolidated EBITDA leverage ratio, plus a Eurocurrency or base rate. The first pricing tier lowers the Eurocurrency and base rate margin spreads to 3.75% and 2.75% and 3.50% and 2.50% for the Senior Secured Term Loan Facility and Senior Secured Revolving Credit Facility, respectively, while the second pricing tier retains the spreads applicable to the initial interest periods described in the previous paragraph. The Eurocurrency rate is subject to a minimum floor of 1.00% and the base rate is subject to a floor of 2.00%. As of March 31, 2016, we were subject to an interest rate of 4.75% for the Senior Secured Term Loan Facility, which represents the minimum 1.00% Eurocurrency floor plus the first tier pricing spread of 3.75%.</w:t>
      </w:r>
    </w:p>
    <w:p>
      <w:pPr>
        <w:spacing w:after="0" w:line="15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also pay commitment fees on a quarterly basis at an annual rate of 0.50% of the unused borrowings under the Senior Secured Revolving Credit Facility, which is recorded as a component of interest expense, net in the consolidated statements of operations. The commitment fee is subject to a pricing level reduction to 0.375% when we achieve a funded first lien debt to consolidated EBITDA (as defined under the Senior Secured Credit Facilities) ratio of equal to or less than 4.25:1.00 on any given date. As of March 31, 2016, we achieved the targeted requirement.</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Senior Secured Term Loan Facility is subject to quarterly amortization equal to 0.25% of the initial aggregate principal amount, with the balance due at final maturity. The following amounts are required to be prepaid in addition to quarterly installment payments and will be applied to repay the Senior Secured Term Loan Facility, subject to certain thresholds, carve-outs, exceptions and reinvestment rights: (a) 50% of our annual Excess Cash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Flow (as defined under the Senior Secured Credit Facilities) commencing with the fiscal year ended December 31, 2015 (or 25% or 0% of our annual Excess Cash Flow thereafter if we achieve a funded first lien debt to consolidated EBITDA ratio of equal to or less than 4.25:1.00 or 3.75:1.00, respectively); (b) 100% of the net cash proceeds of insurance proceeds of a condemnation award in respect of any equipment, fixed assets or real property subject to certain reinvestment rights; (c) 100% of the net cash proceeds of any occurrence of indebtedness by us or certain of our subsidiaries; and (d) 100% of the net cash proceeds of certain non-ordinary course asset sales or dispositions of property by us or certain subsidiaries subject to certain reinvestment rights. In addition to the mandatory payments above, we may voluntarily repay the outstanding Senior Secured Term Loan Facility without premium or penalty, subject to certain restrictions. As of March 31, 2016, we had made principal payments of $140.0 million, which was $130.7 million ahead of originally scheduled requirements. This amount has satisfied all required quarterly principal installment payments over the term of the Senior Secured Term Loan Facility.</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Senior Secured Credit Agreement details various covenants with which we are required to comply. These covenants, as defined in the Senior Secured Credit Agreement, among other things, limit our ability and the ability of our restricted subsidiaries to, with certain exceptions:</w:t>
      </w:r>
    </w:p>
    <w:p>
      <w:pPr>
        <w:spacing w:after="0" w:line="102" w:lineRule="exact"/>
        <w:rPr>
          <w:sz w:val="20"/>
          <w:szCs w:val="20"/>
          <w:color w:val="auto"/>
        </w:rPr>
      </w:pPr>
    </w:p>
    <w:p>
      <w:pPr>
        <w:ind w:left="800" w:hanging="454"/>
        <w:spacing w:after="0"/>
        <w:tabs>
          <w:tab w:leader="none" w:pos="800" w:val="left"/>
        </w:tabs>
        <w:numPr>
          <w:ilvl w:val="0"/>
          <w:numId w:val="51"/>
        </w:numPr>
        <w:rPr>
          <w:rFonts w:ascii="Arial" w:cs="Arial" w:eastAsia="Arial" w:hAnsi="Arial"/>
          <w:sz w:val="25"/>
          <w:szCs w:val="25"/>
          <w:color w:val="auto"/>
          <w:vertAlign w:val="superscript"/>
        </w:rPr>
      </w:pPr>
      <w:r>
        <w:rPr>
          <w:rFonts w:ascii="Arial" w:cs="Arial" w:eastAsia="Arial" w:hAnsi="Arial"/>
          <w:sz w:val="17"/>
          <w:szCs w:val="17"/>
          <w:color w:val="auto"/>
        </w:rPr>
        <w:t>create, incur or assume any lien upon any of our property, assets or revenue;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7"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March 31, 2016, we maintained a net debt to consolidated EBITDA leverage ratio, as defined under the Senior Secured Credit Facilities, of 3.11:1.00. As of March 31, 2016, we were in compliance with all covenants under our Senior Secured Credit Agreement.</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breach of these covenants, or the occurrence of other Events of Default (as defined in the Senior Secured Credit Agreement) could result in an event of default, which would permit or require the principal outstanding under the Senior Secured Credit Facilities to become or to be declared due and payable. Occurrences other than the breach of covenants that are considered Events of Default include, but are not limited to, (a) non-payment of principal or interest, (b) certain bankruptcy related events, (c) cross defaults with certain other indebtedness, (d) defaults on monetary judgement orders, (e) certain ERISA events, (f) actual or asserted invalidity of any guarantee or security document and (g) change in control. Our ability to satisfy these covenant requirements or prevent Events of Default in future periods will depend on occurrences or events that may be beyond our control, and therefore, there is no guarantee that we will be able to prevent these occurrences.</w:t>
      </w:r>
    </w:p>
    <w:p>
      <w:pPr>
        <w:spacing w:after="0" w:line="15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All of our obligations under the Senior Secured Credit Facilities are guaranteed by us and our material, wholly owned subsidiaries, with certain exceptions, including where providing such guarantees is not permitted by law, regulation or contract or would result in adverse tax consequences. All of our obligations under the Senior Secured Credit Facilities are secured, subject to certain permitted liens and other exceptions, by substantially all of the assets of the borrower and each guarantor, included, but not limited to, a perfected pledge of all of the capital stock issued by us and each guarantor and, subject to certain exceptions, perfected security interests in substantially all other tangible and intangible assets of us and each guarantor.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As of March 31, 2016, we had total indebtedness of $378.5 million, substantially all of which was attributed to outstanding borrowings on the Senior Secured Term Loan Facility. There were no outstanding borrowings under the Senior Secured Revolving Credit Facility as of March 31, 2016. In addition, as of March 31, 2016, we had less than $0.1 million in letters of credit outstanding related to certain operating lease obligations, which are secured by the Senior Secured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various contractual obligations, which are recorded as liabilities in our consolidated financial statements. Other items, such as operating lease obligations, are not recognized as liabilities in our consolidated financial statements but are required to be disclosed. The following table summarizes our future payments for all contractual obligations and commercial commitments for the years subsequent to the Successor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36"/>
              <w:spacing w:after="0" w:line="14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160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Long-term debt obligations</w:t>
            </w:r>
          </w:p>
        </w:tc>
        <w:tc>
          <w:tcPr>
            <w:tcW w:w="16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line="189" w:lineRule="exact"/>
              <w:rPr>
                <w:sz w:val="20"/>
                <w:szCs w:val="20"/>
                <w:color w:val="auto"/>
              </w:rPr>
            </w:pPr>
            <w:r>
              <w:rPr>
                <w:rFonts w:ascii="Arial" w:cs="Arial" w:eastAsia="Arial" w:hAnsi="Arial"/>
                <w:sz w:val="17"/>
                <w:szCs w:val="17"/>
                <w:color w:val="auto"/>
              </w:rPr>
              <w:t>Interest on long-term debt</w:t>
            </w:r>
          </w:p>
        </w:tc>
        <w:tc>
          <w:tcPr>
            <w:tcW w:w="254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100,045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19,206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9"/>
              </w:rPr>
              <w:t>38,023</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38,076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 lease obligations</w:t>
            </w:r>
          </w:p>
        </w:tc>
        <w:tc>
          <w:tcPr>
            <w:tcW w:w="25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line="189" w:lineRule="exact"/>
              <w:rPr>
                <w:sz w:val="20"/>
                <w:szCs w:val="20"/>
                <w:color w:val="auto"/>
              </w:rPr>
            </w:pPr>
            <w:r>
              <w:rPr>
                <w:rFonts w:ascii="Arial" w:cs="Arial" w:eastAsia="Arial" w:hAnsi="Arial"/>
                <w:sz w:val="17"/>
                <w:szCs w:val="17"/>
                <w:color w:val="auto"/>
              </w:rPr>
              <w:t>Operating lease obligations</w:t>
            </w:r>
          </w:p>
        </w:tc>
        <w:tc>
          <w:tcPr>
            <w:tcW w:w="254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30,291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6,160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9,660</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6,840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Deemed landlord liabilities</w:t>
            </w:r>
          </w:p>
        </w:tc>
        <w:tc>
          <w:tcPr>
            <w:tcW w:w="25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47,378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3,757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7,723</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7,925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27,973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line="189" w:lineRule="exact"/>
              <w:rPr>
                <w:sz w:val="20"/>
                <w:szCs w:val="20"/>
                <w:color w:val="auto"/>
              </w:rPr>
            </w:pPr>
            <w:r>
              <w:rPr>
                <w:rFonts w:ascii="Arial" w:cs="Arial" w:eastAsia="Arial" w:hAnsi="Arial"/>
                <w:sz w:val="17"/>
                <w:szCs w:val="17"/>
                <w:color w:val="auto"/>
              </w:rPr>
              <w:t>Management fees</w:t>
            </w:r>
          </w:p>
        </w:tc>
        <w:tc>
          <w:tcPr>
            <w:tcW w:w="16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250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6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568,026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29,435</w:t>
            </w:r>
          </w:p>
        </w:tc>
        <w:tc>
          <w:tcPr>
            <w:tcW w:w="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u w:val="single" w:color="auto"/>
                <w:color w:val="auto"/>
                <w:w w:val="84"/>
              </w:rPr>
              <w: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55,406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6"/>
              </w:rPr>
              <w:t>52,841</w:t>
            </w:r>
          </w:p>
        </w:tc>
        <w:tc>
          <w:tcPr>
            <w:tcW w:w="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430,344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interest payments on long-term debt in the above table are based on interest rates in effect as of December 31, 2015.</w:t>
      </w:r>
    </w:p>
    <w:p>
      <w:pPr>
        <w:spacing w:after="0" w:line="156"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management fee represents fees paid to Cinven. This fee is paid annually in equal quarterly installments. The management fee remains in effect through 2024, unless amended or terminated by mutual agreement. However, this agreement will terminate upon the consummation of this offering. Due to the uncertainty of the term, we have only included one year of management fees in the above table.</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We have recorded a tax liability for unrecognized benefits for uncertain tax positions of $2.6 million, which has not been included in the above table due to the uncertainties in the timing of settlement of the income tax positions.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party to certain vendor contracts related to clinical services that if cancelled may require payment for services performed and potentially additional services required to protect safety of subjects. The value of these potential wind-down provisions is generally borne by our customers and is not practical to estimate.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0"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 Recognition</w:t>
      </w:r>
    </w:p>
    <w:p>
      <w:pPr>
        <w:spacing w:after="0" w:line="41"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generally enter into contracts with customers to provide services ranging in duration from a few months to several years. The contract terms generally provide for payments based on a fixed-fee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majority of our contracts provide for services based on a fixed-fee arrangement, in which revenue is recognized based on the proportional performance methodology. Under this methodology, revenue recognition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We believe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is updated and any revisions to the existing hours budget result in cumulative adjustments to the amount of revenue recognized in the period in which the revisions are identified. Because of the uncertainties inherent in estimating the hours necessary to fulfill contractual obligations, it is possible that estimates may change in the near term, resulting in a material change in revenue reported.</w:t>
      </w:r>
    </w:p>
    <w:p>
      <w:pPr>
        <w:spacing w:after="0" w:line="26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Fixed-fee contracts provide for pricing modifications upon scope of work changes. We recognize revenue related to work performed in connection with scope changes when the underlying services are performed, a binding contractual commitment has been executed with the customer and collectability is reasonably assured. If our customers do not agree to price renegotiation upon changes in our scope of work, we could be exposed to cost overruns and reduced contract profitability. Costs are not deferred in anticipation of contracts being awarded or amendments being finalized, but are expensed as incurred.</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For unit-of–service arrangements, we recognize revenue in the period in which the unit is delivered. Service unit elements largely consist of various project management, consulting and analytical testing services.</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accounting based on the relative selling price of each unit of account. The best evidence of selling price of a unit of accounting is vendor specific objective evidence, or VSOE, which is the price charged when the deliverable is sold separately. When VSOE is not available to determine selling price, management uses relative third party evidence, if available. When neither VSOE nor third party evidence of selling price exists, we use the best estimate of selling price considering all relevant information that is available without undue cost and effort.</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us for services rendered through the date of termination and may require payment for subsequent services necessary to conclude the study or close out the contract. Final settlement amounts are typically subject to negotiation with the customer. These amounts are included in net service revenue when realization is reasonably assured.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occasionally enter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w:t>
      </w:r>
    </w:p>
    <w:p>
      <w:pPr>
        <w:spacing w:after="0" w:line="148"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We record revenue net of any tax assessments by governmental authorities that are imposed and concurrent with specific revenue generating transactions.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grant credit terms to our customers prior to signing a service contract and monitor creditworthiness on an ongoing basis. We assess ongoing collectability by customer through a variety of performance indicators including age of billed receivable, billing type, knowledge of available funding and other information available through internal research. A large percentage of our customers are biotechnology companies that rely on funding from investors to finance their operations. This creates a heightened risk related to their creditworthiness. The Company maintains an allowance for doubtful accounts for accounts receivable specifically identified that are at risk of not being collected.</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Uncollectible accounts receivable are written off only after all reasonable collection efforts have been exhausted. Moreover, in many cases the Company requires advance payment from its customers for a portion of the study contract price upon the signing of a service contract. These advance payments are deferred and recognized as revenue as services are performed.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 Goodwill and Indefinite Lived Intangible Assets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Tangible Assets</w:t>
      </w:r>
    </w:p>
    <w:p>
      <w:pPr>
        <w:spacing w:after="0" w:line="5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52"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As a result of the Transaction, we recognized $670.3 million of goodwill that was allocated to and recorded at the reporting unit level. Our reporting units are Phase II-IV clinical research services, or Phase II-IV, Laboratories and Clinics.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carrying value of goodwill is reviewed at least annually for impairment, or as indicators of potential impairment are identified, at the reporting unit level. We perform our annual goodwill impairment test during the fourth quarter each year, utilizing the quantitative two step model defined by accounting guidance which governs such assessments. The first step involves the comparison of each of our reporting unit carrying values, inclusive of assigned goodwill, to their respective estimated fair values. If a reporting unit carrying value exceeds estimated fair value, a second step requiring us to calculate the implied reporting unit goodwill fair value is performed. The implied fair value of goodwill is determined by performing a hypothetical purchase price allocation of reporting unit fair value to the reporting units identified assets and liabilities. The resulting implied goodwill fair value is compared to carrying value to determine the extent of impairment, if any exists. Reporting unit fair value is estimated using a combination of the income approach, a discounted cash flow analysis, and the market approach, utilizing the guideline company method. The reporting unit’s discounted cash flow analysis requires significant management judgment with respect to net service revenue, direct costs, excluding depreciation and amortization,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conjunction with the 2015 fourth quarter annual assessment of goodwill, we determined that goodwill related to our Clinics reporting unit was impaired and we recognized an impairment charge of $9.3 million, which represents 100% of the goodwill that had been allocated to this reporting unit. This impairment was identified during the annual impairment assessment in the fourth quarter of 2015 when we updated our forecasted discounted cash flows related to the reporting unit to reflect operating results that lagged prior forecasted results. For our Phase II-IV and Laboratories reporting units, the reporting units’ fair values significantly exceeded their respective carrying values including allocated goodwill.</w:t>
      </w:r>
    </w:p>
    <w:p>
      <w:pPr>
        <w:spacing w:after="0" w:line="150"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This process is inherently subjective and dependent upon estimates and assumptions we make. In determining our expected future cash flows, we assume that we will continue to acquire and convert new business to contract, execute on these contracts with reasonable profit, collect customer receivables and thus generate positive cash flows. However, future declines in the operating results of these reporting units could indicate a need to reevaluate the fair value of these components under accounting guidance governing goodwill and may ultimately result in future impairment. We continue to monitor for any potential indicators of impairment.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3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an indefinite lived intangible asset related to its trade name valued at $31.6 million.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 relief from royalty method requires management judgment with respect to projected net service revenue, profitability and growth and the selection and use of an appropriate discount rate. There was no indication of impairment related to the trade name asset based on the fourth quarter 2015 assessment.</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assessment of impairment charges on any assets classified currently as having indefinite lives could change in future periods if certain events were to occur, including, but not limited to, the following: a significant change in business results, an increase in our discount rates due to a change in our weighted average cost of capital, a decrease in growth rates, economic deterioration that is more severe or longer in duration than anticipated or another significant economic event.</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17 months to 15 years. Amortization expense recognized related to finite lived intangible assets was $12.7 million for the Successor three months ended March 31, 2016, $17.2 million for the Successor three months ended March 31, 2015, $63.1 million for the Successor year ended 2015, $56.4 million for Successor nine month period ended December 31, 2014, $5.2 million for the Predecessor three month period ended March 31, 2014 and $23.9 million for the Predecessor year ended December 31, 2013.</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We are subject to income taxes in the United States and numerous foreign jurisdictions. Significant judgement is required in the forecasting of taxable income using historical and projected future operating results in determining our provision for income taxes and the related assets and liabilities. The provision for income taxes includes income taxes paid, currently payable and receivable, and deferred taxes.</w:t>
      </w:r>
    </w:p>
    <w:p>
      <w:pPr>
        <w:spacing w:after="0" w:line="14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49"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March 31, 2016 and December 31, 2015 a valuation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allowance in the amount of $1.0 million was required relating to certain foreign operating loss carryforwards, a U.S. capital loss carryforward and U.S. state and local tax credits and carryforwards.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recognized certain liabilities, including penalties and interest in the amount of $2.6 million for the Successor year ended December 31, 2015, within other long-term liabilities on the consolidated balance sheets. These relate to uncertain tax positions that are subject to various assumptions and judgement.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of March 31, 2016 and December 31, 2015, as a result of an updated analysis of future cash needs in the United States and opportunities for investment outside the United States, we assert that all foreign earnings will be indefinitely reinvested and therefore we have not provided taxes on these earnings. These undistributed earnings of foreign subsidiaries will support future growth in foreign markets and maintain current operating needs of foreign locations. We will continue to monitor our assertion related to investment of foreign earnings.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Based Compensation</w:t>
      </w:r>
    </w:p>
    <w:p>
      <w:pPr>
        <w:spacing w:after="0" w:line="4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We have stock based compensation plans in which we issue stock based awards to employees and directors in the form of vested common shares, stock options and restricted stock awards (RSAs and RSUs). Certain of our awards are subject to equity classification, while others are subject to liability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 Awards subject to liability classification are initially measured and recognized in the consolidated statements of operations at the grant date fair value, but are adjusted to fair value each period during the requisite service period, with changes in fair value recognized as compensation cost over the vesting period or in the period in which the change occurs for awards that have vested but have not yet settled.</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fair value of our common stock for vested common shares, restricted stock awards and underlying stock option grants is determined in accordance with guidelines outlined in the American Institute of Certified Public Accountants Practice Aid, Valuation of Privately-Held-Company Equity Securities Issued as Compensation, or AICPA Practice Aid. In the absence of a public market, we considered all relevant facts and circumstances known at the time of valuation, made certain assumptions based on future expectations and exercised significant judgment to determine the fair value of our common stock. The factors considered in determining fair value include, but are not limited to the following:</w:t>
      </w:r>
    </w:p>
    <w:p>
      <w:pPr>
        <w:ind w:left="800" w:hanging="454"/>
        <w:spacing w:after="0" w:line="195"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Valuations of our common stock performed by an unrelated third-party specialist on a bi-annual basis;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Our results of operations and financial position and estimated trends and projections of our future operating and financial performance;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The market performance of publically traded companies in the clinical research industry;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The common shares underlying the awards involved illiquid securities in a private company;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External market conditions affecting the pharmaceutical and biotechnology industries.</w:t>
      </w:r>
    </w:p>
    <w:p>
      <w:pPr>
        <w:spacing w:after="0" w:line="147"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An unrelated third-party specialist performs a common share valuation, under the guidelines outlined in the AICPA Practice Aid, each year as of April 1 and October 1 (in conjunction with our annual assessment of goodwill). These valuations are estimated using a combination of the income approach, a discounted cash flow analysis and the market approach, utilizing the guideline company method. The discounted cash flow method involves cash flow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projections that are discounted at an appropriate rate while the guideline company method employs market multiples derived from market prices of stocks of companies that are engaged in the same or similar lines of business and that are actively traded on a free and open market and applies these selected multiples to our corresponding measures of financial performance. The estimates utilized in these fair value methodologies are highly complex and subjective. Management considers whether any events or circumstances have occurred between the date of valuation and the date of a grant or a period end fair value re-measurement that would indicate a significant change in the fair value of common shares during that period. Following the consummation of an initial public offering, vested common share awards, restricted stock awards and stock option awards fair value will be determined based on the quoted market price of our common stock.</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a public market for the trading of our common stock and the lack of Company specific historical and implied volatility data, we have based our estimate of expected volatility on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 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 We are also required to estimate forfeitures at the time of grant and revise those estimates in subsequent periods if actual forfeitures differ from our estimates.</w:t>
      </w:r>
    </w:p>
    <w:p>
      <w:pPr>
        <w:spacing w:after="0" w:line="14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Stock based option awards granted subsequent to the Transaction, which represent all outstanding and unexercised options as of March 31, 2016 and December 31, 2015, are subject to a Contribution and Subscription Agreement that provides that upon exercise, the shares received must be exchanged for incentive units in MPI. The incentive units are tied directly to ownership in Medpace Holdings, Inc. and entitle the incentive unit holder to participate in the risks and rewards of owning our common shares through ownership in MPI. As the shares received in the settlement of stock options exercised are settled in assets other than our common shares, accounting guidance governing stock based compensation require the awards to be classified as liabilities. This classification requires that we measure and record the stock compensation awards to fair value each period utilizing the same methodology for measuring stock options fair value at the grant date as described above. This re-measurement of period end fair value often results in a cumulative catch up recorded for the portion of the award already vested but unsettled with the unvested portion of the option fair value recognized on a straight line basis over the remaining service period of the award. Stock option awards granted prior to the Transaction, all of which vested prior to or as of the Transaction date, qualified for equity classification and were not subject to fair value re-measurement on a period by period basis.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the key weighted average assumptions used in the Black-Scholes-Merton option pricing model to calculate the fair value of options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SUCCESSOR</w:t>
            </w:r>
          </w:p>
        </w:tc>
        <w:tc>
          <w:tcPr>
            <w:tcW w:w="10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800" w:type="dxa"/>
            <w:vAlign w:val="bottom"/>
            <w:gridSpan w:val="4"/>
          </w:tcPr>
          <w:p>
            <w:pPr>
              <w:ind w:left="74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Borders>
              <w:top w:val="single" w:sz="8" w:color="auto"/>
            </w:tcBorders>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rPr>
              <w:t>THREE</w:t>
            </w: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MONTH</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NINE MONTH</w:t>
            </w: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FROM</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FROM APRIL 1,</w:t>
            </w: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JANUARY 1,</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MONTHS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 ENDED</w:t>
            </w: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THROUGH</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1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5"/>
                <w:szCs w:val="15"/>
                <w:color w:val="auto"/>
              </w:rPr>
            </w:pPr>
          </w:p>
        </w:tc>
        <w:tc>
          <w:tcPr>
            <w:tcW w:w="142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r>
      <w:tr>
        <w:trPr>
          <w:trHeight w:val="183"/>
        </w:trPr>
        <w:tc>
          <w:tcPr>
            <w:tcW w:w="3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Expected holding period—years</w:t>
            </w: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4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w:t>
            </w:r>
          </w:p>
        </w:tc>
        <w:tc>
          <w:tcPr>
            <w:tcW w:w="42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580"/>
              <w:spacing w:after="0" w:line="183" w:lineRule="exact"/>
              <w:rPr>
                <w:sz w:val="20"/>
                <w:szCs w:val="20"/>
                <w:color w:val="auto"/>
              </w:rPr>
            </w:pPr>
            <w:r>
              <w:rPr>
                <w:rFonts w:ascii="Arial" w:cs="Arial" w:eastAsia="Arial" w:hAnsi="Arial"/>
                <w:sz w:val="17"/>
                <w:szCs w:val="17"/>
                <w:color w:val="auto"/>
                <w:w w:val="91"/>
              </w:rPr>
              <w:t>N/A</w:t>
            </w:r>
          </w:p>
        </w:tc>
        <w:tc>
          <w:tcPr>
            <w:tcW w:w="6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c>
          <w:tcPr>
            <w:tcW w:w="200" w:type="dxa"/>
            <w:vAlign w:val="bottom"/>
            <w:tcBorders>
              <w:top w:val="single" w:sz="8" w:color="CCEEFF"/>
            </w:tcBorders>
            <w:shd w:val="clear" w:color="auto" w:fill="CCEEFF"/>
          </w:tcPr>
          <w:p>
            <w:pPr>
              <w:spacing w:after="0"/>
              <w:rPr>
                <w:sz w:val="15"/>
                <w:szCs w:val="15"/>
                <w:color w:val="auto"/>
              </w:rPr>
            </w:pP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5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36.80%</w:t>
            </w:r>
          </w:p>
        </w:tc>
        <w:tc>
          <w:tcPr>
            <w:tcW w:w="188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36.40%</w:t>
            </w:r>
          </w:p>
        </w:tc>
        <w:tc>
          <w:tcPr>
            <w:tcW w:w="1480" w:type="dxa"/>
            <w:vAlign w:val="bottom"/>
            <w:tcBorders>
              <w:right w:val="single" w:sz="8" w:color="auto"/>
            </w:tcBorders>
            <w:gridSpan w:val="2"/>
          </w:tcPr>
          <w:p>
            <w:pPr>
              <w:jc w:val="right"/>
              <w:ind w:right="260"/>
              <w:spacing w:after="0" w:line="189" w:lineRule="exact"/>
              <w:rPr>
                <w:sz w:val="20"/>
                <w:szCs w:val="20"/>
                <w:color w:val="auto"/>
              </w:rPr>
            </w:pPr>
            <w:r>
              <w:rPr>
                <w:rFonts w:ascii="Arial" w:cs="Arial" w:eastAsia="Arial" w:hAnsi="Arial"/>
                <w:sz w:val="17"/>
                <w:szCs w:val="17"/>
                <w:color w:val="auto"/>
              </w:rPr>
              <w:t>41.80%</w:t>
            </w:r>
          </w:p>
        </w:tc>
        <w:tc>
          <w:tcPr>
            <w:tcW w:w="540" w:type="dxa"/>
            <w:vAlign w:val="bottom"/>
          </w:tcPr>
          <w:p>
            <w:pPr>
              <w:spacing w:after="0"/>
              <w:rPr>
                <w:sz w:val="16"/>
                <w:szCs w:val="16"/>
                <w:color w:val="auto"/>
              </w:rPr>
            </w:pPr>
          </w:p>
        </w:tc>
        <w:tc>
          <w:tcPr>
            <w:tcW w:w="154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37.40%</w:t>
            </w:r>
          </w:p>
        </w:tc>
      </w:tr>
      <w:tr>
        <w:trPr>
          <w:trHeight w:val="189"/>
        </w:trPr>
        <w:tc>
          <w:tcPr>
            <w:tcW w:w="3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5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1.73%</w:t>
            </w:r>
          </w:p>
        </w:tc>
        <w:tc>
          <w:tcPr>
            <w:tcW w:w="188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1.20%</w:t>
            </w:r>
          </w:p>
        </w:tc>
        <w:tc>
          <w:tcPr>
            <w:tcW w:w="1480" w:type="dxa"/>
            <w:vAlign w:val="bottom"/>
            <w:tcBorders>
              <w:right w:val="single" w:sz="8" w:color="auto"/>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1.70%</w:t>
            </w:r>
          </w:p>
        </w:tc>
        <w:tc>
          <w:tcPr>
            <w:tcW w:w="5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0.30%</w:t>
            </w: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5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0.00%</w:t>
            </w:r>
          </w:p>
        </w:tc>
        <w:tc>
          <w:tcPr>
            <w:tcW w:w="188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0.00%</w:t>
            </w:r>
          </w:p>
        </w:tc>
        <w:tc>
          <w:tcPr>
            <w:tcW w:w="1480" w:type="dxa"/>
            <w:vAlign w:val="bottom"/>
            <w:tcBorders>
              <w:right w:val="single" w:sz="8" w:color="auto"/>
            </w:tcBorders>
            <w:gridSpan w:val="2"/>
          </w:tcPr>
          <w:p>
            <w:pPr>
              <w:jc w:val="right"/>
              <w:ind w:right="260"/>
              <w:spacing w:after="0" w:line="189" w:lineRule="exact"/>
              <w:rPr>
                <w:sz w:val="20"/>
                <w:szCs w:val="20"/>
                <w:color w:val="auto"/>
              </w:rPr>
            </w:pPr>
            <w:r>
              <w:rPr>
                <w:rFonts w:ascii="Arial" w:cs="Arial" w:eastAsia="Arial" w:hAnsi="Arial"/>
                <w:sz w:val="17"/>
                <w:szCs w:val="17"/>
                <w:color w:val="auto"/>
              </w:rPr>
              <w:t>0.00%</w:t>
            </w:r>
          </w:p>
        </w:tc>
        <w:tc>
          <w:tcPr>
            <w:tcW w:w="540" w:type="dxa"/>
            <w:vAlign w:val="bottom"/>
          </w:tcPr>
          <w:p>
            <w:pPr>
              <w:spacing w:after="0"/>
              <w:rPr>
                <w:sz w:val="16"/>
                <w:szCs w:val="16"/>
                <w:color w:val="auto"/>
              </w:rPr>
            </w:pPr>
          </w:p>
        </w:tc>
        <w:tc>
          <w:tcPr>
            <w:tcW w:w="154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assumptions used in the Successor portion of the table above represent those used for the Successor three months ended March 31, 2016, the Successor year ended December 31, 2015 and the period ended December 31, 2014 fair value calculation of the stock options as required for liability-classified stock compensation accounting. The assumptions used in the Predecessor portion of the table above reflect grant date inputs used to arrive at the grant date fair values as the Predecessor awards are subject to equity-classified stock compensation accounting.</w:t>
      </w:r>
    </w:p>
    <w:p>
      <w:pPr>
        <w:spacing w:after="0" w:line="149"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weighted average grant date fair value of employee stock options granted was $3.18 for the Successor three months ended March 31, 2016, $2.82 for the Successor year ended December 31, 2015, $3.21 for Successor nine month period ended December 31, 2014, not applicable for the Predecessor three month period ended March 31, 2014 and $1.66 for the Predecessor year ended December 31, 2013.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and Issued Accounting Standards</w:t>
      </w:r>
    </w:p>
    <w:p>
      <w:pPr>
        <w:spacing w:after="0" w:line="3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 The new guidance is intended to simplify certain aspects of accounting for share-based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consolidated financial statements.</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Revenue Gross versus Net)</w:t>
      </w:r>
      <w:r>
        <w:rPr>
          <w:rFonts w:ascii="Arial" w:cs="Arial" w:eastAsia="Arial" w:hAnsi="Arial"/>
          <w:sz w:val="17"/>
          <w:szCs w:val="17"/>
          <w:color w:val="auto"/>
        </w:rPr>
        <w:t>. ASU 2016-08 clarifies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specifically related to principal versus agent considerations and adds illustrative examples to assist in the application of the guidance.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date and transition requirements in ASU 2016-08 are the same as the effective date and transition requirements of ASU 2014-09.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which defers the effective date of ASU 2014-09 by one year. The Company will adopt the clarified guidance in ASU 2016-08 by January 1, 2018, as required. The Company is currently evaluating the impact of this new standard on its consolidated financial statements.</w:t>
      </w:r>
    </w:p>
    <w:p>
      <w:pPr>
        <w:spacing w:after="0" w:line="129"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April 2015, the Financial Accounting Standards Board, or FASB, issued an Accounting Standards Update, or ASU, ASU No. 2015-03, “</w:t>
      </w:r>
      <w:r>
        <w:rPr>
          <w:rFonts w:ascii="Arial" w:cs="Arial" w:eastAsia="Arial" w:hAnsi="Arial"/>
          <w:sz w:val="17"/>
          <w:szCs w:val="17"/>
          <w:i w:val="1"/>
          <w:iCs w:val="1"/>
          <w:color w:val="auto"/>
        </w:rPr>
        <w:t>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Presentation of Debt Issuance Costs</w:t>
      </w:r>
      <w:r>
        <w:rPr>
          <w:rFonts w:ascii="Arial" w:cs="Arial" w:eastAsia="Arial" w:hAnsi="Arial"/>
          <w:sz w:val="17"/>
          <w:szCs w:val="17"/>
          <w:color w:val="auto"/>
        </w:rPr>
        <w:t>.” ASU No. 2015-03 requires debt issuance costs to be presented in the balance sheet as a direct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as of December 31, 2014. There was no impact to the Company’s consolidated statements of operations, comprehensive (loss) income, shareholders’ equity or cash flows.</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The Company adopted ASU 2015-05 in the first quarter of 2016. There was no impact to the Company’s consolidated statements of operations, comprehensive (loss) income, shareholders’ equity or cash flows.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as of December 31, 2014. There was no impact to the Company’s consolidated statements of operations, comprehensive (loss) income, shareholders’ equity or cash flows.</w:t>
      </w:r>
    </w:p>
    <w:p>
      <w:pPr>
        <w:spacing w:after="0" w:line="1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 common revenue recognition guidance between U.S. GAAP and International Financial Reporting Standards. In July 2015, the FASB issued ASU</w:t>
      </w:r>
    </w:p>
    <w:p>
      <w:pPr>
        <w:ind w:right="80"/>
        <w:spacing w:after="0" w:line="235" w:lineRule="auto"/>
        <w:rPr>
          <w:sz w:val="20"/>
          <w:szCs w:val="20"/>
          <w:color w:val="auto"/>
        </w:rPr>
      </w:pPr>
      <w:r>
        <w:rPr>
          <w:rFonts w:ascii="Arial" w:cs="Arial" w:eastAsia="Arial" w:hAnsi="Arial"/>
          <w:sz w:val="17"/>
          <w:szCs w:val="17"/>
          <w:color w:val="auto"/>
        </w:rPr>
        <w:t>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delayed the effective date of ASU 2014-09 by one year and modified the standard to allow early adoption. For public entities, the standard is now effective for reporting periods beginning after December 15, 2017. Earlier application is permitted only as of annual reporting periods beginning after December 15, 2016, including interim reporting periods within that reporting period. Entities can transition to the standard either retrospectively or as a cumulative effect adjustment as of the date of adoption. We are currently assessing the potential impact of ASU No. 2014-09 on the Company’s consolidated financial statements.</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We do not anticipate that this ASU will have any impact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0"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credit risk and risk of inflation and we regularly evaluate our exposure to such changes.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business operations globally and accordingly, we are exposed to foreign currency fluctuations that can affect our financial results. For the Successor year ended December 31, 2015, approximately 8.4% of our revenue was derived from contracts denominated in currencies other than the U.S. dollar, whereas 24.9% of our operational costs, including, but not limited to, salaries, wages and other employee benefits, were derived in foreign currencies. Of these exposures, 94.9% of revenue denominated in foreign currencies and 46.8% of operational costs denominated in foreign currencies were Euro denominated. If the U.S. dollar were to appreciate against all other currencies by a hypothetical average of 10%, our pre-tax income for the Successor year ended December 31, 2015 would have been positively impacted by approximately $3.2 million, while a hypothetical depreciation of 10% against all other currencies would result in a negative earnings impact of approximately $3.2 million.</w:t>
      </w:r>
    </w:p>
    <w:p>
      <w:pPr>
        <w:spacing w:after="0" w:line="15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this exposure we provide for exchange rate fluctuation adjustments subject to certain thresholds within our foreign currency denominated contracts.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5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Our contracts that provide for services to be performed in excess of a year generally include inflation adjustments for the portion of the services to be performed beyond one year from the contract date. We do not have significant operations in countries where the economy is considered highly inflationary, and do not believe in the near term that inflation will have a material adverse impact on us. However, if actual rates are greater than our contractual inflation rates, inflation could have a material adverse effect on our operations or financial condition.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primarily exposed to interest rate risk through our Senior Secured Credit Facilities. As of December 31, 2015 and 2014, we had outstanding amounts related to the Senior Secured Credit Facilities of $377.9 million (net of an unamortized discount of $2.0 million and unamortized debt issuance costs of $10.1 million) and $491.5 million (net of an unamortized discount of $2.4 million and unamortized debt issuance costs of $12.1 million), respectively, subject to variable interest rates. The applicable LIBOR interest rate, our primary interest rate exposure, for the Senior Secured Credit Facilities is subject to a 1.00% floor. As the applicable LIBOR interest rates as of December 31, 2015 and 2014 were less than the floor, the applicable interest rates would have had to rise by 57 basis points and 83 basis points, respectively, to impact interest expense. Each quarter point increase in the applicable interest rate above the floor as of December 31, 2015 and 2014 would have changed our interest expense by approximately $1.1 million and $1.0 million, for the Successor year ended December 31, 2015 and the Successor nine month period ended December 31, 2014,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54"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and unbilled services. The cash and cash equivalent balances are held and maintained with high-quality financial institutions with reputable credit ratings and, consequently, we believe that such funds are subject to minimal credit risk.</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generally do not require collateral or other securities to support customer receivables. In the Successor year ended December 31, 2015, the Successor nine month period ended December 31, 2014, the Predecessor three month period ended March 31, 2014 and the Predecessor year ended December 31, 2013, credit losses have been immaterial and within our expectations. Moreover, in many cases we require advance payment from our customers for a portion of the study contract price upon the signing of a service contract which helps to mitigate credit risk. As of December 31, 2015 and 2014, there were no major customers accounting for more than 10% of our accounts receivable and unbilled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CNS and AVAI, as well as therapeutic expertise in Medical Devices. Our global platform includes approximately 2,200 employees across 35 countries, providing our customers with broad access to diverse markets and patient populations as well as local regulatory expertise and market knowledge.</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and mid-sized biotechnology companies, mid-sized pharmaceutical companies and large pharmaceutical companies, respectively.</w:t>
      </w:r>
    </w:p>
    <w:p>
      <w:pPr>
        <w:spacing w:after="0" w:line="14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 Adjusted EBITDA margins and strong Free Cash Flow. For the Successor year ended December 31, 2015, we generated total net service revenue of $320.1 million and Adjusted EBITDA of $101.2 million, representing net service revenue and Adjusted EBITDA compound annual growth rates, or CAGRs, of 21.7% and 26.2%, respectively, since 2012. Our net (loss) income for the Successor year ended December 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March 31, 2016 and December 31, 2015, we had total long-term debt, net, of $378.5 million and $377.9 million outstanding, respectively. We intend to use the net proceeds of this offering to repay a portion of this indebtedness. See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Process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Before a new drug can be commercialized, it often must undergo extensive pre-clinical and clinical testing and regulatory review to verify safety and efficacy. CROs provide a comprehensive range of product development services for Phase I through IV clinical trials. These clinical trials are separated into distinct phases in order to thoroughly evaluate the product. Pharmaceutical Research and Manufacturers of America, 2015 Biopharmaceutical Research Industry Profile, a trade group publication, indicates that from drug discovery through approval by the United States Food and Drug Administration, or FDA, developing a new medicine takes at least 10 years and costs approximately $2.6 billion.</w:t>
      </w:r>
    </w:p>
    <w:p>
      <w:pPr>
        <w:spacing w:after="0" w:line="150"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following graphic, based on data presented in the Pharmaceutical Research and Manufacturers of America, 2013 Biopharmaceutical Research Industry Profile and 2015 Biopharmaceutical Research Industry Profile, industry trade group publications, illustrates the various stages and typical timeline of the clinical development process: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Stages of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166370</wp:posOffset>
            </wp:positionV>
            <wp:extent cx="5120005" cy="2521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2000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Pharmaceutical and biotechnology companies outsource product development services to CROs in order to efficiently and cost-effectively manage the clinical development process and obtain regulatory approval and reach the market in as timely a manner as possible. Historically, outsourcing was driven primarily by the need for pharmaceutical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biotechnology companies to reduce cost and maintain focus on core competencies, or to provide services or capabilities that these companies did not have internally. In recent years, the role of a CRO has evolved and CROs are now increasingly an integral component of the product development process, providing their customers with regulatory and therapeutic expertise, complex clinical trial design, broader geographic coverage, access to diverse population pools and consistent and reliable data systems and procedures.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Size</w:t>
      </w:r>
    </w:p>
    <w:p>
      <w:pPr>
        <w:spacing w:after="0" w:line="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6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i w:val="1"/>
          <w:iCs w:val="1"/>
          <w:color w:val="auto"/>
        </w:rPr>
        <w:t xml:space="preserve">Increasing Development Expenditures. </w:t>
      </w:r>
      <w:r>
        <w:rPr>
          <w:rFonts w:ascii="Arial" w:cs="Arial" w:eastAsia="Arial" w:hAnsi="Arial"/>
          <w:sz w:val="17"/>
          <w:szCs w:val="17"/>
          <w:color w:val="auto"/>
        </w:rPr>
        <w:t>We estimate that biopharmaceutical development expenditures will grow from approximately $100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There were 13,718 drugs in the development pipeline in January 2016, as identified by Citeline Pharma’s R&amp;D Annual Review 2016, an industry publication, which was an increase of approximately 41% compared to the 9,737 that were in development in 2010.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42"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i w:val="1"/>
          <w:iCs w:val="1"/>
          <w:color w:val="auto"/>
        </w:rPr>
        <w:t xml:space="preserve">Increasing Outsourcing Penetration. </w:t>
      </w:r>
      <w:r>
        <w:rPr>
          <w:rFonts w:ascii="Arial" w:cs="Arial" w:eastAsia="Arial" w:hAnsi="Arial"/>
          <w:sz w:val="17"/>
          <w:szCs w:val="17"/>
          <w:color w:val="auto"/>
        </w:rPr>
        <w:t>Outsourcing penetration is the percentage of biopharmaceutical clinical development costs that are outsourced to</w:t>
      </w:r>
      <w:r>
        <w:rPr>
          <w:rFonts w:ascii="Arial" w:cs="Arial" w:eastAsia="Arial" w:hAnsi="Arial"/>
          <w:sz w:val="17"/>
          <w:szCs w:val="17"/>
          <w:i w:val="1"/>
          <w:iCs w:val="1"/>
          <w:color w:val="auto"/>
        </w:rPr>
        <w:t xml:space="preserve"> </w:t>
      </w:r>
      <w:r>
        <w:rPr>
          <w:rFonts w:ascii="Arial" w:cs="Arial" w:eastAsia="Arial" w:hAnsi="Arial"/>
          <w:sz w:val="17"/>
          <w:szCs w:val="17"/>
          <w:color w:val="auto"/>
        </w:rPr>
        <w:t>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7"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i w:val="1"/>
          <w:iCs w:val="1"/>
          <w:color w:val="auto"/>
        </w:rPr>
        <w:t xml:space="preserve">Pressures Facing Biopharmaceutical Industry. </w:t>
      </w:r>
      <w:r>
        <w:rPr>
          <w:rFonts w:ascii="Arial" w:cs="Arial" w:eastAsia="Arial" w:hAnsi="Arial"/>
          <w:sz w:val="17"/>
          <w:szCs w:val="17"/>
          <w:color w:val="auto"/>
        </w:rPr>
        <w:t>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7"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 xml:space="preserve">Increasing Clinical Trial Complexity. </w:t>
      </w:r>
      <w:r>
        <w:rPr>
          <w:rFonts w:ascii="Arial" w:cs="Arial" w:eastAsia="Arial" w:hAnsi="Arial"/>
          <w:sz w:val="17"/>
          <w:szCs w:val="17"/>
          <w:color w:val="auto"/>
        </w:rPr>
        <w:t>Clinical trial design and structure has become increasingly complex based on regulatory agency sophistication,</w:t>
      </w:r>
      <w:r>
        <w:rPr>
          <w:rFonts w:ascii="Arial" w:cs="Arial" w:eastAsia="Arial" w:hAnsi="Arial"/>
          <w:sz w:val="17"/>
          <w:szCs w:val="17"/>
          <w:i w:val="1"/>
          <w:iCs w:val="1"/>
          <w:color w:val="auto"/>
        </w:rPr>
        <w:t xml:space="preserve"> </w:t>
      </w:r>
      <w:r>
        <w:rPr>
          <w:rFonts w:ascii="Arial" w:cs="Arial" w:eastAsia="Arial" w:hAnsi="Arial"/>
          <w:sz w:val="17"/>
          <w:szCs w:val="17"/>
          <w:color w:val="auto"/>
        </w:rPr>
        <w:t>more complicated protocols and a growing focus by biopharmaceutical companies on developing new cutting-edge drug therapies. For example, based on the data available in the FDA’s Orphan Drug Product designation database, the number of orphan drug designations granted has increased by nearly 90% over the past three years from 190 in 2012 to 354 in 2015. This growing complexity brings new challenges in study feasibility, site selection, patient recruitment and retention due to the rarity of orphan diseases, which globally may only have hundreds or thousands of patients. Additionally, measures of clinical trial complexity significantly increased over the last decade, with the mean number of procedures per protocol increasing by 68% as indicated by the Tufts Center for the Study of Drug Development, an independent non-profit research group. We believe full-service CROs with noted therapeutic leadership, full-service clinical operations, a proprietary technology platform, strategic regulatory guidance and integrated laboratories are well suited to successfully support these types of studies.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147"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Biopharmaceutical companies have a variety of options for raising money to support the funding of their drug development, including raising private equity, raising public equity and partnering with large biopharmaceutical companies to jointly develop drug candidates. Many of these companies are well-funded, having raised approximately $232 billion of capital in the aggregate, including funding from investments from corporate partners, in 2014 and 2015, representing a 110% increase over the approximately $110 billion raised in 2012 and 2013, as identified by BioWorld, a biopharmaceutical news source. We believe the level of capital raised for small- and mid-sized biopharmaceutical companies over the last few years is sufficient to fund significant clinical trial activity for these companies going forward. We believe that companies that are progressing with good results through a clinical trial will be able to continue to fund those clinical trials with available cash and will have additional avenues to fund these programs as necessary, including partnerships with large biopharmaceutical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3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i w:val="1"/>
          <w:iCs w:val="1"/>
          <w:color w:val="auto"/>
        </w:rPr>
        <w:t xml:space="preserve">Disciplined and Integrated Full-Service Model.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believe that a full-service approach delivers greater efficiency, better quality and, ultimately, higher value for our customers.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executing our operating model, we have demonstrated durable success across multiple therapeutic areas. We embed therapeutic leads, each of whom holds a Doctor of Philosophy, or Ph.D., a Doctor of Medicine, or M.D., or other doctorate level degrees into every aspect of the project, and our customers rely on this expertise throughout the entire clinical process. By clearly communicating and aligning our expectations with those of our customers at the beginning of an engagement, we tend to develop a close working relationship that is built on a level of trust that results in us being granted greater control over the clinical trial process. We have developed and consistently utilize effective standard operating procedures, or SOPs, that we believe result in high-quality and timely clinical development outcomes for our customers. Our operating model utilizes our proprietary ClinTrak clinical trial management software, or ClinTrak, which is customized and streamlined to our SOPs. We house our key decision-makers, our internally-developed technology and our corporate infrastructure in our corporate headquarters in Cincinnati, Ohio. This centralization allows us to maintain highly integrated, standardized and flexible operations, while preserving our operating philosophy and extending our global reach, resulting in a disciplined business model and attractive EBITDA margins.</w:t>
      </w:r>
    </w:p>
    <w:p>
      <w:pPr>
        <w:spacing w:after="0" w:line="127"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b w:val="1"/>
          <w:bCs w:val="1"/>
          <w:i w:val="1"/>
          <w:iCs w:val="1"/>
          <w:color w:val="auto"/>
        </w:rPr>
        <w:t xml:space="preserve">High-Science Approach with Deep Therapeutic Expertise. </w:t>
      </w:r>
      <w:r>
        <w:rPr>
          <w:rFonts w:ascii="Arial" w:cs="Arial" w:eastAsia="Arial" w:hAnsi="Arial"/>
          <w:sz w:val="17"/>
          <w:szCs w:val="17"/>
          <w:color w:val="auto"/>
        </w:rPr>
        <w:t>Customers generally seek a CRO with extensive therapeutic expertise in their focus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areas. Our therapeutic expertise encompasses areas that are among the largest, most complex and fastest growing in pharmaceutical development, including Oncology, Cardiology, Metabolic Disease,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82.7% of our backlog as of March 31, 2016.</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leverage the insights of our senior leaders who have specific therapeutic expertise to employ a high-science approach to our projects. Because we believe that therapeutic expertise plays a significant role in CRO selection, we focus heavily on hiring and training our therapeutic leads in order to maximize therapeutic insights to inform clinical trial design and execution.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Attractive and Diversified Customer Base. </w:t>
      </w:r>
      <w:r>
        <w:rPr>
          <w:rFonts w:ascii="Arial" w:cs="Arial" w:eastAsia="Arial" w:hAnsi="Arial"/>
          <w:sz w:val="17"/>
          <w:szCs w:val="17"/>
          <w:color w:val="auto"/>
        </w:rPr>
        <w:t>We have a strong track record of serving our core customer base of small- and mid-sized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 Small- and mid-sized biopharmaceutical companies, many of which are now well capitalized, have firmly established themselves at the forefront of medical innovation and the search for new therapies for previously untreatable diseases, which require increasingly complex clinical trials. CROs are integral to the clinical development process for these customers, providing regulatory and therapeutic expertise, complex clinical trial design, broader geographic coverage, access to diverse population pools and consistent and reliable data systems and procedures, since these customers often lack the infrastructure and global breadth required for efficient and high-quality trial execution.</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and mid-sized biotechnology companies, mid-sized pharmaceutical companies and large pharmaceutical companies, respectively. For the Successor three months ended March 31, 2016 and the Successor year ended December 31, 2015, our largest customer accounted for 8.1% and 6.9% of our net service revenue, respectively, and our top 10 customers represented 39.5% and 39.9% of our net service revenue, respectively.</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i w:val="1"/>
          <w:iCs w:val="1"/>
          <w:color w:val="auto"/>
        </w:rPr>
        <w:t xml:space="preserve">Partner of Choice for Biopharmaceutical Customers. </w:t>
      </w:r>
      <w:r>
        <w:rPr>
          <w:rFonts w:ascii="Arial" w:cs="Arial" w:eastAsia="Arial" w:hAnsi="Arial"/>
          <w:sz w:val="17"/>
          <w:szCs w:val="17"/>
          <w:color w:val="auto"/>
        </w:rPr>
        <w:t>Based on our extensive operating history and therapeutic experience, we believe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established a reputation as a partner of choice to our core customer segment of small-and mid-sized biopharmaceutical companies. Acting as incubators of pharmaceutical development, small- and mid-sized biopharmaceutical companies are responsible for a number of innovative drug candidates currently being developed to address unmet medical needs. Many of these drug candidates are being developed for niche and severe indications with relatively small patient populations, which require increasingly complex clinical trials. These biopharmaceutical customers, sometimes new to the clinical development process, seek to partner with us based on our differentiated approach and expertise to execute trials in a timely and efficient manner. The Avoca Group’s 2011 Avoca Survey on Clinical Outsourcing Practices, a survey of over 100 biopharmaceutical companies, indicates that 48% of pharmaceutical companies with annual revenue over $1.5 billion, 51% of biopharmaceutical companies with annual revenue between $100 million and $1.5 billion, and 64% of biopharmaceutical companies with annual revenue under $100 million prefer medium-sized, full-service CROs, defined as the top 15 CROs by revenue excluding the top 5 CROs by revenue, based on service and outsourcing experience. Of this same group, only 40% of large pharmaceutical companies, 24% of mid-sized biopharmaceutical companies and 7% of small biopharmaceutical companies prefer large, full-service CROs, defined as the top 5 CROs by revenue. We do not believe that we are among the top 5 CROs by revenue based on publicly available information. We believe we are viewed as a strategic and trusted partner by these customers given our full-service approach, disciplined operating model and significant therapeutic expertise. As a result, our customers often grant us significant autonomy in executing clinical trials for their most valued assets.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Global Platform with Scalable Infrastructure. </w:t>
      </w:r>
      <w:r>
        <w:rPr>
          <w:rFonts w:ascii="Arial" w:cs="Arial" w:eastAsia="Arial" w:hAnsi="Arial"/>
          <w:sz w:val="17"/>
          <w:szCs w:val="17"/>
          <w:color w:val="auto"/>
        </w:rPr>
        <w:t>We believe that we are one of the leading CROs with the scale and therapeutic expertise necessary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conduct global clinical trials. We began our disciplined international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expansion in 2004 and have since increased the breadth and depth of our international footprint significantly, with 47% of our clinical operations employees located outside of North America as of March 31, 2016. We now offer our services through a highly skilled staff of approximately 2,200 employees across 35 countries as of March 31, 2016. As clinical trials become increasingly global, our platform provides our customers with broad access to diverse markets and patient populations, as well as local regulatory expertise and market knowledge, which can reduce the time and cost of these trials, while also helping to optimize the commercialization potential for new therapies.</w:t>
      </w:r>
    </w:p>
    <w:p>
      <w:pPr>
        <w:spacing w:after="0" w:line="13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b w:val="1"/>
          <w:bCs w:val="1"/>
          <w:i w:val="1"/>
          <w:iCs w:val="1"/>
          <w:color w:val="auto"/>
        </w:rPr>
        <w:t xml:space="preserve">Strong Financial Performance. </w:t>
      </w:r>
      <w:r>
        <w:rPr>
          <w:rFonts w:ascii="Arial" w:cs="Arial" w:eastAsia="Arial" w:hAnsi="Arial"/>
          <w:sz w:val="17"/>
          <w:szCs w:val="17"/>
          <w:color w:val="auto"/>
        </w:rPr>
        <w:t>We have a proven track record of strong organic growth and achieved significant revenue and Adjusted EBITDA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robust Free Cash Flow over the past several years. For the Successor year ended December 31, 2015, we achieved net service revenue of $320.1 million and Adjusted EBITDA of $101.2 million, which represent a CAGR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For the Successor year ended December 31, 2015, our Adjusted EBITDA margin was 31.6%. Our Adjusted EBITDA margins are driven by focusing on a full-service operating model and disciplined approach. We typically avoid functional or partial outsourcing services, which we believe are less efficient and lead to a lower margin profile. Over the last 15 years, we have maintained average Adjusted EBITDA margins of approximately 34%, while significantly scaling our business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March 31, 2016 and December 31, 2015, we had total long-term debt, net, of $378.5 million and $377.9 million outstanding, respectively. We intend to use the net proceeds of this offering to repay a portion of this indebtedness. See “Use of Proceeds.” We believe our strong financial profile demonstrates the quality and efficiency of the operating model we have built to position ourselves for continued future growth.</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Highly Regarded, Experienced and Committed Management Team. </w:t>
      </w:r>
      <w:r>
        <w:rPr>
          <w:rFonts w:ascii="Arial" w:cs="Arial" w:eastAsia="Arial" w:hAnsi="Arial"/>
          <w:sz w:val="17"/>
          <w:szCs w:val="17"/>
          <w:color w:val="auto"/>
        </w:rPr>
        <w:t>We are led by a dedicated and experienced senior management team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growth strategy include:</w:t>
      </w:r>
    </w:p>
    <w:p>
      <w:pPr>
        <w:spacing w:after="0" w:line="13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 xml:space="preserve">Continued Focus on Organic Growth. </w:t>
      </w:r>
      <w:r>
        <w:rPr>
          <w:rFonts w:ascii="Arial" w:cs="Arial" w:eastAsia="Arial" w:hAnsi="Arial"/>
          <w:sz w:val="17"/>
          <w:szCs w:val="17"/>
          <w:color w:val="auto"/>
        </w:rPr>
        <w:t>Our strong organic growth has been the result of consistently reinvesting our positive cash flow to support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 From 2012 through 2015, we successfully organically grew our business from approximately 1,000 employees to over 2,000 and organically grew our net service revenue from $177.4 million to $320.1 million, representing a CAGR of 21.7%. We intend to continue to utilize our disciplined organic growth model and robust cash flows to drive future revenue growth.</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 xml:space="preserve">Continue to Sustain Industry-Leading Margins. </w:t>
      </w:r>
      <w:r>
        <w:rPr>
          <w:rFonts w:ascii="Arial" w:cs="Arial" w:eastAsia="Arial" w:hAnsi="Arial"/>
          <w:sz w:val="17"/>
          <w:szCs w:val="17"/>
          <w:color w:val="auto"/>
        </w:rPr>
        <w:t>Over the last 15 years, we have maintained average Adjusted EBITDA margins of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34%. 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 We have a proven track record of achieving strong margins while significantly scaling our business and expanding globally.</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 xml:space="preserve">Leverage our Experience and Reputation in the Attractive, High-Growth Clinical Development Market. </w:t>
      </w:r>
      <w:r>
        <w:rPr>
          <w:rFonts w:ascii="Arial" w:cs="Arial" w:eastAsia="Arial" w:hAnsi="Arial"/>
          <w:sz w:val="17"/>
          <w:szCs w:val="17"/>
          <w:color w:val="auto"/>
        </w:rPr>
        <w:t>Our customers value the knowledge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expertise we have developed from a long history of successfully executing clinical trials. Given the rapid emergence of new therapies and resulting evolution of commercial priorities among many biopharmaceutical companies, we believe consistently maintaining the necessary infrastructure and human capital required to retain clinical and therapeutic expertise internally is not the most cost-effective solution for these companies.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We estimate, based on industry sources, including analyst reports and management’s knowledge that Phase I-IV clinical development outsourcing penetration for biopharmaceutical companies will increase from 52% in 2014 to 62% in 2019.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28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i w:val="1"/>
          <w:iCs w:val="1"/>
          <w:color w:val="auto"/>
        </w:rPr>
        <w:t xml:space="preserve">Deepen Existing and Develop New Relationships with Our Core Customer Segment. </w:t>
      </w:r>
      <w:r>
        <w:rPr>
          <w:rFonts w:ascii="Arial" w:cs="Arial" w:eastAsia="Arial" w:hAnsi="Arial"/>
          <w:sz w:val="17"/>
          <w:szCs w:val="17"/>
          <w:color w:val="auto"/>
        </w:rPr>
        <w:t>We look to continue to deepen our long-standing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w:t>
      </w:r>
    </w:p>
    <w:p>
      <w:pPr>
        <w:spacing w:after="0" w:line="1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 In 2015, we worked with approximately 350 small- and mid-sized biopharmaceutical companies. 85.0% of our net service revenue for the Successor year ended December 31, 2015 was generated from small- and mid-sized biopharmaceutical companies. In addition, our sales team actively manages a database which currently includes over 4,400 companies that represent potential customers. We regularly assess this database for opportunities that align with our growth strategies and develop plans to target and engage these potential customers. Based on this, we estimate that we have captured approximately 4% of the approximately $7 billion small- and mid-sized biopharmaceutical CRO market, leaving us with significant opportunity for market share growth and new customer penetration expansion.</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Pursue Selective and Complementary Bolt-On Acquisitions. </w:t>
      </w:r>
      <w:r>
        <w:rPr>
          <w:rFonts w:ascii="Arial" w:cs="Arial" w:eastAsia="Arial" w:hAnsi="Arial"/>
          <w:sz w:val="17"/>
          <w:szCs w:val="17"/>
          <w:color w:val="auto"/>
        </w:rPr>
        <w:t>We intend to augment our organic growth with targeted acquisitions to expand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2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 xml:space="preserve">Position Ourselves to Increase Our Presence Among Large Pharmaceutical Companies as These Customers Adopt and Appreciate the Full-Service Approach. </w:t>
      </w:r>
      <w:r>
        <w:rPr>
          <w:rFonts w:ascii="Arial" w:cs="Arial" w:eastAsia="Arial" w:hAnsi="Arial"/>
          <w:sz w:val="17"/>
          <w:szCs w:val="17"/>
          <w:color w:val="auto"/>
        </w:rPr>
        <w:t>Given the growing pressures large pharmaceutical companies are facing, including complex clinical development and regulatory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processes, these companies seek solutions beyond simply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provide a full suite of services supporting the entire clinical development process from Phase I to Phase IV. We offer these services across a wide range of therapeutic areas.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comprehensive suite of clinical development services includes, but is not limited to, the following: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Affairs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medical affairs group consists of therapeutic leads who provide strategic direction for study design and planning, train operational staff, work with primary investigators, provide medical monitoring and meet with regulatory agencies. Our customers rely on our expertise throughout the entire clinical trial process with therapeutically-focused physicians fully engaged throughout the study. We believe this depth of therapeutic leadership and engagement on each project results in a close working relationship with customers built on a level of trust that results in us being granted greater control over the clinical trial process.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Management</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team of clinical trial managers are responsible for leading all aspects of study execution. The clinical trial manager, or CTM, drives accountability across the functional team members and is responsible for successful operational execution. The CTM serves as the primary contact for the customer. Experience and therapeutic expertise are main factors when assigning CTMs to projects.</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ClinTrak is integrated with our SOPs, allowing the CTMs to access real-time study metrics. ClinTrak is constantly evaluated and enhanced with our processes.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Feasibility</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a dedicated feasibility team consisting of clinical experts who are an integrated part of the project team. Our feasibility team is able to analyze a specific protocol, using many data sources to determine countries and sites that are most appropriate for the study.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Start-Up</w:t>
      </w:r>
    </w:p>
    <w:p>
      <w:pPr>
        <w:spacing w:after="0" w:line="4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Our global Study Start-Up staff is well-versed in all aspects of clinical trial start up activities, including study documentation submission processes to independent Institutional Review Boards, or IRBs, ethics committees and to ex-US competent authorities. Our study start-up team includes fully dedicated budget and legal associates to ensure focused negotiations and execution of site contracts.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Monitoring</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clinical monitoring group consists of highly experienced clinical research associates, or CRAs, who are based in 35 countries. With their experience and training, our CRAs are able to provide unparalleled site management services that includes both in-house and onsite monitoring. Their knowledge of local regulations and laws, in addition to Good Clinical Practice, or GCP, and International Council on Harmonisation of Technical Requirements for Registration of Pharmaceuticals for Human Use, or ICH, guidelines ensure compliance and data quality. Our CRAs report into a global matrix structure to ensure consistent training, oversight and management. Each CRA receives comprehensive, hands-on training in an individualized curriculum consisting of in-house and field-based training, supplemented with clinical research department core rotations and ongoing study-specific training.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Regulatory Affairs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Global Regulatory Affairs department has a strong track record of providing expert strategic, operational, and tactical regulatory guidance, as well as creating thorough, scientifically-grounded regulatory compliant documentation to regulatory agencies around the globe. Members of this team bring a long tenure of regulatory experience and scientific knowledge to each project. The group, led by former government officials and experienced drug development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subject matter experts, provides comprehensive international support at each stage of the drug and biologics development processes. They have particular expertise within the areas of advanced therapeutics, accelerated development pathways, pediatrics, and rare diseases. The group also has a dedicated publishing function that has full electronic and paper publishing capabilities to support all types of international regulatory submissions.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Writing</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Medical writers work closely with Medpace’s medical experts, biostatisticians, and other members of the study team to develop study protocols, clinical and statistical study reports, and integrated submission documents according to regulatory guidelines. Members of Medpace’s medical writing group possess substantial scientific knowledge and experience as well as strong communication skills. This skill set and collaborative approach coupled with a thorough quality control document review process, allow Medpace to produce high-quality, submission-ready documents for each contracted project.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Biometrics</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provide customers with high-quality data collected during clinical trials that is the foundation of a successful clinical trial and forms the backbone of regulatory submissions, including New Drug Applications. We use global GCP-compliant SOPs, combined with continuous quality control, to ensure that data is consistent, efficient, and comprehensive.</w:t>
      </w:r>
    </w:p>
    <w:p>
      <w:pPr>
        <w:spacing w:after="0" w:line="13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Data Management</w:t>
      </w:r>
      <w:r>
        <w:rPr>
          <w:rFonts w:ascii="Arial" w:cs="Arial" w:eastAsia="Arial" w:hAnsi="Arial"/>
          <w:sz w:val="17"/>
          <w:szCs w:val="17"/>
          <w:color w:val="auto"/>
        </w:rPr>
        <w:t>: Our data management team develops detailed specifications for the collection, organization, validation, analysis and quality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of clinical trial data ensuring the most cost-effective, secure and regulatory compliant process.</w:t>
      </w:r>
    </w:p>
    <w:p>
      <w:pPr>
        <w:spacing w:after="0" w:line="10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i w:val="1"/>
          <w:iCs w:val="1"/>
          <w:color w:val="auto"/>
        </w:rPr>
        <w:t>Biostatistics</w:t>
      </w:r>
      <w:r>
        <w:rPr>
          <w:rFonts w:ascii="Arial" w:cs="Arial" w:eastAsia="Arial" w:hAnsi="Arial"/>
          <w:sz w:val="17"/>
          <w:szCs w:val="17"/>
          <w:color w:val="auto"/>
        </w:rPr>
        <w:t>: Our experienced team of biostatisticians provides trial design consulting, statistical methodology recommendations, programming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and reporting accuracy necessary to deliver clinical trials efficiently and on time. We offer comprehensive data analysis plans, thoroughly tested and validated customized programs, interpretation of study results, integrated efficacy and safety analysis for regulatory submissions, adaptive design and statistical support throughout the clinical trial.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Pharmacovigilance</w:t>
      </w:r>
    </w:p>
    <w:p>
      <w:pPr>
        <w:spacing w:after="0" w:line="41"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Our safety and pharmacovigilance group collects, evaluates, analyzes and reports safety information. We provide global adverse event management, physician reviewed safety narrative writing and custom safety surveillance. Monitored by licensed physicians who are trained to provide oversight and to analyze and evaluate the emerging safety profile of the compound, we have designed our process to ensure safety and expedite approvals.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Core Laboratory</w:t>
      </w:r>
    </w:p>
    <w:p>
      <w:pPr>
        <w:spacing w:after="0" w:line="41" w:lineRule="exact"/>
        <w:rPr>
          <w:sz w:val="20"/>
          <w:szCs w:val="20"/>
          <w:color w:val="auto"/>
        </w:rPr>
      </w:pPr>
    </w:p>
    <w:p>
      <w:pPr>
        <w:jc w:val="both"/>
        <w:ind w:right="200"/>
        <w:spacing w:after="0" w:line="235" w:lineRule="auto"/>
        <w:rPr>
          <w:sz w:val="20"/>
          <w:szCs w:val="20"/>
          <w:color w:val="auto"/>
        </w:rPr>
      </w:pPr>
      <w:r>
        <w:rPr>
          <w:rFonts w:ascii="Arial" w:cs="Arial" w:eastAsia="Arial" w:hAnsi="Arial"/>
          <w:sz w:val="17"/>
          <w:szCs w:val="17"/>
          <w:color w:val="auto"/>
        </w:rPr>
        <w:t>Our core laboratory services include both imaging services and cardiovascular core laboratory services. We partner with imaging experts from major academic and clinical institutions involved in research to provide image reading in a secure environment utilizing identical software and workstations integrated into ClinTrak allowing for prompt turnaround and oversight. Our imaging experts have clinical trial experience utilizing imaging modalities such as CT, MRI, PET/CT, 3D volumetric analysis, ultrasound, DEXA, angiography, endoscopy and photography. Our cardiovascular core laboratory provides state-of-the-art standardized electrocardiogram services and data analysis to support clinical trials.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Quality Assurance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quality assurance team works closely with study teams to ensure compliance with protocols, SOPs, and regulatory 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Laboratories</w:t>
      </w:r>
    </w:p>
    <w:p>
      <w:pPr>
        <w:spacing w:after="0" w:line="29"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Central Laboratory</w:t>
      </w:r>
      <w:r>
        <w:rPr>
          <w:rFonts w:ascii="Arial" w:cs="Arial" w:eastAsia="Arial" w:hAnsi="Arial"/>
          <w:sz w:val="17"/>
          <w:szCs w:val="17"/>
          <w:color w:val="auto"/>
        </w:rPr>
        <w:t>. Through our Central Laboratory, we provide comprehensive, full-service capabilities globally in four locations, including Cincinnati,</w:t>
      </w:r>
      <w:r>
        <w:rPr>
          <w:rFonts w:ascii="Arial" w:cs="Arial" w:eastAsia="Arial" w:hAnsi="Arial"/>
          <w:sz w:val="17"/>
          <w:szCs w:val="17"/>
          <w:i w:val="1"/>
          <w:iCs w:val="1"/>
          <w:color w:val="auto"/>
        </w:rPr>
        <w:t xml:space="preserve"> </w:t>
      </w:r>
      <w:r>
        <w:rPr>
          <w:rFonts w:ascii="Arial" w:cs="Arial" w:eastAsia="Arial" w:hAnsi="Arial"/>
          <w:sz w:val="17"/>
          <w:szCs w:val="17"/>
          <w:color w:val="auto"/>
        </w:rPr>
        <w:t>Ohio; Leuven, Belgium; Beijing, China; and Singapore. The Central Laboratory has longstanding core competency in specialized esoteric testing, including biomarkers for efficacy (approximately 60% of central lab revenue for the Successor year ended December 31, 2015) in addition to standard assay offerings. Data consistency and harmonization are maintained utilizing global SOPs and reference ranges, identical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analytic platforms, methodologies, reagent systems, calibrator and quality control programs, within a strict framework compliant with GCP requirements and regulatory guidelines to ensure laboratory data reflect the impact of the investigational compound and not differences in testing practices.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Bioanalytical Laboratory</w:t>
      </w:r>
      <w:r>
        <w:rPr>
          <w:rFonts w:ascii="Arial" w:cs="Arial" w:eastAsia="Arial" w:hAnsi="Arial"/>
          <w:sz w:val="17"/>
          <w:szCs w:val="17"/>
          <w:color w:val="auto"/>
        </w:rPr>
        <w:t>. Through our Bioanalytical Laboratory we provide highly scientific and value-added testing of biological samples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methods. Working in a Good 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Areas of specific bioanalytical expertise include advanced mass spectrometry and immunoassay technologies for bioanalytical analysis and all bioanalytical aspects for small and large molecules. Our Bioanalytical Laboratory is located on our clinical research campus in Cincinnati, Ohio.</w:t>
      </w:r>
    </w:p>
    <w:p>
      <w:pPr>
        <w:spacing w:after="0" w:line="14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majority of our laboratory services are performed as a component of a full-service clinical development arrangement with our customers. We also offer our laboratory services on a stand-alone basis, although this has historically represented an immaterial amount of our net service revenue. Regardless of the nature of the arrangement, our laboratory services are delivered consistently to our customers as a component of their clinical development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Our Clinics offering conducts studies in normal healthy volunteers, special populations, and patient populations over a spectrum of diseases including endocrine, cardiovascular and metabolic. Experience includes, but is not limited to: first-in-human, bioavailability/bioequivalence, single and multiple ascending dose, drug to drug interaction, food effect and device studies. Our 60,000 square-foot, 84 bed facility is centrally located on our clinical research campus in Cincinnati, Ohio.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41" w:lineRule="exact"/>
        <w:rPr>
          <w:sz w:val="20"/>
          <w:szCs w:val="20"/>
          <w:color w:val="auto"/>
        </w:rPr>
      </w:pPr>
    </w:p>
    <w:p>
      <w:pPr>
        <w:ind w:right="920"/>
        <w:spacing w:after="0" w:line="238" w:lineRule="auto"/>
        <w:rPr>
          <w:sz w:val="20"/>
          <w:szCs w:val="20"/>
          <w:color w:val="auto"/>
        </w:rPr>
      </w:pPr>
      <w:r>
        <w:rPr>
          <w:rFonts w:ascii="Arial" w:cs="Arial" w:eastAsia="Arial" w:hAnsi="Arial"/>
          <w:sz w:val="17"/>
          <w:szCs w:val="17"/>
          <w:color w:val="auto"/>
        </w:rPr>
        <w:t>We have a well-diversified, attractively-positioned customer base that includes small- and mid-sized biotechnology companies, mid-sized pharmaceutical companies and large pharmaceutical companies. We have conducted trials for many of the world’s leading pharmaceutical, biotechnology and medical device companies.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the Successor year ended December 31, 2015, we generated 55.7%, 29.3% and 15.0% of our net service revenue from small- and mid-sized biotechnology companies, mid-sized pharmaceutical companies and large pharmaceutical companies, respectively. Additionally, we serve customers in a variety of locations throughout the world, with approximately 54% of our clinical operations headcount based in North America, 40% in Europe, 4% in Asia/Pacific and 2% in South America and Africa as of March 31, 2016.</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For the Successor three months ended March 31, 2016 and the Successor year ended December 31, 2015, our largest customer accounted for 8.1% and 6.9% of our net service revenue, respectively, and our top 10 customers represented 39.5% and 39.9% of our net service revenue, respectively. For more information about our largest customer see “Certain Relationships and Related Person Transactions—Service Agreements.”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net service revenue from our top 10 customers for the Successor year ended December 31, 2015 was diversified across approximately 57 compounds in 49 indications across 146 active projects. Our top 10 customers have worked with us for an average of 6.3 years as of December 31, 2015. Further, among the majority of our customers, net service revenue is diversified by multiple projects for a variety of compounds. For example, 54 of our customers have active projects in more than one therapeutic area, making up 56.8% of our total net service revenue for the Successor year ended December 31, 2015. We believe this ability to penetrate across multiple therapeutic areas demonstrates our strong relationships with our customers and the attractiveness of our full-service, disciplined operating model.</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We expect that the use of such arrangements will be very limited, and they are not a part of our core growth strategy.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Awards, Cancellations and Backlog</w:t>
      </w:r>
    </w:p>
    <w:p>
      <w:pPr>
        <w:spacing w:after="0" w:line="120"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timeline.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Net new business awards were $106.4 million and $91.1 million for the Successor three months ended March 31, 2016 and March 31,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 Our net new business awards for the Successor year ended December 31, 2015 grew at a CAGR of 18% since 2012.</w:t>
      </w:r>
    </w:p>
    <w:p>
      <w:pPr>
        <w:spacing w:after="0" w:line="148"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scope to existing contracts, cancellations, net service revenue recognition on existing contracts and foreign exchange adjustments from non-U.S. dollar denominated backlog. As of March 31, 2016, our backlog increased by $42.3 million, or 10.4%, to $448.1 million compared to $405.9 million as of March 31, 2015. Our backlog as of December 31,</w:t>
      </w:r>
    </w:p>
    <w:p>
      <w:pPr>
        <w:ind w:right="140"/>
        <w:spacing w:after="0" w:line="238" w:lineRule="auto"/>
        <w:rPr>
          <w:sz w:val="20"/>
          <w:szCs w:val="20"/>
          <w:color w:val="auto"/>
        </w:rPr>
      </w:pPr>
      <w:r>
        <w:rPr>
          <w:rFonts w:ascii="Arial" w:cs="Arial" w:eastAsia="Arial" w:hAnsi="Arial"/>
          <w:sz w:val="17"/>
          <w:szCs w:val="17"/>
          <w:color w:val="auto"/>
        </w:rPr>
        <w:t>2015, December 31, 2014 and December 31, 2013 was approximately $429.7 million, $394.0 million and $359.3 million, respectively. Included within backlog as of March 31, 2016 is approximately $227.5 million to $237.5 million that we expect to convert to net service revenue in 2016, with the remainder expected to convert to net service revenue in years after 2016. Our backlog as of December 31, 2015 grew at a CAGR of 11% since 2012.</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Backlog and net new business award metrics may not be reliable indicators of our future period net service revenue as they are subject to a variety of factors that may cause material fluctuations from period to period. These factors include, but are not limited to, changes in the scope of projects, cancellations and duration and timing of services provided. No assurance can be given that we will be able to realize the net service revenue that is included in backlog. See “Risk Factors—Risks Relating to Our Business—Our backlog may not convert to net service revenue at our historical conversion rates,” and “Management’s Discussion and Analysis of Financial Condition and Results of Operations—New Business Awards, Cancellations and Backlog”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We employ an integrated sales and marketing team to sell our services to biotechnology, pharmaceutical and medical device companies.</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an experienced and highly trained global team of professional business development representatives and business development support staff focused on securing business from both new and existing customers, through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consultative and strategic sales approach. We embed our medical and scientific experts from the beginning of the sales process when we first engage potential customers, and they remain embedded across the lifecycle of the sale and throughout the life of the project, program or partnership.</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part of its sales strategy, our business development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development of effective and productive territories, the management of sales force effectiveness and the creation of a process whereby both marketing and sales operate under the same guiding principles.</w:t>
      </w:r>
    </w:p>
    <w:p>
      <w:pPr>
        <w:spacing w:after="0" w:line="15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are able to consult collaboratively with our customers and help optimize timely completion of their clinical trials and programs, in part, because we engage our therapeutic experts from the beginning of the sales process and involve our regulatory affairs experts and highly trained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4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The marketing team is set up in two mirrored teams, one team to address our therapeutic strategy and tactics, and the second team to monitor and address market environment across our lines of business. All of our sales and marketing data are housed within a third party customer relationship management tool that provides us the analytics we need to make sales planning and sales management decisions.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compete primarily against other full-service CROs as well as services provided by in-house R&amp;D departments of biopharmaceutical companies, universities and teaching hospitals. Our major CRO competitors include Covance Inc., ICON plc, INC Research Holdings, Inc., inVentiv Health, Inc., PAREXEL International Corporation, Pharmaceutical Product Development, LLC, PRA Health Sciences, Inc., Quintiles Transnational Holdings Inc. and numerous specialty and regional CROs.</w:t>
      </w:r>
    </w:p>
    <w:p>
      <w:pPr>
        <w:spacing w:after="0" w:line="149"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 However, some of our competitors have greater financial resources and a wider range of service offerings over a greater geographic area than we do, which could put us at a competitive disadvantage with respect to these competitors.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Drugs, Biologics and Medical Devices</w:t>
      </w:r>
    </w:p>
    <w:p>
      <w:pPr>
        <w:spacing w:after="0" w:line="5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development of drugs, biologics and medical devices is highly regulated in the United States and other countries. Our services are subject to varying regulatory requirements designed to ensure the quality and integrity of the pre-clinical and clinical trial process. In the United States, the FDA has primary authority to regulate these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activities, in addition to the 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 New Drug Application, or IND, with the FDA, which contains, among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52"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In the United States, GCP regulations govern the design, conduct, performance, monitoring, auditing, recording, analysis, and reporting of clinical trials. In order to comply with GCP and other requirements, we must, among other things:</w:t>
      </w:r>
    </w:p>
    <w:p>
      <w:pPr>
        <w:ind w:left="800" w:hanging="454"/>
        <w:spacing w:after="0" w:line="189"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comply with specific requirements governing the selection of qualified principal investigators and clinical research sites;</w:t>
      </w:r>
    </w:p>
    <w:p>
      <w:pPr>
        <w:spacing w:after="0" w:line="26"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obtain specific written commitments from principal investigators;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obtain IRB review and approval and supervision of the clinical trials by an independent review board or ethics committee;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obtain a favorable opinion from regulatory agencies to commence a clinical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verify that appropriate patient informed consents are obtained before the patient participates in a clinical trial;</w:t>
      </w:r>
    </w:p>
    <w:p>
      <w:pPr>
        <w:spacing w:after="0" w:line="25" w:lineRule="exact"/>
        <w:rPr>
          <w:rFonts w:ascii="Arial" w:cs="Arial" w:eastAsia="Arial" w:hAnsi="Arial"/>
          <w:sz w:val="23"/>
          <w:szCs w:val="23"/>
          <w:color w:val="auto"/>
          <w:vertAlign w:val="superscript"/>
        </w:rPr>
      </w:pPr>
    </w:p>
    <w:p>
      <w:pPr>
        <w:ind w:left="800" w:right="240" w:hanging="454"/>
        <w:spacing w:after="0" w:line="195"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ensure that adverse drug reactions resulting from the administration of a drug or biologic during a clinical trial are medically evaluated and reported in a timely manner;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monitor the validity and accuracy of data;</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monitor drug or biologic accountability at clinical research sites; and</w:t>
      </w:r>
    </w:p>
    <w:p>
      <w:pPr>
        <w:spacing w:after="0" w:line="25" w:lineRule="exact"/>
        <w:rPr>
          <w:rFonts w:ascii="Arial" w:cs="Arial" w:eastAsia="Arial" w:hAnsi="Arial"/>
          <w:sz w:val="23"/>
          <w:szCs w:val="23"/>
          <w:color w:val="auto"/>
          <w:vertAlign w:val="superscript"/>
        </w:rPr>
      </w:pPr>
    </w:p>
    <w:p>
      <w:pPr>
        <w:ind w:left="800" w:right="120" w:hanging="454"/>
        <w:spacing w:after="0" w:line="195"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verify that principal investigators and clinical trial staff maintain records and reports and permit appropriate governmental authorities access to data for review.</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good clinical practices.</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clinical trial customer and the parties conducting the clinical trials share in responsibilities to ensure that all applicable legal and regulatory requirements are fulfilled. Many of the functions we regularly perform in the conduct 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 products, civil penalties, criminal prosecutions or debarment from assisting in the submission of new drug applications. See “Risk Factors—Risks Relating to Our Business—If we fail to perform our services in accordance with contractual requirements, government regulations and ethical considerations, we could be subject to significant costs or liability and our reputation could be adversely affected.”</w:t>
      </w:r>
    </w:p>
    <w:p>
      <w:pPr>
        <w:spacing w:after="0" w:line="15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Information Privacy</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 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Canada under the federal Personal Information Protection and Electronic Documents Act, the Act Respecting the Protection of Personal Information in the Private Sector and the Personal Health Information Protection Act and privacy legislation in the EU under the 95/46/EC Privacy Directive on the protection and free movement of personal data, as replaced by the General Data Protection Regulation from early 2018 onwards. See “Risk Factors—Risks Relating to Our Industry —Current and proposed laws and regulations regarding the protection of personal data could result in increased risks of liability or increased cost to us or could limit our service offerings.”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Industry Arrangements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conduct of pre-clinical and clinical trials may be subject to laws and regulations that are intended to prevent the misuse of government health care program funding. In the United States, these laws include, among others, the False Claims Act, which prohibits submitting or causing the submission of false statements or improper claims for government health care program payments; and the Anti-Kickback statute, which prohibits paying, offering to pay or receiving payment with the intent to induce the referral of services or devices that are covered under a federal health care program. Violations of these laws and regulations may incur administrative, civil, and criminal penalties.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Safety and Workplace Conditions</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Most of our employees are office based and subject to health and safety regulations covering offices, with which we comply. In addition to its comprehensive regulation of safety in the workplace, the U.S. Occupational Safety and Health Administration has established extensive requirements relating to workplace safety for healthcare employers whose workers might be exposed to blood-borne pathogens such as HIV and the hepatitis B virus, which apply to our clinic and laboratories. Furthermore, certain employees might have to receive initial and periodic training to ensure compliance with applicable hazardous materials regulations and health and safety guidelines. We are subject to similar regulations with respect to our laboratories in Belgium, Singapore and China.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 and Liability</w:t>
      </w:r>
    </w:p>
    <w:p>
      <w:pPr>
        <w:spacing w:after="0" w:line="120"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0"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 Although we believe the ownership of trademarks is an important factor in our business and that our success does depend in part on the ownership thereof, we rely primarily on the innovative skills, technical competence and marketing abilities of our employees. We do not have any material licenses, franchises or concessions.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of March 31, 2016 we had approximately 2,200 employees worldwide, with approximately 65% in North America, 30% in Europe, 4% in Asia/Pacific and 1% in South America and Africa. None of our employees are currently covered by a collective bargaining agreement specific to our company. We believe our overall relations with our employees are good. As of December 31, 2015, December 31, 2014 and December 31, 2013, we had approximately 2,000, 1,700 and 1,400 employees, respectively.</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success of our business depends upon our ability to attract and retain qualified professional, scientific and technical staff. The level of competition among employers in the United States and overseas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In addition, our disciplined and centralized approach to hiring and training has fostered, and we believe will continue to foster, strong employee loyalty and a low turnover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of March 31, 2016, we had 29 facilities located in 25 countries. Most of our facilities consist solely of office space; however, we have five laboratories located across four facilities. We lease all of our facilities, with the exception of office space owned in Leuven, Belgium and Prague, Czech Republic. Our principal executive offices are located on a corporate campus in Cincinnati, Ohio consisting of three buildings totaling approximately 332,000 square feet. The leases for the Cincinnati site expire in 2022, 2026 and 2027.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and Insurance</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 as subcontractors, we are responsible for their performance and may be held liable for damages if the subcontractors fail to perform in the manner specified in their contract.</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15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maintain errors, omissions and professional liability insurance in amounts we believe to be appropriate. This insurance provides coverage for vicarious liability due to negligence of the investigators who contract with us, as well as claims by our customers that a clinical trial was compromised due to an error or omission by us. If our insurance coverage is not adequate, or if insurance coverage does not continue to be available on terms acceptable to us, our business, financial condition and operating results could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are currently party to legal proceedings incidental to our business and may become subject to additional legal proceedings in the future. We believe that the ultimate outcome of the proceedings to which we are currently a party, individually and in the aggregate, will not have a material adverse effect on our consolidated financial statements. Litigation is subject to inherent uncertainties. See Note 9 to our audited financial statements included in this prospectus for a discussion of legal proceedings.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Directors and Director Nominees</w:t>
      </w:r>
    </w:p>
    <w:p>
      <w:pPr>
        <w:spacing w:after="0" w:line="120"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The following table sets forth certain information concerning our executive officers, directors and certain persons who have agreed to become directors, whom we refer to as our director nominees, as of the date set forth on the cover page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AGE</w:t>
            </w:r>
          </w:p>
        </w:tc>
        <w:tc>
          <w:tcPr>
            <w:tcW w:w="7140" w:type="dxa"/>
            <w:vAlign w:val="bottom"/>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20" w:type="dxa"/>
            <w:vAlign w:val="bottom"/>
          </w:tcPr>
          <w:p>
            <w:pPr>
              <w:spacing w:after="0"/>
              <w:rPr>
                <w:sz w:val="15"/>
                <w:szCs w:val="15"/>
                <w:color w:val="auto"/>
              </w:rPr>
            </w:pPr>
          </w:p>
        </w:tc>
        <w:tc>
          <w:tcPr>
            <w:tcW w:w="340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Dr. August J. Troendle</w:t>
            </w:r>
          </w:p>
        </w:tc>
        <w:tc>
          <w:tcPr>
            <w:tcW w:w="220" w:type="dxa"/>
            <w:vAlign w:val="bottom"/>
          </w:tcPr>
          <w:p>
            <w:pPr>
              <w:spacing w:after="0"/>
              <w:rPr>
                <w:sz w:val="15"/>
                <w:szCs w:val="15"/>
                <w:color w:val="auto"/>
              </w:rPr>
            </w:pPr>
          </w:p>
        </w:tc>
        <w:tc>
          <w:tcPr>
            <w:tcW w:w="3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59</w:t>
            </w:r>
          </w:p>
        </w:tc>
        <w:tc>
          <w:tcPr>
            <w:tcW w:w="320" w:type="dxa"/>
            <w:vAlign w:val="bottom"/>
          </w:tcPr>
          <w:p>
            <w:pPr>
              <w:spacing w:after="0"/>
              <w:rPr>
                <w:sz w:val="15"/>
                <w:szCs w:val="15"/>
                <w:color w:val="auto"/>
              </w:rPr>
            </w:pPr>
          </w:p>
        </w:tc>
        <w:tc>
          <w:tcPr>
            <w:tcW w:w="714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President, Chief Executive Officer and Chairman of the Board of Directors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Jesse J. Geiger</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41</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Chief Financial Officer and Chief Operating Officer, Laboratory Operations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Susan E. Burwig</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53</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Senior Vice President, Operations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Stephen P. Ewald</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46</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General Counsel and Corporate Secretary</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Penelope J. Bucknell</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Vice President, Human Resources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Dr. Supraj R. Rajagopalan</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38</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Alexander F.S. Leslie</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Matthew R. Norton</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31</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Robert O. Kraft</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46</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 Nominee</w:t>
            </w:r>
          </w:p>
        </w:tc>
      </w:tr>
      <w:tr>
        <w:trPr>
          <w:trHeight w:val="205"/>
        </w:trPr>
        <w:tc>
          <w:tcPr>
            <w:tcW w:w="3640" w:type="dxa"/>
            <w:vAlign w:val="bottom"/>
            <w:gridSpan w:val="3"/>
          </w:tcPr>
          <w:p>
            <w:pPr>
              <w:spacing w:after="0"/>
              <w:rPr>
                <w:sz w:val="20"/>
                <w:szCs w:val="20"/>
                <w:color w:val="auto"/>
              </w:rPr>
            </w:pPr>
            <w:r>
              <w:rPr>
                <w:rFonts w:ascii="Arial" w:cs="Arial" w:eastAsia="Arial" w:hAnsi="Arial"/>
                <w:sz w:val="17"/>
                <w:szCs w:val="17"/>
                <w:color w:val="auto"/>
              </w:rPr>
              <w:t>Brian T. Carley</w:t>
            </w:r>
          </w:p>
        </w:tc>
        <w:tc>
          <w:tcPr>
            <w:tcW w:w="640" w:type="dxa"/>
            <w:vAlign w:val="bottom"/>
            <w:gridSpan w:val="2"/>
          </w:tcPr>
          <w:p>
            <w:pPr>
              <w:jc w:val="right"/>
              <w:ind w:right="320"/>
              <w:spacing w:after="0"/>
              <w:rPr>
                <w:sz w:val="20"/>
                <w:szCs w:val="20"/>
                <w:color w:val="auto"/>
              </w:rPr>
            </w:pPr>
            <w:r>
              <w:rPr>
                <w:rFonts w:ascii="Arial" w:cs="Arial" w:eastAsia="Arial" w:hAnsi="Arial"/>
                <w:sz w:val="17"/>
                <w:szCs w:val="17"/>
                <w:color w:val="auto"/>
              </w:rPr>
              <w:t>62</w:t>
            </w:r>
          </w:p>
        </w:tc>
        <w:tc>
          <w:tcPr>
            <w:tcW w:w="7140" w:type="dxa"/>
            <w:vAlign w:val="bottom"/>
          </w:tcPr>
          <w:p>
            <w:pPr>
              <w:spacing w:after="0"/>
              <w:rPr>
                <w:sz w:val="20"/>
                <w:szCs w:val="20"/>
                <w:color w:val="auto"/>
              </w:rPr>
            </w:pPr>
            <w:r>
              <w:rPr>
                <w:rFonts w:ascii="Arial" w:cs="Arial" w:eastAsia="Arial" w:hAnsi="Arial"/>
                <w:sz w:val="17"/>
                <w:szCs w:val="17"/>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biographical summary of the experience of our executive officers, directors and 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August J. Troendle—President, Chief Executive Officer and Chairman of the Board of Directors</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Dr. August J. Troendle has been the President, Chief Executive Officer and Chairman of the Board of Directors of Medpace since he founded the Company in July 1992. Before founding Medpace, Dr. Troendle served as Assistant Director, Associate Director and Senior Associate Director from 1987 to 1992 at Sandoz (Novartis), where he was responsible for the clinical development of lipid altering agents. From 1986 to 1987, Dr. Troendle worked as a Medical Review Officer in the Division of Metabolic and Endocrine Drug Products at the FDA. Dr. Troendle also has extensive experience serving as a director for a diverse group of public and private companies, including as a director of Coherus BioSciences, Inc. since 2012, as a director of Xenon Pharmaceuticals Inc. from 2007 to 2008, as a director of Symplmed Pharmaceuticals, LLC since 2013, as a director of LIB Therapeutics, LLC since 2015 and as a director of CinRx Pharma, LLC since 2015. Dr. Troendle received his Medical Degree from the University of Maryland, School of Medicine. We believe Dr. Troendle brings to our Board valuable perspective and experience as our Chief Executive Officer, and as a former member of a large pharmaceutical company and the FDA, as well as extensive knowledge of the CRO and biopharmaceutical industries, and his experience serving on public and private boards, all of which qualify him to serve as the Chairman of our Board.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Jesse J. Geiger—Chief Financial Officer and Chief Operating Officer, Laboratory Operations</w:t>
      </w:r>
    </w:p>
    <w:p>
      <w:pPr>
        <w:spacing w:after="0" w:line="52"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Jesse J. Geiger joined Medpace in October 2007 as Corporate Controller, and he was appointed Chief Financial Officer in March 2011. Mr. Geiger became Chief Operating Officer, Laboratory Operations in November 2014. Prior to joining Medpace, Mr. Geiger worked for SENCORP from 2004 to 2007 as the Corporate Controller and Manager of Financial Planning and Analysis. Prior to SENCORP, Mr. Geiger served as the Director of Capital Markets for Cincinnati Bell from 2002 to 2004. Mr. Geiger started his career in the audit practice at Arthur Andersen LLP. Mr. Geiger has served as a director for several private companies, including as a director of Symplmed Pharmaceuticals, LLC since 2013, as a director of LIB Therapeutics, LLC since 2016 and as a director of CinRx Pharma, LLC since 2016. Mr. Geiger received his Bachelor of Business Administration in Accounting from the University of Cincinnati and is a Certified Public Accountant.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Susan E. Burwig—Senior Vice President, Operations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Susan E. Burwig joined Medpace in August 1993 and has served in various key leadership roles within the Clinical Operations department. From February 2003 to May 2015, Ms. Burwig served as Senior Vice President, Clinical Operations, overseeing clinical trial management, clinical monitoring, start-up, including feasibility, and new business proposals. In June 2015, Ms. Burwig was appointed Senior Vice President, Operations. Prior to joining Medpace, Ms. Burwig held several clinical roles, including leading heart failure clinical research studies at the University of Cincinnati. Ms. Burwig received her Bachelor of Science in Nursing as well as an MA in Sports Administration from Kent State University.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P. Ewald—General Counsel and Corporate Secretary</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Stephen P. Ewald joined Medpace as General Counsel and Corporate Secretary in June 2012. Prior to joining Medpace, Mr. Ewald served as the Managing Director and Chief Legal Officer of Brevet Capital Management from May 2011 to June 2012. From May 2009 to May 2011, he was a Managing Director and Assistant General Counsel for Cantor Fitzgerald Securities/Cantor Fitzgerald &amp; Co. Mr. Ewald was employed with Bank of America from 1999 to 2009, serving in various roles within the legal department and the Global Markets Group, including Managing Director and Chief Operating Officer of the Principal Capital Group, a proprietary investing group within Bank of America Securities. Mr. Ewald has served as director for several private companies, including as a director of Symplmed Pharmaceuticals, LLC since 2013, as a director of LIB Therapeutics, LLC since 2016 and as a director of CinRx Pharma, LLC since 2016. Mr. Ewald received his Bachelor of Science in Political Sciences from the University of Cincinnati and his Juris Doctorate from the University of Cincinnati College of Law.</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Penelope J. Bucknell—Vice President, Human Resources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Penelope J. Bucknell joined Medpace in February 2012 as Vice President, Human Resources. Ms. Bucknell has also led the Global Travel department since joining the Company, and the Facilities department since January 2015. Prior to joining Medpace, Ms. Bucknell was the Human Resources Director, Europe and Latin America for Underwriters Laboratories from August 2008 to February 2012. Before that, from 1998 to 2008, she served as Director and Executive Director, Human Resources, EMEA and Asia Pacific for Pharmaceutical Product Development. Ms. Bucknell received her Bachelor of Science in Social Sciences from Brunel University and a Postgraduate Diploma in Personnel Management from PCL (now the University of Westminster). She is a Member of the Chartered Institute of Personnel and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 and Director Nominees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Supraj R. Rajagopalan—Director</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Dr. Supraj R. Rajagopalan has served as a member of our Board since February 2014. Dr. Rajagopalan joined Cinven in 2004 and has been a partner since 2011. He currently leads Cinven’s Healthcare sector team, sits on the firm’s Executive Committee and is a member of the UK and Ireland regional team. From 2003 to 2004, he worked for The Boston Consulting Group, where he focused on projects in the financial services and healthcare sectors. Prior to this, he was a doctor in the UK National Health Service from 2001 to 2002. Dr. Rajagopalan has extensive experience serving as a director for a diverse group of European private and public companies. Dr. Rajagopalan graduated from Cambridge University with undergraduate and postgraduate degrees in Medical Sciences. Dr. Rajagopalan was chosen as a director because of his significant financial, investment and operational experience from his background in private equity finance, along with his past practice as a doctor.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Alexander F.S. Leslie—Director</w:t>
      </w:r>
    </w:p>
    <w:p>
      <w:pPr>
        <w:spacing w:after="0" w:line="5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Alexander F.S. Leslie has served as a member of our Board since February 2014. Mr. Leslie joined Cinven in 2006, has been a partner since January 2016 and is a member of Cinven’s Healthcare sector team and its UK and Ireland regional team. Prior to this, he worked in the Investment Banking Division of Morgan Stanley in London from 2003 to 2006. Mr. Leslie has extensive experience serving as a director for a diverse group of European private companies. Mr. Leslie has an MA in History from the University of Edinburgh. Mr. Leslie was chosen as a director because of his significant financial, investment and operational experience from his background in banking and private equity finance.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Matthew R. Norton—Director</w:t>
      </w:r>
    </w:p>
    <w:p>
      <w:pPr>
        <w:spacing w:after="0" w:line="5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Matthew R. Norton has served as a member of our Board since October 2015. Mr. Norton joined Cinven in 2010 and is a member of Cinven’s Healthcare sector team and its UK and Ireland regional team. Prior to joining Cinven, Mr. Norton worked in the Investment Banking Division of Citigroup in London from 2007 to 2010. There, he advised on M&amp;A and restructuring deals across a range of sectors, including consumer, real estate and healthcare. Mr. Norton graduated from Imperial College London with an MSc in Physics. Mr. Norton was chosen as a director because of his significant financial, investment and operational experience from his background in banking and private equity finance.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O. Kraft—Director Nominee</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Board has voted to elect Robert O. Kraft as a director, effective as of July 1, 2016. Mr. Kraft has served as the Executive Vice President of CVS Health Corporation and the President of Omnicare, Inc., CVS’s long-term care business, since August 2015. From September 2012 to August 2015, Mr. Kraft served as Senior Vice President and Chief Financial Officer of Omnicare, Inc., and from November 2010 to September 2012, he served as Senior Vice President, Finance of Omnicare, Inc. Before joining Omnicare, Inc., Mr. Kraft was an audit partner at PricewaterhouseCoopers LLP, where he worked for 18 years. Mr. Kraft received his Bachelor’s Degree in Accounting from the University of Dayton. Mr. Kraft was chosen as a director nominee because of his significant financial and accounting experience from his background as an audit partner at PricewaterhouseCoopers LLP and his experience as an executive of a public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T. Carley—Director Nominee</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Board has voted to elect Brian T. Carley as a director, effective as of July 1, 2016. Mr. Carley is currently the Senior Vice President and Chief Financial Officer of Clubessential, LLC, a privately held Software as a Service (SaaS) company providing member engagement software. He previously served as President and Chief Executive Officer of the Cincinnati USA Regional Chamber from 2014 to 2015. From 2002 to 2014, Mr. Carley worked at Deloitte &amp; Touche LLP, where he served as regional and office audit division head and audit partner. Before joining Deloitte &amp; Touche LLP, Mr. Carley was employed by Arthur Andersen LLP from 1976 to 2002. There, he served as office managing partner and audit partner. Mr. Carley also has extensive experience serving as a director for a diverse group of companies, including as a director of Assurex Health, Inc. since 2015, and as a director and officer of numerous civic and charitable organizations. Mr. Carley received his Bachelor of Science in Accountancy from the University of Illinois, and he is a retired Certified Public Accountant. Mr. Carley was chosen as a director nominee because of his significant financial, accounting and directorship experience from his background as an audit partner at Deloitte &amp; Touche LLP and Arthur Andersen LLP and his experience serving on boards.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Our business and affairs are managed under the direction of our Board. When considering whether directors and nominees have the experience, qualifications, attributes or skills, taken as a whole, to enable our Board to satisfy its oversight responsibilities effectively in light of our business and structure, the Board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w:t>
      </w:r>
    </w:p>
    <w:p>
      <w:pPr>
        <w:spacing w:after="0" w:line="150"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Our amended and restated certificate of incorporation will provide that our Board will initially consist of six directors, and that our Board will be divided into three classes, as nearly equal as possible, with one class being elected at each annual meeting of shareholders. Each director will serve a three-year term, with termination staggered according to class. Our directors will initially be divided among the three classes as follows:</w:t>
      </w:r>
    </w:p>
    <w:p>
      <w:pPr>
        <w:spacing w:after="0" w:line="188" w:lineRule="exact"/>
        <w:rPr>
          <w:sz w:val="20"/>
          <w:szCs w:val="20"/>
          <w:color w:val="auto"/>
        </w:rPr>
      </w:pPr>
    </w:p>
    <w:p>
      <w:pPr>
        <w:ind w:left="800" w:hanging="454"/>
        <w:spacing w:after="0" w:line="195" w:lineRule="auto"/>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the Class I directors will be Robert O. Kraft and Brian T. Carley and their terms will expire at the annual meeting of shareholders to be held in 2017;</w:t>
      </w:r>
    </w:p>
    <w:p>
      <w:pPr>
        <w:spacing w:after="0" w:line="26" w:lineRule="exact"/>
        <w:rPr>
          <w:rFonts w:ascii="Arial" w:cs="Arial" w:eastAsia="Arial" w:hAnsi="Arial"/>
          <w:sz w:val="25"/>
          <w:szCs w:val="25"/>
          <w:color w:val="auto"/>
          <w:vertAlign w:val="superscript"/>
        </w:rPr>
      </w:pPr>
    </w:p>
    <w:p>
      <w:pPr>
        <w:ind w:left="800" w:right="160" w:hanging="454"/>
        <w:spacing w:after="0" w:line="195" w:lineRule="auto"/>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the Class II directors will be Alexander F.S. Leslie and Matthew R. Norton and their terms will expire at the annual meeting of shareholders to be held in 2018; and</w:t>
      </w:r>
    </w:p>
    <w:p>
      <w:pPr>
        <w:spacing w:after="0" w:line="26" w:lineRule="exact"/>
        <w:rPr>
          <w:rFonts w:ascii="Arial" w:cs="Arial" w:eastAsia="Arial" w:hAnsi="Arial"/>
          <w:sz w:val="25"/>
          <w:szCs w:val="25"/>
          <w:color w:val="auto"/>
          <w:vertAlign w:val="superscript"/>
        </w:rPr>
      </w:pPr>
    </w:p>
    <w:p>
      <w:pPr>
        <w:ind w:left="800" w:right="520" w:hanging="454"/>
        <w:spacing w:after="0" w:line="195" w:lineRule="auto"/>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the Class III directors will be Dr. Supraj R. Rajagopalan and Dr. August J. Troendle and their terms will expire at the annual meeting of shareholders to be held in 2019.</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size of our Board may thereafter be fixed from time to time solely by resolution of at least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 See “Description of Capital Stock—Anti-Takeover Effects of Our Amended and Restated Certificate of Incorporation and Amended and Restated Bylaws and Certain Provisions of Delaware Law.”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Arrangements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Because Cinven will continue to control a majority of the voting power of our common stock upon the closing of this offering, we expect that Cinven will control the election of our directors. In addition, we understand that, substantially concurrently with the closing of this offering, Cinven and Dr. August J. Troendle, our Chief Executive Officer and founder, intend to enter into the Voting Agreement. See “Certain Relationships and Related Person Transactions—Voting Agreement,”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Exemption</w:t>
      </w:r>
    </w:p>
    <w:p>
      <w:pPr>
        <w:spacing w:after="0" w:line="12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Accordingly, we will not be required to have a majority of “independent directors” on our Board nor will we be required to have a compensation committee and a corporate governance and nominating committee composed entirely of “independent directors” as defined under the rules of NASDAQ. Further, our director nominees will not be required to be selected or recommended to the Board by a majority of the “independent directors” as defined under the rules of NASDAQ and compensation for our executives will not be determined by a majority of “independent directors” as defined under the rules of NASDAQ. The “controlled company” exemption does not modify the independence requirements for the audit committee, and we intend to comply with the requirements of Sarbanes-Oxley and NASDAQ, which require that our audit committee be composed of at least three members, one of whom will be independent upon the listing of our common stock, a majority of whom will be independent within 90 days of listing and each of whom will be independent within one year of listing.</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After the consummation of this offering, we intend to avail ourselves of certain of these exemptions. In particular, immediately following this offering we will not have a nominating and corporate governance committee. Therefore, for as long as we remain a “controlled company” you will not have the same protections afforded to shareholders of companies that are subject to all of these corporate governance requirements. If at any time we cease to be a “controlled company” under the rules of NASDAQ, our Board will take all action necessary to comply with the NASDAQ corporate governance rules, including establishing certain committees composed entirely of independent directors, subject to a permitted “phase-in” period.</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Board has affirmatively determined that Brian T. Carley, Robert O. Kraft, Dr. Supraj R. Rajagopalan, Alexander F.S. Leslie and Matthew R. Norton are independent directors under the applicable rules of NASDAQ.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Upon the consummation of this offering, and prior to the listing of our common stock on NASDAQ, we will establish an audit committee and a compensation committee. Each committee will operate under a charter that will be approved by our Board. Each committee will have the composition and responsibilities described below. Members serve on these committees until their resignations or until otherwise determined by our Board. The charter and composition of each committee will be effective upon the consummation of this offering. The charter of each committee will be available on our website.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primary purposes of our audit committee will be to assist the Board’s oversight of:</w:t>
      </w:r>
    </w:p>
    <w:p>
      <w:pPr>
        <w:spacing w:after="0" w:line="113"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the integrity of our corporate accounting and financial reporting processes and financial information;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our systems of internal control over financial reporting and disclosure controls and procedures;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our process related to risk management;</w:t>
      </w:r>
    </w:p>
    <w:p>
      <w:pPr>
        <w:spacing w:after="0" w:line="25" w:lineRule="exact"/>
        <w:rPr>
          <w:rFonts w:ascii="Arial" w:cs="Arial" w:eastAsia="Arial" w:hAnsi="Arial"/>
          <w:sz w:val="23"/>
          <w:szCs w:val="23"/>
          <w:color w:val="auto"/>
          <w:vertAlign w:val="superscript"/>
        </w:rPr>
      </w:pPr>
    </w:p>
    <w:p>
      <w:pPr>
        <w:ind w:left="800" w:right="480" w:hanging="454"/>
        <w:spacing w:after="0" w:line="195" w:lineRule="auto"/>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procedures for receipt, retention and treatment of complaints and the confidential anonymous submission by our employees regarding accounting or auditing matters;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the qualifications, engagement, compensation, independence and performance of our independent registered public accounting firm;</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our independent registered public accounting firm’s annual audit of our financial statements and any engagement to provide other services;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our legal and regulatory compliance;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our related person transaction policy;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the application of our codes of business conduct and ethics as established by management and the Board.</w:t>
      </w:r>
    </w:p>
    <w:p>
      <w:pPr>
        <w:spacing w:after="0" w:line="147"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Upon the consummation of this offering, and prior to the listing of our common stock, our audit committee will be composed of Robert O. Kraft, Alexander F. S. Leslie and Brian T. Carley. Brian T. Carley will serve as chair of the audit committee.</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Brian T. Carley qualifies as an “audit committee financial expert” as such term has been defined by the SEC in Item 407(d)(5) of Regulation S-K. Our Board has affirmatively determined that Robert O. Kraft and Brian T. Carley meet the definition of an “independent director” for the purposes of serving on the audit committee under applicable NASDAQ rules and Rule 10A-3 under the Exchange Act. We intend to comply with these independence requirements for all members of the audit committee within one year of the date of the listing of our common stock. The audit committee will be governed by a charter that complies with the rules of NASDAQ.</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primary purposes of our compensation committee will be to assist the Board in overseeing our management compensation policies and practices, including:</w:t>
      </w:r>
    </w:p>
    <w:p>
      <w:pPr>
        <w:spacing w:after="0" w:line="102" w:lineRule="exact"/>
        <w:rPr>
          <w:sz w:val="20"/>
          <w:szCs w:val="20"/>
          <w:color w:val="auto"/>
        </w:rPr>
      </w:pPr>
    </w:p>
    <w:p>
      <w:pPr>
        <w:ind w:left="800" w:hanging="454"/>
        <w:spacing w:after="0"/>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determining and approving the compensation of our Chief Executive Officer and our executive officers;</w:t>
      </w:r>
    </w:p>
    <w:p>
      <w:pPr>
        <w:spacing w:after="0" w:line="24" w:lineRule="exact"/>
        <w:rPr>
          <w:rFonts w:ascii="Arial" w:cs="Arial" w:eastAsia="Arial" w:hAnsi="Arial"/>
          <w:sz w:val="25"/>
          <w:szCs w:val="25"/>
          <w:color w:val="auto"/>
          <w:vertAlign w:val="superscript"/>
        </w:rPr>
      </w:pPr>
    </w:p>
    <w:p>
      <w:pPr>
        <w:ind w:left="800" w:right="700" w:hanging="454"/>
        <w:spacing w:after="0" w:line="195" w:lineRule="auto"/>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assessing our performance management process and updates to our succession plan for our Chief Executive Officer and other key executive positions;</w:t>
      </w:r>
    </w:p>
    <w:p>
      <w:pPr>
        <w:spacing w:after="0" w:line="26"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reviewing and approving incentive compensation policies and programs, and exercising discretion in the administration of those policies and programs;</w:t>
      </w:r>
    </w:p>
    <w:p>
      <w:pPr>
        <w:spacing w:after="0" w:line="26" w:lineRule="exact"/>
        <w:rPr>
          <w:rFonts w:ascii="Arial" w:cs="Arial" w:eastAsia="Arial" w:hAnsi="Arial"/>
          <w:sz w:val="25"/>
          <w:szCs w:val="25"/>
          <w:color w:val="auto"/>
          <w:vertAlign w:val="superscript"/>
        </w:rPr>
      </w:pPr>
    </w:p>
    <w:p>
      <w:pPr>
        <w:ind w:left="800" w:right="280" w:hanging="454"/>
        <w:spacing w:after="0" w:line="195" w:lineRule="auto"/>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reviewing and approving equity and non-equity compensation, welfare, benefit and pension programs, other plans and policies related to compensation for our employees, directors and consultants and exercising discretion in the administration of those programs;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preparing the annual report of the compensation committee required by the rules of the SEC to be included in our annual report.</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Upon the consummation of this offering, and prior to the listing of our common stock, our compensation committee will be composed of Dr. Supraj R. Rajagopalan, Alexander F.S. Leslie, Matthew R. Norton and Robert O. Kraft. Dr. Supraj R. Rajagopalan will serve as chair of the compensation committee. Prior to the consummation of this offering, we did not have a compensation committee. The compensation committee will be governed by a charter that complies with the rules of NASDAQ.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Our Board is responsible for overseeing our risk management process. Our Board focuses on our general risk management strategy, the most significant risks facing us, and oversees the implementation of risk mitigation strategies by management. Our Board is also apprised of particular risk management matters in connection with its general oversight and approval of corporate matters and significant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20"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conducted an assessment of our compensation policies and practices for our employees and concluded that these policies and practices are not reasonably likely to have a material adverse effect on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the completion of this offering, we will update our written code of ethical business conduct that applies to our directors, officers and employees, including our principal executive officer, principal financial officer, principal accounting officer or controller, and persons performing similar functions. A copy of the code will be posted on our corporate website, which will be located at www.medpace.com. Any amendments to or waivers from our code of ethical business conduct will be disclosed on our Internet website promptly following the date of such amendment or waiver. Our Internet website and the information contained therein or connected thereto shall not be deemed to be incorporated into this prospectus or the registration statement of which it forms a part.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 and Charter</w:t>
      </w:r>
    </w:p>
    <w:p>
      <w:pPr>
        <w:spacing w:after="0" w:line="12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do not currently have a disclosure committee and disclosure committee charter. We plan to establish a disclosure committee following this offering and it will operate under a charter. The purpose of the disclosure committee will be to provide assistance to the principal executive officer and the principal financial officer in fulfilling their responsibilities regarding the identification and disclosure of material information about us and the accuracy, completeness and timeliness of our financial reports.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No interlocking relationships exist between the members of our Board or our compensation committee and the board of directors or compensation committee of any other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our Board of Directors</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amended and restated bylaws provide our Board with flexibility to combine or separate the positions of Chairman of the Board and Chief Executive Officer in accordance with its determination that utilizing one or the other structure would be in the best interests of our company. Upon completion of this offering, Dr. Troendle will serve as Chairman of the Board,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Our amended and restated certificate of incorporation provides that we will indemnify our directors and officers to the fullest extent permitted by the DGCL.</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amended and restated certificate of incorporation provides that our directors will not be liable for monetary damages for breach of fiduciary duty, except for liability relating to any breach of the director’s duty of loyalty, acts or omissions not in good faith or which involve intentional misconduct or a knowing violation of law, violations under Section 174 of the DGCL or any transaction from which the director derived an improper personal benefit.</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We intend to enter into new indemnification agreements with each of our directors, director nominees and executive officers. These agreements, among other things, will require us to indemnify each director, director nominee and executive officer to the fullest extent permitted by Delaware law, including indemnification of expenses such as attorneys’ fees, judgments, fines and settlement amounts incurred by the director, director nominee or executive officer in any action or proceeding, including any action or proceeding by or in right of us, arising out of the person’s services as a director, director nominee or executive officer, as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have customary directors’ and officers’ indemnity insurance in place for our directors and executive officers.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“2015</w:t>
      </w:r>
    </w:p>
    <w:p>
      <w:pPr>
        <w:spacing w:after="0"/>
        <w:rPr>
          <w:sz w:val="20"/>
          <w:szCs w:val="20"/>
          <w:color w:val="auto"/>
        </w:rPr>
      </w:pPr>
      <w:r>
        <w:rPr>
          <w:rFonts w:ascii="Arial" w:cs="Arial" w:eastAsia="Arial" w:hAnsi="Arial"/>
          <w:sz w:val="17"/>
          <w:szCs w:val="17"/>
          <w:color w:val="auto"/>
        </w:rPr>
        <w:t>Summary Compensation Table” below. In 2015, our “named executive officers”, or NEOs, and their positions were as follows:</w:t>
      </w:r>
    </w:p>
    <w:p>
      <w:pPr>
        <w:spacing w:after="0" w:line="113" w:lineRule="exact"/>
        <w:rPr>
          <w:sz w:val="20"/>
          <w:szCs w:val="20"/>
          <w:color w:val="auto"/>
        </w:rPr>
      </w:pPr>
    </w:p>
    <w:p>
      <w:pPr>
        <w:ind w:left="800" w:hanging="454"/>
        <w:spacing w:after="0"/>
        <w:tabs>
          <w:tab w:leader="none" w:pos="800" w:val="left"/>
        </w:tabs>
        <w:numPr>
          <w:ilvl w:val="0"/>
          <w:numId w:val="58"/>
        </w:numPr>
        <w:rPr>
          <w:rFonts w:ascii="Arial" w:cs="Arial" w:eastAsia="Arial" w:hAnsi="Arial"/>
          <w:sz w:val="25"/>
          <w:szCs w:val="25"/>
          <w:color w:val="auto"/>
          <w:vertAlign w:val="superscript"/>
        </w:rPr>
      </w:pPr>
      <w:r>
        <w:rPr>
          <w:rFonts w:ascii="Arial" w:cs="Arial" w:eastAsia="Arial" w:hAnsi="Arial"/>
          <w:sz w:val="17"/>
          <w:szCs w:val="17"/>
          <w:color w:val="auto"/>
        </w:rPr>
        <w:t>Dr. August J. Troendle, President and Chief Executive Officer;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Mr. Jesse J. Geiger, Chief Financial Officer and Chief Operating Officer, Laboratory Operations;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Ms. Susan E. Burwig, Senior Vice President, Operations;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Mr. Kurt A. Brykman, Former Chief Operating Officer, CRO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Mr. Brykman’s employment ended on July 14, 2015.</w:t>
      </w:r>
    </w:p>
    <w:p>
      <w:pPr>
        <w:spacing w:after="0" w:line="15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summary compensation information for our NEOs for the fiscal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1020" w:type="dxa"/>
            <w:vAlign w:val="bottom"/>
            <w:gridSpan w:val="3"/>
          </w:tcPr>
          <w:p>
            <w:pPr>
              <w:spacing w:after="0" w:line="165" w:lineRule="exact"/>
              <w:rPr>
                <w:sz w:val="20"/>
                <w:szCs w:val="20"/>
                <w:color w:val="auto"/>
              </w:rPr>
            </w:pPr>
            <w:r>
              <w:rPr>
                <w:rFonts w:ascii="Arial" w:cs="Arial" w:eastAsia="Arial" w:hAnsi="Arial"/>
                <w:sz w:val="12"/>
                <w:szCs w:val="12"/>
                <w:b w:val="1"/>
                <w:bCs w:val="1"/>
                <w:color w:val="auto"/>
              </w:rPr>
              <w:t xml:space="preserve">BONUS </w:t>
            </w:r>
            <w:r>
              <w:rPr>
                <w:rFonts w:ascii="Arial" w:cs="Arial" w:eastAsia="Arial" w:hAnsi="Arial"/>
                <w:sz w:val="19"/>
                <w:szCs w:val="19"/>
                <w:b w:val="1"/>
                <w:bCs w:val="1"/>
                <w:color w:val="auto"/>
                <w:vertAlign w:val="superscript"/>
              </w:rPr>
              <w:t>(2)</w:t>
            </w:r>
          </w:p>
        </w:tc>
        <w:tc>
          <w:tcPr>
            <w:tcW w:w="1160" w:type="dxa"/>
            <w:vAlign w:val="bottom"/>
            <w:gridSpan w:val="3"/>
          </w:tcPr>
          <w:p>
            <w:pPr>
              <w:ind w:left="20"/>
              <w:spacing w:after="0" w:line="165"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(3)</w:t>
            </w:r>
          </w:p>
        </w:tc>
        <w:tc>
          <w:tcPr>
            <w:tcW w:w="980" w:type="dxa"/>
            <w:vAlign w:val="bottom"/>
            <w:gridSpan w:val="3"/>
          </w:tcPr>
          <w:p>
            <w:pPr>
              <w:jc w:val="center"/>
              <w:ind w:right="140"/>
              <w:spacing w:after="0" w:line="165"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(4)</w:t>
            </w:r>
          </w:p>
        </w:tc>
        <w:tc>
          <w:tcPr>
            <w:tcW w:w="140" w:type="dxa"/>
            <w:vAlign w:val="bottom"/>
          </w:tcPr>
          <w:p>
            <w:pPr>
              <w:spacing w:after="0"/>
              <w:rPr>
                <w:sz w:val="14"/>
                <w:szCs w:val="14"/>
                <w:color w:val="auto"/>
              </w:rPr>
            </w:pPr>
          </w:p>
        </w:tc>
        <w:tc>
          <w:tcPr>
            <w:tcW w:w="1500" w:type="dxa"/>
            <w:vAlign w:val="bottom"/>
            <w:gridSpan w:val="3"/>
          </w:tcPr>
          <w:p>
            <w:pPr>
              <w:spacing w:after="0" w:line="165"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9"/>
                <w:szCs w:val="19"/>
                <w:b w:val="1"/>
                <w:bCs w:val="1"/>
                <w:color w:val="auto"/>
                <w:vertAlign w:val="superscript"/>
              </w:rPr>
              <w:t>(5)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60" w:type="dxa"/>
            <w:vAlign w:val="bottom"/>
            <w:gridSpan w:val="2"/>
            <w:vMerge w:val="continue"/>
          </w:tcPr>
          <w:p>
            <w:pPr>
              <w:spacing w:after="0"/>
              <w:rPr>
                <w:sz w:val="15"/>
                <w:szCs w:val="15"/>
                <w:color w:val="auto"/>
              </w:rPr>
            </w:pPr>
          </w:p>
        </w:tc>
        <w:tc>
          <w:tcPr>
            <w:tcW w:w="9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2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rPr>
              <w:t>August J. Troendle</w:t>
            </w:r>
          </w:p>
        </w:tc>
        <w:tc>
          <w:tcPr>
            <w:tcW w:w="2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6"/>
                <w:szCs w:val="16"/>
                <w:color w:val="auto"/>
              </w:rPr>
              <w:t>$270,417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7,432,800</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40"/>
              <w:spacing w:after="0" w:line="138" w:lineRule="exact"/>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113,537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7,816,754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7"/>
                <w:szCs w:val="17"/>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line="165" w:lineRule="exact"/>
              <w:rPr>
                <w:sz w:val="20"/>
                <w:szCs w:val="20"/>
                <w:color w:val="auto"/>
              </w:rPr>
            </w:pPr>
            <w:r>
              <w:rPr>
                <w:rFonts w:ascii="Arial" w:cs="Arial" w:eastAsia="Arial" w:hAnsi="Arial"/>
                <w:sz w:val="17"/>
                <w:szCs w:val="17"/>
                <w:color w:val="auto"/>
              </w:rPr>
              <w:t>Jesse J. Geiger</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line="165" w:lineRule="exact"/>
              <w:rPr>
                <w:sz w:val="20"/>
                <w:szCs w:val="20"/>
                <w:color w:val="auto"/>
              </w:rPr>
            </w:pPr>
            <w:r>
              <w:rPr>
                <w:rFonts w:ascii="Arial" w:cs="Arial" w:eastAsia="Arial" w:hAnsi="Arial"/>
                <w:sz w:val="17"/>
                <w:szCs w:val="17"/>
                <w:color w:val="auto"/>
              </w:rPr>
              <w:t>$300,000</w:t>
            </w:r>
          </w:p>
        </w:tc>
        <w:tc>
          <w:tcPr>
            <w:tcW w:w="300" w:type="dxa"/>
            <w:vAlign w:val="bottom"/>
            <w:gridSpan w:val="2"/>
          </w:tcPr>
          <w:p>
            <w:pPr>
              <w:ind w:left="160"/>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71,750</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40"/>
              <w:spacing w:after="0" w:line="165" w:lineRule="exact"/>
              <w:rPr>
                <w:sz w:val="20"/>
                <w:szCs w:val="20"/>
                <w:color w:val="auto"/>
              </w:rPr>
            </w:pPr>
            <w:r>
              <w:rPr>
                <w:rFonts w:ascii="Arial" w:cs="Arial" w:eastAsia="Arial" w:hAnsi="Arial"/>
                <w:sz w:val="17"/>
                <w:szCs w:val="17"/>
                <w:color w:val="auto"/>
              </w:rPr>
              <w:t>9,000</w:t>
            </w:r>
          </w:p>
        </w:tc>
        <w:tc>
          <w:tcPr>
            <w:tcW w:w="260" w:type="dxa"/>
            <w:vAlign w:val="bottom"/>
            <w:gridSpan w:val="2"/>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380,750</w:t>
            </w:r>
          </w:p>
        </w:tc>
        <w:tc>
          <w:tcPr>
            <w:tcW w:w="0" w:type="dxa"/>
            <w:vAlign w:val="bottom"/>
          </w:tcPr>
          <w:p>
            <w:pPr>
              <w:spacing w:after="0"/>
              <w:rPr>
                <w:sz w:val="1"/>
                <w:szCs w:val="1"/>
                <w:color w:val="auto"/>
              </w:rPr>
            </w:pPr>
          </w:p>
        </w:tc>
      </w:tr>
      <w:tr>
        <w:trPr>
          <w:trHeight w:val="189"/>
        </w:trPr>
        <w:tc>
          <w:tcPr>
            <w:tcW w:w="4260" w:type="dxa"/>
            <w:vAlign w:val="bottom"/>
            <w:gridSpan w:val="2"/>
          </w:tcPr>
          <w:p>
            <w:pPr>
              <w:ind w:left="200"/>
              <w:spacing w:after="0" w:line="189" w:lineRule="exact"/>
              <w:rPr>
                <w:sz w:val="20"/>
                <w:szCs w:val="20"/>
                <w:color w:val="auto"/>
              </w:rPr>
            </w:pPr>
            <w:r>
              <w:rPr>
                <w:rFonts w:ascii="Arial" w:cs="Arial" w:eastAsia="Arial" w:hAnsi="Arial"/>
                <w:sz w:val="17"/>
                <w:szCs w:val="17"/>
                <w:i w:val="1"/>
                <w:iCs w:val="1"/>
                <w:color w:val="auto"/>
              </w:rPr>
              <w:t>Chief Financial Officer and Chief Operating Officer,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60" w:type="dxa"/>
            <w:vAlign w:val="bottom"/>
            <w:gridSpan w:val="2"/>
          </w:tcPr>
          <w:p>
            <w:pPr>
              <w:ind w:left="260"/>
              <w:spacing w:after="0"/>
              <w:rPr>
                <w:sz w:val="20"/>
                <w:szCs w:val="20"/>
                <w:color w:val="auto"/>
              </w:rPr>
            </w:pPr>
            <w:r>
              <w:rPr>
                <w:rFonts w:ascii="Arial" w:cs="Arial" w:eastAsia="Arial" w:hAnsi="Arial"/>
                <w:sz w:val="17"/>
                <w:szCs w:val="17"/>
                <w:i w:val="1"/>
                <w:iCs w:val="1"/>
                <w:color w:val="auto"/>
              </w:rPr>
              <w:t>Laboratory Operations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Susan E. Burwig</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40"/>
              <w:spacing w:after="0" w:line="165" w:lineRule="exact"/>
              <w:rPr>
                <w:sz w:val="20"/>
                <w:szCs w:val="20"/>
                <w:color w:val="auto"/>
              </w:rPr>
            </w:pPr>
            <w:r>
              <w:rPr>
                <w:rFonts w:ascii="Arial" w:cs="Arial" w:eastAsia="Arial" w:hAnsi="Arial"/>
                <w:sz w:val="17"/>
                <w:szCs w:val="17"/>
                <w:color w:val="auto"/>
              </w:rPr>
              <w:t>$350,432</w:t>
            </w:r>
          </w:p>
        </w:tc>
        <w:tc>
          <w:tcPr>
            <w:tcW w:w="300" w:type="dxa"/>
            <w:vAlign w:val="bottom"/>
            <w:gridSpan w:val="2"/>
            <w:shd w:val="clear" w:color="auto" w:fill="CCEEFF"/>
          </w:tcPr>
          <w:p>
            <w:pPr>
              <w:ind w:left="160"/>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00"/>
              <w:spacing w:after="0" w:line="165" w:lineRule="exact"/>
              <w:rPr>
                <w:sz w:val="20"/>
                <w:szCs w:val="20"/>
                <w:color w:val="auto"/>
              </w:rPr>
            </w:pPr>
            <w:r>
              <w:rPr>
                <w:rFonts w:ascii="Arial" w:cs="Arial" w:eastAsia="Arial" w:hAnsi="Arial"/>
                <w:sz w:val="17"/>
                <w:szCs w:val="17"/>
                <w:color w:val="auto"/>
              </w:rPr>
              <w:t>62,900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7"/>
                <w:szCs w:val="17"/>
                <w:color w:val="auto"/>
              </w:rPr>
              <w:t>20,600</w:t>
            </w:r>
          </w:p>
        </w:tc>
        <w:tc>
          <w:tcPr>
            <w:tcW w:w="26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7"/>
                <w:szCs w:val="17"/>
                <w:color w:val="auto"/>
              </w:rPr>
              <w:t>433,932</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7"/>
                <w:szCs w:val="17"/>
                <w:i w:val="1"/>
                <w:iCs w:val="1"/>
                <w:color w:val="auto"/>
              </w:rPr>
              <w:t>Senior Vice President, Operations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line="165" w:lineRule="exact"/>
              <w:rPr>
                <w:sz w:val="20"/>
                <w:szCs w:val="20"/>
                <w:color w:val="auto"/>
              </w:rPr>
            </w:pPr>
            <w:r>
              <w:rPr>
                <w:rFonts w:ascii="Arial" w:cs="Arial" w:eastAsia="Arial" w:hAnsi="Arial"/>
                <w:sz w:val="17"/>
                <w:szCs w:val="17"/>
                <w:color w:val="auto"/>
              </w:rPr>
              <w:t>Kurt A. Brykman</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line="165" w:lineRule="exact"/>
              <w:rPr>
                <w:sz w:val="20"/>
                <w:szCs w:val="20"/>
                <w:color w:val="auto"/>
              </w:rPr>
            </w:pPr>
            <w:r>
              <w:rPr>
                <w:rFonts w:ascii="Arial" w:cs="Arial" w:eastAsia="Arial" w:hAnsi="Arial"/>
                <w:sz w:val="17"/>
                <w:szCs w:val="17"/>
                <w:color w:val="auto"/>
              </w:rPr>
              <w:t>$225,217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65"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336,400</w:t>
            </w:r>
          </w:p>
        </w:tc>
        <w:tc>
          <w:tcPr>
            <w:tcW w:w="120" w:type="dxa"/>
            <w:vAlign w:val="bottom"/>
          </w:tcPr>
          <w:p>
            <w:pPr>
              <w:jc w:val="right"/>
              <w:spacing w:after="0" w:line="165"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239,000</w:t>
            </w:r>
          </w:p>
        </w:tc>
        <w:tc>
          <w:tcPr>
            <w:tcW w:w="320" w:type="dxa"/>
            <w:vAlign w:val="bottom"/>
            <w:gridSpan w:val="2"/>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40"/>
              <w:spacing w:after="0" w:line="165" w:lineRule="exact"/>
              <w:rPr>
                <w:sz w:val="20"/>
                <w:szCs w:val="20"/>
                <w:color w:val="auto"/>
              </w:rPr>
            </w:pPr>
            <w:r>
              <w:rPr>
                <w:rFonts w:ascii="Arial" w:cs="Arial" w:eastAsia="Arial" w:hAnsi="Arial"/>
                <w:sz w:val="17"/>
                <w:szCs w:val="17"/>
                <w:color w:val="auto"/>
              </w:rPr>
              <w:t>525,508</w:t>
            </w:r>
          </w:p>
        </w:tc>
        <w:tc>
          <w:tcPr>
            <w:tcW w:w="260" w:type="dxa"/>
            <w:vAlign w:val="bottom"/>
            <w:gridSpan w:val="2"/>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1,326,125</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0"/>
              <w:spacing w:after="0"/>
              <w:rPr>
                <w:sz w:val="20"/>
                <w:szCs w:val="20"/>
                <w:color w:val="auto"/>
              </w:rPr>
            </w:pPr>
            <w:r>
              <w:rPr>
                <w:rFonts w:ascii="Arial" w:cs="Arial" w:eastAsia="Arial" w:hAnsi="Arial"/>
                <w:sz w:val="17"/>
                <w:szCs w:val="17"/>
                <w:i w:val="1"/>
                <w:iCs w:val="1"/>
                <w:color w:val="auto"/>
              </w:rPr>
              <w:t xml:space="preserve">Former Chief Operating Officer, CRO Operations </w:t>
            </w:r>
            <w:r>
              <w:rPr>
                <w:rFonts w:ascii="Arial" w:cs="Arial" w:eastAsia="Arial" w:hAnsi="Arial"/>
                <w:sz w:val="14"/>
                <w:szCs w:val="14"/>
                <w:i w:val="1"/>
                <w:iCs w:val="1"/>
                <w:color w:val="auto"/>
              </w:rPr>
              <w:t>(1)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left="340" w:hanging="305"/>
        <w:spacing w:after="0"/>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Mr. Brykman’s employment ended on July 14, 2015. Mr. Brykman’s salary shown in the table is the salary he received from January 1, 2015 through his termination date.</w:t>
      </w:r>
    </w:p>
    <w:p>
      <w:pPr>
        <w:spacing w:after="0" w:line="30" w:lineRule="exact"/>
        <w:rPr>
          <w:rFonts w:ascii="Arial" w:cs="Arial" w:eastAsia="Arial" w:hAnsi="Arial"/>
          <w:sz w:val="24"/>
          <w:szCs w:val="24"/>
          <w:color w:val="auto"/>
          <w:vertAlign w:val="superscript"/>
        </w:rPr>
      </w:pPr>
    </w:p>
    <w:p>
      <w:pPr>
        <w:ind w:left="340" w:hanging="305"/>
        <w:spacing w:after="0" w:line="189" w:lineRule="auto"/>
        <w:tabs>
          <w:tab w:leader="none" w:pos="340" w:val="left"/>
        </w:tabs>
        <w:numPr>
          <w:ilvl w:val="0"/>
          <w:numId w:val="59"/>
        </w:numPr>
        <w:rPr>
          <w:rFonts w:ascii="Arial" w:cs="Arial" w:eastAsia="Arial" w:hAnsi="Arial"/>
          <w:sz w:val="19"/>
          <w:szCs w:val="19"/>
          <w:color w:val="auto"/>
          <w:vertAlign w:val="superscript"/>
        </w:rPr>
      </w:pPr>
      <w:r>
        <w:rPr>
          <w:rFonts w:ascii="Arial" w:cs="Arial" w:eastAsia="Arial" w:hAnsi="Arial"/>
          <w:sz w:val="12"/>
          <w:szCs w:val="12"/>
          <w:color w:val="auto"/>
        </w:rPr>
        <w:t>The amounts shown in the table represent 2015 earned annual bonus paid to Mr. Geiger and Ms. Burwig of $71,750 and $62,900, respectively.</w:t>
      </w:r>
    </w:p>
    <w:p>
      <w:pPr>
        <w:spacing w:after="0" w:line="30" w:lineRule="exact"/>
        <w:rPr>
          <w:rFonts w:ascii="Arial" w:cs="Arial" w:eastAsia="Arial" w:hAnsi="Arial"/>
          <w:sz w:val="19"/>
          <w:szCs w:val="19"/>
          <w:color w:val="auto"/>
          <w:vertAlign w:val="superscript"/>
        </w:rPr>
      </w:pPr>
    </w:p>
    <w:p>
      <w:pPr>
        <w:ind w:left="340" w:right="100" w:hanging="305"/>
        <w:spacing w:after="0" w:line="221"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All stock awards granted to NEOs during 2015 are valued based on the aggregate grant date fair value of such stock awards, computed in accordance with FASB ASC Topic 718, “Compensation-Stock Compensation” (“ASC 718”), and do not represent amounts paid to or realized by the NEO. We provide information regarding the assumptions used to calculate the value of all stock awards made to executive officers in 2015 in Note 8 to our audited consolidated financial statements included elsewhere in this prospectus. As described below under “Narrative to Summary Compensation Table,” all stock awards, except Dr. Troendle’s July 31, 2015 grant of 475,000 vested shares, were, immediately upon grant (net of any shares surrendered in respect of tax withholding obligations), contributed by the NEO to MPI in exchange for incentive units of MPI. Upon Mr. Brykman’s termination of employment, his vested restricted shares (which had been exchanged for incentive units of MPI) were repurchased and his unvested restricted shares (which had been exchanged for incentive units of MPI) were forfeited.</w:t>
      </w:r>
    </w:p>
    <w:p>
      <w:pPr>
        <w:spacing w:after="0" w:line="31" w:lineRule="exact"/>
        <w:rPr>
          <w:rFonts w:ascii="Arial" w:cs="Arial" w:eastAsia="Arial" w:hAnsi="Arial"/>
          <w:sz w:val="24"/>
          <w:szCs w:val="24"/>
          <w:color w:val="auto"/>
          <w:vertAlign w:val="superscript"/>
        </w:rPr>
      </w:pPr>
    </w:p>
    <w:p>
      <w:pPr>
        <w:ind w:left="340" w:right="60" w:hanging="305"/>
        <w:spacing w:after="0" w:line="208"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All stock option awards granted to any NEOs have been valued based on the fair value of the option awards computed in accordance with ASC 718, and do not represent amounts realized by the NEO. We provide information regarding the assumptions used to calculate the value of all option awards made to executive officers in 2015 in Note 8 to our audited consolidated financial statements included elsewhere in this prospectus. Upon Mr. Brykman’s termination of employment, he forfeited all his stock options, as they had not yet vested.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right="40" w:hanging="305"/>
        <w:spacing w:after="0" w:line="199" w:lineRule="auto"/>
        <w:tabs>
          <w:tab w:leader="none" w:pos="3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This column shows the following amounts for Mr. Brykman: $37,359 in relocation reimbursement assistance, a $212,641 relocation balance payment, a lump sum severance payment of $268,715, $1,793 in assistance towards benefit continuation under COBRA and $5,000 in fees for service as a member of our Board following his employment end date. The amount shown in this column for Mr. Geiger consists exclusively of fully vested 401(k) matching contributions paid to his account by the Company.</w:t>
      </w:r>
    </w:p>
    <w:p>
      <w:pPr>
        <w:spacing w:after="0" w:line="98" w:lineRule="exact"/>
        <w:rPr>
          <w:rFonts w:ascii="Arial" w:cs="Arial" w:eastAsia="Arial" w:hAnsi="Arial"/>
          <w:sz w:val="24"/>
          <w:szCs w:val="24"/>
          <w:color w:val="auto"/>
          <w:vertAlign w:val="superscript"/>
        </w:rPr>
      </w:pPr>
    </w:p>
    <w:p>
      <w:pPr>
        <w:ind w:left="360"/>
        <w:spacing w:after="0" w:line="244" w:lineRule="auto"/>
        <w:rPr>
          <w:rFonts w:ascii="Arial" w:cs="Arial" w:eastAsia="Arial" w:hAnsi="Arial"/>
          <w:sz w:val="24"/>
          <w:szCs w:val="24"/>
          <w:color w:val="auto"/>
          <w:vertAlign w:val="superscript"/>
        </w:rPr>
      </w:pPr>
      <w:r>
        <w:rPr>
          <w:rFonts w:ascii="Arial" w:cs="Arial" w:eastAsia="Arial" w:hAnsi="Arial"/>
          <w:sz w:val="14"/>
          <w:szCs w:val="14"/>
          <w:color w:val="auto"/>
        </w:rPr>
        <w:t>The amounts shown in this column for Dr. Troendle and Ms. Burwig consist of fully vested 401(k) matching contributions of $10,600 each paid to their respective accounts by the Company and incremental costs of $102,937 and $10,000, respectively, attributable to personal usage of Company provided aircraft paid for by the Company on their behalf. For multi-leg hybrid flights in which at least one leg consists of personal use, the incremental cost of personal use is calculated based on the difference between the actual cost of the personal and business legs of the flight and the hypothetical cost that would have been incurred if only the business legs of the flight occurred, using costs provided by the chartered jet service provider. Pursuant to Company policy, for personal use of Company provided aircraft in which both Dr. Troendle and Ms. Burwig are present, incremental cost is allocated to Dr. Troendle for purposes of the Summary Compensation Table unless the incremental cost specifically relates to Ms. Burwig. See “—Narrative to Summary Compensation Table—Aircraft Usage.”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41"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NEOs receive base salaries to compensate them for services rendered to our company. The base salary payable to each NEO is intended to provide a fixed component of compensation reflecting the executive’s skill set, experience, role and responsibilities.</w:t>
      </w:r>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Dr. Troendle is party to an employment agreement with the Company (as described below), which provides for a base salary of $410,000 per annum. After entering into his employment agreement and prior to 2015, Dr. Troendle requested and received a lower base salary equal to $120,000 per annum. Effective on March 1, 2015 and consistent with our merit cycle, Dr. Troendle’s base salary was adjusted from $120,000 to $227,500 per annum. A second adjustment was confirmed and made effective on September 1, 2015, which adjusted Dr. Troendle’s base salary from $227,500 to $410,000 per annum to bring his base salary in line with his employment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Effective March 1, 2015 and consistent with our merit cycle, Ms. Burwig’s base salary was adjusted from $317,099 to $357,099 per annum.</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During 2016, in addition to our normal merit cycle, we intend to perform a comprehensive market review of the compensation of the senior executives of the Company, including the NEOs (other than Mr. Brykman).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Discretionary Annual Bonuses</w:t>
      </w:r>
    </w:p>
    <w:p>
      <w:pPr>
        <w:spacing w:after="0" w:line="4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In 2015, each of our NEOs was eligible for an annual discretionary cash bonus determined by Dr. Troendle. Our discretionary bonuses have been intended to reward past performance as well as to provide incentives for future performance.</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Dr. Troendle did not award himself an annual bonus in 2015. For 2015, each other NEO had a target annual bonus of 35% of his or her annual base salary. Dr. Troendle based his determination of such bonus amounts on a subjective evaluation of individual and Company performance for 2015. Mr. Brykman did not receive an annual bonus for 2015 because his employment ended prior to the end of the year.</w:t>
      </w:r>
    </w:p>
    <w:p>
      <w:pPr>
        <w:spacing w:after="0" w:line="148" w:lineRule="exact"/>
        <w:rPr>
          <w:sz w:val="20"/>
          <w:szCs w:val="20"/>
          <w:color w:val="auto"/>
        </w:rPr>
      </w:pPr>
    </w:p>
    <w:p>
      <w:pPr>
        <w:ind w:right="2760"/>
        <w:spacing w:after="0" w:line="323" w:lineRule="auto"/>
        <w:rPr>
          <w:sz w:val="20"/>
          <w:szCs w:val="20"/>
          <w:color w:val="auto"/>
        </w:rPr>
      </w:pPr>
      <w:r>
        <w:rPr>
          <w:rFonts w:ascii="Arial" w:cs="Arial" w:eastAsia="Arial" w:hAnsi="Arial"/>
          <w:sz w:val="17"/>
          <w:szCs w:val="17"/>
          <w:color w:val="auto"/>
        </w:rPr>
        <w:t xml:space="preserve">The actual bonuses paid for 2015 are shown in the Summary Compensation Table in the column entitled “Bonus.” </w:t>
      </w:r>
      <w:r>
        <w:rPr>
          <w:rFonts w:ascii="Arial" w:cs="Arial" w:eastAsia="Arial" w:hAnsi="Arial"/>
          <w:sz w:val="17"/>
          <w:szCs w:val="17"/>
          <w:b w:val="1"/>
          <w:bCs w:val="1"/>
          <w:i w:val="1"/>
          <w:iCs w:val="1"/>
          <w:color w:val="auto"/>
        </w:rPr>
        <w:t>Equity Compensation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granted equity awards to certain of our employees, including the NEOs, pursuant to the Medpace (formerly known as Scioto Holdings, Inc.) 2014 Equity Incentive Plan. The 2014 Equity Incentive Plan provides for the grant of stock options, restricted shares, fully vested shares and restricted stock units. Stock options have historically been granted at a premium exercise price exceeding fair market value on the date of grant. As a condition to exercising stock options and acceptance of certain restricted shares, employees must execute a Contribution and Subscription Agreement that provides for the exchange of the shares issued for incentive units in MPI upon the occurrence of certain events. The incentive units are tied directly to common stock ownership of Medpace and entitle the incentive unit holder to participate in the risks and rewards of owning Medpace stock (including any vesting risk) through ownership in MPI.</w:t>
      </w:r>
    </w:p>
    <w:p>
      <w:pPr>
        <w:spacing w:after="0" w:line="151"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Dr. Troendle was awarded two equity grants on July 31, 2015. One grant was for 475,000 fully vested shares of common stock outside of the 2014 Equity Incentive Plan. The other grant was for 340,000 restricted shares under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2014 Equity Incentive Plan, 50% of which were scheduled to vest on December 31, 2015 and the remaining 50% of which were scheduled to vest on December 31, 2016. The grant of 340,000 restricted shares was immediately exchanged for incentive units of MPI, as required by the 2014 Equity Incentive Plan.</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Mr. Geiger and Ms. Burwig were granted shares in 2014 (which were immediately exchanged for incentive units of MPI), of which 40% were immediately vested shares and the remaining 60% were restricted shares originally scheduled to vest in equal annual installments on each of the first three anniversaries of the date of grant.</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December 31, 2015, the Company accelerated the vesting of all outstanding, restricted shares awarded pursuant to the 2014 Equity Incentive Plan, including Dr. Troendle’s, Mr. Geiger’s and Ms. Burwig’s restricted shares (which were previously exchanged for incentive units in MPI).</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Mr. Brykman was granted 40,000 shares of the Company’s common stock on March 23, 2015 (which were immediately exchanged for incentive units of MPI), of which 40% were immediately vested shares and the remaining 60% were restricted shares originally scheduled to vest in equal annual installments on each of the first three anniversaries from the date of grant. Upon Mr. Brykman’s termination of employment in July 2015, his 16,000 vested shares (which had been exchanged for incentive units of MPI) were repurchased by MPI for cash in an amount equal to 80% of their fair market value ($102,400). Mr. Brykman’s 24,000 restricted shares (which were immediately exchanged for incentive units of MPI), were unvested and therefore forfeited upon Mr. Brykman’s termination of employment.</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On March 23, 2015, Mr. Brykman was granted stock options with respect to 100,000 shares of our common stock under the 2014 Equity Incentive Plan, subject to vesting in substantially equal installments over a four-year period. All such options were unvested as of his termination of employment and, accordingly, he forfeited them in connection with his termination of employment.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adopted, and our shareholders have approved, the 2016 Incentive Award Plan, or the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is essential to our long-term success. For additional information about the Plan, please see the section titled “Equity Incentive Plans” below.</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Grants to Employees under the 2016 Incentive Award Plan</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this offering, under the Plan, we intend to grant to certain of our employees equity awards with respect to an aggregate of up to 2% of our fully diluted shares of common stock outstanding immediately following the completion of this offering. We have not yet determined the allocation of such equity awards among the individuals or the terms of such awards.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12"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We currently maintain a 401(k) retirement savings plan for our U.S. employees, including our NEOs, who satisfy certain eligibility requirements. Our NEOs are eligible to participate in the 401(k) plan on the same terms as other full-time U.S. employees. The U.S. Internal Revenue Code of 1986, as amended, or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beginning in the calendar year following the first anniversary of employment. Matching contributions cliff-vest on the employee’s third anniversary with the Company. We believe that providing a vehicle for tax-deferred retirement savings though our 401(k) plan and making matching contributions that vest over a defined period add to the overall desirability of our executive compensation package and further incentivize our employees, including our NEOs, in accordance with our compensation policies. We do not currently maintain any defined benefit pension plans or deferred compensation plans.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 and Perquisites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All of our full-time U.S. employees, including our NEOs, are eligible to participate in our health and welfare plans, including:</w:t>
      </w:r>
    </w:p>
    <w:p>
      <w:pPr>
        <w:spacing w:after="0" w:line="113" w:lineRule="exact"/>
        <w:rPr>
          <w:sz w:val="20"/>
          <w:szCs w:val="20"/>
          <w:color w:val="auto"/>
        </w:rPr>
      </w:pPr>
    </w:p>
    <w:p>
      <w:pPr>
        <w:ind w:left="800" w:hanging="454"/>
        <w:spacing w:after="0"/>
        <w:tabs>
          <w:tab w:leader="none" w:pos="800" w:val="left"/>
        </w:tabs>
        <w:numPr>
          <w:ilvl w:val="0"/>
          <w:numId w:val="61"/>
        </w:numPr>
        <w:rPr>
          <w:rFonts w:ascii="Arial" w:cs="Arial" w:eastAsia="Arial" w:hAnsi="Arial"/>
          <w:sz w:val="25"/>
          <w:szCs w:val="25"/>
          <w:color w:val="auto"/>
          <w:vertAlign w:val="superscript"/>
        </w:rPr>
      </w:pPr>
      <w:r>
        <w:rPr>
          <w:rFonts w:ascii="Arial" w:cs="Arial" w:eastAsia="Arial" w:hAnsi="Arial"/>
          <w:sz w:val="17"/>
          <w:szCs w:val="17"/>
          <w:color w:val="auto"/>
        </w:rPr>
        <w:t>medical, dental and vision benefits;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1"/>
        </w:numPr>
        <w:rPr>
          <w:rFonts w:ascii="Arial" w:cs="Arial" w:eastAsia="Arial" w:hAnsi="Arial"/>
          <w:sz w:val="23"/>
          <w:szCs w:val="23"/>
          <w:color w:val="auto"/>
          <w:vertAlign w:val="superscript"/>
        </w:rPr>
      </w:pPr>
      <w:r>
        <w:rPr>
          <w:rFonts w:ascii="Arial" w:cs="Arial" w:eastAsia="Arial" w:hAnsi="Arial"/>
          <w:sz w:val="16"/>
          <w:szCs w:val="16"/>
          <w:color w:val="auto"/>
        </w:rPr>
        <w:t>short-term and long-term disability insurance;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61"/>
        </w:numPr>
        <w:rPr>
          <w:rFonts w:ascii="Arial" w:cs="Arial" w:eastAsia="Arial" w:hAnsi="Arial"/>
          <w:sz w:val="23"/>
          <w:szCs w:val="23"/>
          <w:color w:val="auto"/>
          <w:vertAlign w:val="superscript"/>
        </w:rPr>
      </w:pPr>
      <w:r>
        <w:rPr>
          <w:rFonts w:ascii="Arial" w:cs="Arial" w:eastAsia="Arial" w:hAnsi="Arial"/>
          <w:sz w:val="16"/>
          <w:szCs w:val="16"/>
          <w:color w:val="auto"/>
        </w:rPr>
        <w:t>life insurance.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provided Mr. Brykman with a relocation package in order to facilitate his relocation to the Cincinnati area upon joining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benefits and perquisites described above are necessary and appropriate to provide a competitive compensation package to our NEOs.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Aircraft Usage</w:t>
      </w:r>
    </w:p>
    <w:p>
      <w:pPr>
        <w:spacing w:after="0" w:line="3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The Company utilizes Reynolds Jet Management, a chartered jet service provider, to arrange for use of a personal aircraft owned by ATSB Aviation, which is owned by Dr. Troendle and Ms. Burwig, to allow executive officers to safely and efficiently travel for business purposes. Company provided aircraft allow executive officers to be more productive than if commercial flights were utilized, as the aircraft provides a conducive business environment without the scheduling constraints imposed by commercial airline services.</w:t>
      </w:r>
    </w:p>
    <w:p>
      <w:pPr>
        <w:spacing w:after="0" w:line="149"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Depending on availability, family members of executive officers are permitted to accompany the executive officers on the aircraft when it is already going to a specific destination for a business purpose. Because the aircraft is chartered based on flight hours regardless of the passenger load, the aggregate incremental cost to the Company for any additional personal use by passengers is de minimis.</w:t>
      </w:r>
    </w:p>
    <w:p>
      <w:pPr>
        <w:spacing w:after="0" w:line="148"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In addition, executive officers periodically use Company provided aircraft for multi-leg hybrid flights in which at least one leg consists of personal use. The aggregate incremental cost to the Company of such personal usage in 2015 is shown in the Summary Compensation Table above. Any personal passenger(s) on board would result in imputed income to the executive officers using the IRS Standard Industry Fare Level calculation. The Company does not provide gross-ups with respect to any income taxes incurred by the executive officers in connection with the personal use of aircraft.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do not maintain a formal severance policy, and any severance we provide to our NEOs is individually negotiated. In exchange for a release of claims, we provided Mr. Brykman with cash severance and reimbursement of COBRA benefits in connection with his termination of employment in July 2015 in the amounts shown in the Summary Compensation Table in the column entitled “All Other Compensation.”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Tax Gross-Ups</w:t>
      </w:r>
    </w:p>
    <w:p>
      <w:pPr>
        <w:spacing w:after="0" w:line="39"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We do not make gross-up payments to cover our NEOs’ personal income taxes that may pertain to any of the compensation or perquisites paid or provided by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3"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 following table summarizes the number of shares of common stock underlying outstanding equity incentive plan awards for each NEO as of December 31, 2015.</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UNEXERCISED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GRANT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4740" w:type="dxa"/>
            <w:vAlign w:val="bottom"/>
            <w:gridSpan w:val="2"/>
            <w:vMerge w:val="continue"/>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DATE</w:t>
            </w: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EXERCISABLE</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August J. Troendle</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(2)</w:t>
            </w:r>
          </w:p>
        </w:tc>
        <w:tc>
          <w:tcPr>
            <w:tcW w:w="12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7/7/2014</w:t>
            </w:r>
          </w:p>
        </w:tc>
        <w:tc>
          <w:tcPr>
            <w:tcW w:w="15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8,750</w:t>
            </w:r>
          </w:p>
        </w:tc>
        <w:tc>
          <w:tcPr>
            <w:tcW w:w="15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56,250</w:t>
            </w:r>
          </w:p>
        </w:tc>
        <w:tc>
          <w:tcPr>
            <w:tcW w:w="44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10.67</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189"/>
        </w:trPr>
        <w:tc>
          <w:tcPr>
            <w:tcW w:w="47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(2)</w:t>
            </w:r>
          </w:p>
        </w:tc>
        <w:tc>
          <w:tcPr>
            <w:tcW w:w="12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7/7/2014</w:t>
            </w:r>
          </w:p>
        </w:tc>
        <w:tc>
          <w:tcPr>
            <w:tcW w:w="15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12,500</w:t>
            </w:r>
          </w:p>
        </w:tc>
        <w:tc>
          <w:tcPr>
            <w:tcW w:w="15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37,500</w:t>
            </w:r>
          </w:p>
        </w:tc>
        <w:tc>
          <w:tcPr>
            <w:tcW w:w="44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10.67</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205"/>
        </w:trPr>
        <w:tc>
          <w:tcPr>
            <w:tcW w:w="4740" w:type="dxa"/>
            <w:vAlign w:val="bottom"/>
            <w:gridSpan w:val="2"/>
          </w:tcPr>
          <w:p>
            <w:pPr>
              <w:spacing w:after="0"/>
              <w:rPr>
                <w:sz w:val="20"/>
                <w:szCs w:val="20"/>
                <w:color w:val="auto"/>
              </w:rPr>
            </w:pPr>
            <w:r>
              <w:rPr>
                <w:rFonts w:ascii="Arial" w:cs="Arial" w:eastAsia="Arial" w:hAnsi="Arial"/>
                <w:sz w:val="17"/>
                <w:szCs w:val="17"/>
                <w:color w:val="auto"/>
              </w:rPr>
              <w:t>Kurt A. Brykman</w:t>
            </w: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p>
      <w:pPr>
        <w:ind w:left="340" w:hanging="305"/>
        <w:spacing w:after="0"/>
        <w:tabs>
          <w:tab w:leader="none" w:pos="3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This table does not reflect any fully vested restricted shares (which had been exchanged for incentive units of MPI) held by the NEOs as of December 31, 2015.</w:t>
      </w:r>
    </w:p>
    <w:p>
      <w:pPr>
        <w:spacing w:after="0" w:line="30" w:lineRule="exact"/>
        <w:rPr>
          <w:rFonts w:ascii="Arial" w:cs="Arial" w:eastAsia="Arial" w:hAnsi="Arial"/>
          <w:sz w:val="24"/>
          <w:szCs w:val="24"/>
          <w:color w:val="auto"/>
          <w:vertAlign w:val="superscript"/>
        </w:rPr>
      </w:pPr>
    </w:p>
    <w:p>
      <w:pPr>
        <w:ind w:left="340" w:right="80" w:hanging="305"/>
        <w:spacing w:after="0" w:line="183" w:lineRule="auto"/>
        <w:tabs>
          <w:tab w:leader="none" w:pos="3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Mr. Geiger and Ms. Burwig were each granted stock options that vest in equal annual installments over a four-year period (i.e., 25% vest on each grant date anniversary). On September 22, 2015, Mr. Geiger elected to exercise 10,000 of the 18,750 options that vested on July 7, 2015, leaving him with 8,750 vested but not exercised options.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93"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Dr. August J. Troendle is party to an employment agreement with the Company, effective as of June 17, 2011, which provides for a three-year initial term followed by successive one-year terms, but it may be terminated by either party at any time upon 30 days’ advance written notice.</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Dr. Troendle’s employment agreement provides for Dr. Troendle’s position as our Chief Executive Officer. Under the agreement, Dr. Troendle’s annual base salary is $410,000. The agreement also provides that Dr. Troendle will be eligible to receive an annual cash bonus, provided that he remains employed by us at the time we pay annual bonuses generally, based upon achievement of performance objectives and individual goals established by our Board. The agreement also provides for Dr. Troendle’s participation in all employee benefit plans and programs made available by the Company to our executives and the reimbursement of all reasonable business expenses incurred by Dr. Troendle.</w:t>
      </w:r>
    </w:p>
    <w:p>
      <w:pPr>
        <w:spacing w:after="0" w:line="15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Dr. Troendle’s employment agreement does not provide for any severance benefits upon termination other than the payment of accrued and unpaid base salary, any reimbursement due for incurred business expenses and any benefits due under our 401(k) plan in accordance with the terms of that plan. Upon termination, the treatment of any stock-based awards is governed by the terms of the applicable plan and grant agreement.</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and Dr. Troendle intend to enter into an amended and restated employment agreement, which will have a three-year term beginning upon the consummation of this offering, followed by successive one-year terms. The material terms of the amended and restated employment agreement are substantially the same as those of the existing employment agreement, as described above. The amended and restated employment agreement will also provide that the Company will cause Dr. Troendle to be appointed to the Board as of the effective date and will propose that he be nominated for re-election during the term.</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None of our other executive officers is party to an employment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None of our directors received compensation as a director for the fiscal year ended December 31, 2015, except for Mr. Brykman, who received $5,000 in fees for service as a director as indicated in the Summary Compensation Table.</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adopted a compensation policy that, effective upon the closing of this offering, will be applicable to all of our non-employee directors. Pursuant to this policy, each eligible non-employee director will receive an annual cash retainer of $40,000. Each compensation committee member will receive an additional annual cash retainer of $7,500. Each audit committee member other than the committee chairperson will receive an additional annual cash retainer of $7,500 and the committee chairperson will receive an additional annual cash retainer of $20,000. Each annual retainer will be paid quarterly in arrears. In the case of the non-employee directors affiliated with Cinven, such retainers will be paid directly to Cinven and not to the directors individually. The Board may, in its discretion, permit a non-employee director to elect to receive any portion of the annual retainer in the form of fully vested and unrestricted shares of common stock in lieu of cash.</w:t>
      </w:r>
    </w:p>
    <w:p>
      <w:pPr>
        <w:spacing w:after="0" w:line="15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Also, pursuant to the director compensation policy, on the date of any annual meeting of our shareholders, we intend to grant each non-employee director other than those affiliated with Cinven an award of an option to purchase the numbers of shares of common stock (at a per-share exercise price equal to the closing price per share of the common stock on the date of such annual meeting (or on the last preceding trading day)) that have a grant date fair value of $90,000. The terms of each such award will be set forth in a written award agreement between each director and us, which will generally provide for vesting after one year of continued service as a director. Any director elected or appointed mid-year will receive a pro-rated portion of the annual award adjusted to reflect his or her period of service. Restricted stock units may be granted in lieu of an option for the initial award.</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cash and equity awards granted under the non-employee director compensation policy will be granted under, and subject to the limits of, the Plan.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4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maintain the 2014 Equity Incentive Plan, as described above. On and after the closing of this offering and following the effectiveness of the Plan (as described below), no further grants will be made under the 2014 Equity Incentive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Incentive Award Plan</w:t>
      </w:r>
    </w:p>
    <w:p>
      <w:pPr>
        <w:spacing w:after="0" w:line="4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We have adopted, and our shareholders have approved, the Plan, under which we may grant cash and equity incentive awards to eligible service providers in order to attract, motivate and retain the talent for which we compete. The material terms of the Plan are summarized below.</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employees, consultants and directors of our subsidiaries are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awards under the Plan. The Plan is administered by our Board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162(m) of the Code, Section 16 of the Exchange Act and/or stock exchange rules, as applicable. The plan administrator has the authority to make all determinations and interpretations under, prescribe all forms for use with, and adopt rules for the administration of, the Plan, subject to its express terms and conditions. The plan administrator also sets the terms and conditions of all awards under the Plan, including any vesting and vesting acceleration conditions.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i w:val="1"/>
          <w:iCs w:val="1"/>
          <w:color w:val="auto"/>
        </w:rPr>
        <w:t>Limitation on Awards and Shares Available</w:t>
      </w:r>
      <w:r>
        <w:rPr>
          <w:rFonts w:ascii="Arial" w:cs="Arial" w:eastAsia="Arial" w:hAnsi="Arial"/>
          <w:sz w:val="17"/>
          <w:szCs w:val="17"/>
          <w:color w:val="auto"/>
        </w:rPr>
        <w:t>. An aggregate of shares of our common stock (including the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issuable pursuant to the equity awards intended to be granted in connection with this offering) are available for issuance under awards granted pursuant to the Plan, which shares may be authorized but unissued shares, or shares purchased in the open market. If an award under the Plan is forfeited, expires, is converted to shares of another entity in connection with a change in capitalization or is settled for cash, any shares subject to such award may, to the extent of such forfeiture, expiration or cash settlement, be used again for new grants under the Plan. However, the following shares may not be used again for grant under the Plan: (1) shares tendered or withheld to satisfy grant or exercise price or tax withholding obligations associated with an award; (2) shares subject to a stock appreciation right, or SAR, that are not issued in connection with the stock settlement of the SAR on its exercise; and (3) shares purchased on the open market with the cash proceeds from the exercise of options.</w:t>
      </w:r>
    </w:p>
    <w:p>
      <w:pPr>
        <w:spacing w:after="0" w:line="14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Awards granted under the Plan upon the assumption of, or in substitution for, awards authorized or outstanding under a qualifying equity plan maintained by an entity with which we enter into a merger or similar corporate transaction will not reduce the shares available for grant under the Plan. The maximum number of shares of our common stock that may be subject to one or more awards granted to any participant pursuant to the Plan</w:t>
      </w:r>
    </w:p>
    <w:p>
      <w:pPr>
        <w:ind w:right="20"/>
        <w:spacing w:after="0" w:line="236" w:lineRule="auto"/>
        <w:rPr>
          <w:sz w:val="20"/>
          <w:szCs w:val="20"/>
          <w:color w:val="auto"/>
        </w:rPr>
      </w:pPr>
      <w:r>
        <w:rPr>
          <w:rFonts w:ascii="Arial" w:cs="Arial" w:eastAsia="Arial" w:hAnsi="Arial"/>
          <w:sz w:val="17"/>
          <w:szCs w:val="17"/>
          <w:color w:val="auto"/>
        </w:rPr>
        <w:t>during any calendar year is and the maximum amount that may be paid under a cash award pursuant to the Plan to any one participant during any calendar year period is $5,000,000; provided that these limitations will not apply until Section 162(m) applies to certain awards under the Plan (as described below). Further, the sum of the grant date fair value of equity-based awards and the amount of any cash compensation granted to a non-employee director during any calendar year shall be $400,000.</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Plan provides for the grant of stock options, including incentive stock options, or ISOs, and nonqualified stock options, or NSOs,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or SARS, restricted stock, restricted stock units, or RSUs, and other stock or cash based awards. Certain awards under the Plan may constitute or provide for a deferral of compensation, subject to Section 409A of the Code, which may impose additional requirements on the terms and conditions of such awards. All awards under the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353" w:lineRule="exact"/>
        <w:rPr>
          <w:sz w:val="20"/>
          <w:szCs w:val="20"/>
          <w:color w:val="auto"/>
        </w:rPr>
      </w:pPr>
    </w:p>
    <w:p>
      <w:pPr>
        <w:ind w:left="800" w:right="20" w:hanging="454"/>
        <w:spacing w:after="0" w:line="212" w:lineRule="auto"/>
        <w:tabs>
          <w:tab w:leader="none" w:pos="800" w:val="left"/>
        </w:tabs>
        <w:numPr>
          <w:ilvl w:val="0"/>
          <w:numId w:val="63"/>
        </w:numPr>
        <w:rPr>
          <w:rFonts w:ascii="Arial" w:cs="Arial" w:eastAsia="Arial" w:hAnsi="Arial"/>
          <w:sz w:val="25"/>
          <w:szCs w:val="25"/>
          <w:color w:val="auto"/>
          <w:vertAlign w:val="superscript"/>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ISOs, by contrast to NSOs, may provide tax deferral beyond exercise and favorable capital gains tax treatment to their holders if certain holding period and other requirements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80"/>
        <w:spacing w:after="0" w:line="235" w:lineRule="auto"/>
        <w:rPr>
          <w:sz w:val="20"/>
          <w:szCs w:val="20"/>
          <w:color w:val="auto"/>
        </w:rPr>
      </w:pPr>
      <w:r>
        <w:rPr>
          <w:rFonts w:ascii="Arial" w:cs="Arial" w:eastAsia="Arial" w:hAnsi="Arial"/>
          <w:sz w:val="17"/>
          <w:szCs w:val="17"/>
          <w:color w:val="auto"/>
        </w:rPr>
        <w:t>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11" w:lineRule="exact"/>
        <w:rPr>
          <w:sz w:val="20"/>
          <w:szCs w:val="20"/>
          <w:color w:val="auto"/>
        </w:rPr>
      </w:pPr>
    </w:p>
    <w:p>
      <w:pPr>
        <w:ind w:left="800" w:hanging="454"/>
        <w:spacing w:after="0" w:line="219"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0" w:lineRule="exact"/>
        <w:rPr>
          <w:rFonts w:ascii="Arial" w:cs="Arial" w:eastAsia="Arial" w:hAnsi="Arial"/>
          <w:sz w:val="25"/>
          <w:szCs w:val="25"/>
          <w:color w:val="auto"/>
          <w:vertAlign w:val="superscript"/>
        </w:rPr>
      </w:pPr>
    </w:p>
    <w:p>
      <w:pPr>
        <w:ind w:left="800" w:right="100" w:hanging="454"/>
        <w:spacing w:after="0" w:line="221"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Restricted Stock and RSUs. </w:t>
      </w:r>
      <w:r>
        <w:rPr>
          <w:rFonts w:ascii="Arial" w:cs="Arial" w:eastAsia="Arial" w:hAnsi="Arial"/>
          <w:sz w:val="17"/>
          <w:szCs w:val="17"/>
          <w:color w:val="auto"/>
        </w:rPr>
        <w:t>Restricted stock is an award of nontransferable shares of our common stock that remain forfeitable unless and</w:t>
      </w:r>
      <w:r>
        <w:rPr>
          <w:rFonts w:ascii="Arial" w:cs="Arial" w:eastAsia="Arial" w:hAnsi="Arial"/>
          <w:sz w:val="17"/>
          <w:szCs w:val="17"/>
          <w:i w:val="1"/>
          <w:iCs w:val="1"/>
          <w:color w:val="auto"/>
        </w:rPr>
        <w:t xml:space="preserve"> </w:t>
      </w:r>
      <w:r>
        <w:rPr>
          <w:rFonts w:ascii="Arial" w:cs="Arial" w:eastAsia="Arial" w:hAnsi="Arial"/>
          <w:sz w:val="17"/>
          <w:szCs w:val="17"/>
          <w:color w:val="auto"/>
        </w:rPr>
        <w:t>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0" w:lineRule="exact"/>
        <w:rPr>
          <w:rFonts w:ascii="Arial" w:cs="Arial" w:eastAsia="Arial" w:hAnsi="Arial"/>
          <w:sz w:val="25"/>
          <w:szCs w:val="25"/>
          <w:color w:val="auto"/>
          <w:vertAlign w:val="superscript"/>
        </w:rPr>
      </w:pPr>
    </w:p>
    <w:p>
      <w:pPr>
        <w:ind w:left="800" w:right="240" w:hanging="454"/>
        <w:spacing w:after="0" w:line="212"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 awards are cash payments, cash bonus awards, stock payments, stock bonus</w:t>
      </w:r>
      <w:r>
        <w:rPr>
          <w:rFonts w:ascii="Arial" w:cs="Arial" w:eastAsia="Arial" w:hAnsi="Arial"/>
          <w:sz w:val="17"/>
          <w:szCs w:val="17"/>
          <w:i w:val="1"/>
          <w:iCs w:val="1"/>
          <w:color w:val="auto"/>
        </w:rPr>
        <w:t xml:space="preserve"> </w:t>
      </w:r>
      <w:r>
        <w:rPr>
          <w:rFonts w:ascii="Arial" w:cs="Arial" w:eastAsia="Arial" w:hAnsi="Arial"/>
          <w:sz w:val="17"/>
          <w:szCs w:val="17"/>
          <w:color w:val="auto"/>
        </w:rPr>
        <w:t>awards or incentive awards paid in cash, shares of our common stock or a combination of both, and may include deferred stock, deferred stock units, performance awards, retainers, committee fees and meeting based fees.</w:t>
      </w:r>
    </w:p>
    <w:p>
      <w:pPr>
        <w:spacing w:after="0" w:line="8" w:lineRule="exact"/>
        <w:rPr>
          <w:rFonts w:ascii="Arial" w:cs="Arial" w:eastAsia="Arial" w:hAnsi="Arial"/>
          <w:sz w:val="25"/>
          <w:szCs w:val="25"/>
          <w:color w:val="auto"/>
          <w:vertAlign w:val="superscript"/>
        </w:rPr>
      </w:pPr>
    </w:p>
    <w:p>
      <w:pPr>
        <w:ind w:left="800" w:right="100" w:hanging="454"/>
        <w:spacing w:after="0" w:line="219"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Dividend equivalents represent the right to receive the equivalent value of dividends paid on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 Dividend equivalents may not be paid on awards granted under the Plan unless and until such awards have vested.</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plan administrator will determine whether any awards are intended to constitute “qualified performance-based compensation,” or QPBC, within the meaning of Section 162(m) of the Code, in which case (unless the award is a stock option or SAR) the applicable performance criteria will be selected from the list below in accordance with the requirements of Section 162(m) of the Code.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Section 162(m) of the Code imposes a $1 million cap on the compensation deduction that a public company may take in respect of compensation paid to our “covered employees” (which should include our Chief Executive Officer and our next three most highly compensated employees other than our Chief Financial Officer), but excludes from the calculation of amounts subject to this limitation any amounts that constitute QPBC. Under current tax law, we do not expect Section 162(m) of the Code to apply to certain awards under the Plan until the earliest to occur of (1) our annual stockholders’ meeting at which members of our Board are to be elected that occurs after the close of the third calendar year following the calendar year in which occurred the first registration of our equity securities under Section 12 of the Exchange Act; (2) a material modification of the Plan; (3) an exhaustion of the share supply under the Plan; or (4) the expiration of the Plan. However, QPBC performance criteria may be used with respect to awards that are not intended to constitute QPBC. In addition, the Company may issue awards that are not intended to constitute QPBC even if such awards might be non-deductible as a result of Section 162(m) of the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order to constitute QPBC under Section 162(m) of the Code, in addition to certain other requirements, the relevant amounts must be payable only upon the attainment of pre-established, objective performance goals set by our compensation committee and linked to stockholder-approved performance criteria. For purposes of the Plan, one or more of the following performance criteria will be used in setting performance goals applicable to QPBC, and may be used in setting performance goals applicable to other awards: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w:t>
      </w:r>
    </w:p>
    <w:p>
      <w:pPr>
        <w:spacing w:after="0" w:line="1" w:lineRule="exact"/>
        <w:rPr>
          <w:sz w:val="20"/>
          <w:szCs w:val="20"/>
          <w:color w:val="auto"/>
        </w:rPr>
      </w:pPr>
    </w:p>
    <w:p>
      <w:pPr>
        <w:ind w:right="220" w:firstLine="8"/>
        <w:spacing w:after="0" w:line="232" w:lineRule="auto"/>
        <w:tabs>
          <w:tab w:leader="none" w:pos="37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w:t>
      </w:r>
    </w:p>
    <w:p>
      <w:pPr>
        <w:ind w:right="140" w:firstLine="8"/>
        <w:spacing w:after="0" w:line="235" w:lineRule="auto"/>
        <w:tabs>
          <w:tab w:leader="none" w:pos="494"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indices.The Plan also permits the plan administrator to provide for objectively determinable adjustments to the applicable performance criteria in setting performance goals for QPBC awards.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The plan administrator has broad discretion to take action under the Plan, as well as make adjustments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Plan and outstanding awards. In the event of a change in control of our company (as defined in the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i w:val="1"/>
          <w:iCs w:val="1"/>
          <w:color w:val="auto"/>
        </w:rPr>
        <w:t>Foreign Participants, Claw-Back Provisions, Transferability, and Participant Payments</w:t>
      </w:r>
      <w:r>
        <w:rPr>
          <w:rFonts w:ascii="Arial" w:cs="Arial" w:eastAsia="Arial" w:hAnsi="Arial"/>
          <w:sz w:val="17"/>
          <w:szCs w:val="17"/>
          <w:color w:val="auto"/>
        </w:rPr>
        <w:t>. 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Plan are generally non-transferable prior to vesting, and are exercisable only by the participant. With regard to tax withholding, exercise price and purchase price obligations arising in connection with awards under the Plan, the plan administrator may, in its discretion, accept cash or check, shares of our common stock that meet specified conditions, a “market sell order” or such other consideration as it deems suitable.</w:t>
      </w:r>
    </w:p>
    <w:p>
      <w:pPr>
        <w:spacing w:after="0" w:line="130"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i w:val="1"/>
          <w:iCs w:val="1"/>
          <w:color w:val="auto"/>
        </w:rPr>
        <w:t>Plan Amendment and Termination</w:t>
      </w:r>
      <w:r>
        <w:rPr>
          <w:rFonts w:ascii="Arial" w:cs="Arial" w:eastAsia="Arial" w:hAnsi="Arial"/>
          <w:sz w:val="17"/>
          <w:szCs w:val="17"/>
          <w:color w:val="auto"/>
        </w:rPr>
        <w:t>. Our Board may amend or terminate the Plan at any time; however, except in connection with certain changes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structure, stockholder approval will be required for any amendment that increases the number of shares available under the Plan, “reprices” any stock option or SAR, or cancels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stock option or SAR in exchange for cash or another award when the option or SAR price per share exceeds the fair market value of the underlying shares. No award may be granted pursuant to the Plan after the tenth anniversary of the date on which our Board adopted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Plan</w:t>
      </w:r>
    </w:p>
    <w:p>
      <w:pPr>
        <w:spacing w:after="0" w:line="73"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b w:val="1"/>
          <w:bCs w:val="1"/>
          <w:i w:val="1"/>
          <w:iCs w:val="1"/>
          <w:color w:val="auto"/>
        </w:rPr>
        <w:t xml:space="preserve">Executive Bonus Plan. </w:t>
      </w:r>
      <w:r>
        <w:rPr>
          <w:rFonts w:ascii="Arial" w:cs="Arial" w:eastAsia="Arial" w:hAnsi="Arial"/>
          <w:sz w:val="17"/>
          <w:szCs w:val="17"/>
          <w:color w:val="auto"/>
        </w:rPr>
        <w:t>We have adopted, and our stockholders have approved, a Senior Executive Incentive Bonus Plan, or the Executive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Executive Bonus Plan is designed to provide an incentive for superior work and to motivate covered key executives toward even greater achievement and business results, to tie their goals and interests to those of us and our stockholders and to enable us to attract and retain highly qualified executives. The principal anticipated features of the Executive Bonus Plan are summarized below.</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Executive Bonus Plan is an incentive bonus plan under which certain key executives, including our NEOs, will be eligible to receive bonus payments with respect to a specified period (for example, our fiscal year). Bonuses will generally be payable under the Executive Bonus Plan upon the attainment of pre-established performance goals. Notwithstanding the foregoing, we may pay bonuses (including, without limitation, discretionary bonuses) to participants under the Executive Bonus Plan based upon such other terms and conditions as the compensation committee may in its discretion determine.</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performance goals under the Executive Bonus Plan will relate to one or more financial, operational or other metrics with respect to individual or company performance with respect to us or any of our subsidiaries, including but not limited to the following possible performance goals: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Executive Bonus Plan will be administered by the compensation committee. The compensation committee will select the participants in the Executive Bonus Plan and any performance goals to be utilized with respect to the participants, establish the bonus formulas for each participant’s annual bonus, and certify whether any applicable performance goals have been met with respect to a given performance period. The Executive Bonus Plan provides that we may amend or terminate the Executive Bonus Plan at any time in our sole discretion. Any amendments to the Executive Bonus Plan will require stockholder approval only to the extent required by applicable law, rule or regulation. The Executive Bonus Plan will expire on the earlier of:</w:t>
      </w:r>
    </w:p>
    <w:p>
      <w:pPr>
        <w:spacing w:after="0" w:line="106" w:lineRule="exact"/>
        <w:rPr>
          <w:sz w:val="20"/>
          <w:szCs w:val="20"/>
          <w:color w:val="auto"/>
        </w:rPr>
      </w:pPr>
    </w:p>
    <w:p>
      <w:pPr>
        <w:ind w:left="800" w:hanging="454"/>
        <w:spacing w:after="0"/>
        <w:tabs>
          <w:tab w:leader="none" w:pos="800" w:val="left"/>
        </w:tabs>
        <w:numPr>
          <w:ilvl w:val="0"/>
          <w:numId w:val="67"/>
        </w:numPr>
        <w:rPr>
          <w:rFonts w:ascii="Arial" w:cs="Arial" w:eastAsia="Arial" w:hAnsi="Arial"/>
          <w:sz w:val="25"/>
          <w:szCs w:val="25"/>
          <w:color w:val="auto"/>
          <w:vertAlign w:val="superscript"/>
        </w:rPr>
      </w:pPr>
      <w:r>
        <w:rPr>
          <w:rFonts w:ascii="Arial" w:cs="Arial" w:eastAsia="Arial" w:hAnsi="Arial"/>
          <w:sz w:val="17"/>
          <w:szCs w:val="17"/>
          <w:color w:val="auto"/>
        </w:rPr>
        <w:t>the material modification of the Executive Bonus Plan; and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7"/>
        </w:numPr>
        <w:rPr>
          <w:rFonts w:ascii="Arial" w:cs="Arial" w:eastAsia="Arial" w:hAnsi="Arial"/>
          <w:sz w:val="23"/>
          <w:szCs w:val="23"/>
          <w:color w:val="auto"/>
          <w:vertAlign w:val="superscript"/>
        </w:rPr>
      </w:pPr>
      <w:r>
        <w:rPr>
          <w:rFonts w:ascii="Arial" w:cs="Arial" w:eastAsia="Arial" w:hAnsi="Arial"/>
          <w:sz w:val="16"/>
          <w:szCs w:val="16"/>
          <w:color w:val="auto"/>
        </w:rPr>
        <w:t>the first stockholders meeting at which members of our Board are elected during 2020.</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3"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number of shares underlying outstanding stock options, the weighted-average exercise price of such outstanding options and the number of additional shares remaining available for future issuance under our equity plans, as of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WEIGHTED-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AVERAGE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SECURITIES TO</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PRICE OF</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UPON EXERCISE</w:t>
            </w:r>
          </w:p>
        </w:tc>
        <w:tc>
          <w:tcPr>
            <w:tcW w:w="1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OF OUTSTANDING</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WARRANTS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59"/>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w:t>
            </w:r>
          </w:p>
        </w:tc>
        <w:tc>
          <w:tcPr>
            <w:tcW w:w="208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WARRANTS AND</w:t>
            </w:r>
          </w:p>
        </w:tc>
        <w:tc>
          <w:tcPr>
            <w:tcW w:w="100" w:type="dxa"/>
            <w:vAlign w:val="bottom"/>
          </w:tcPr>
          <w:p>
            <w:pPr>
              <w:spacing w:after="0"/>
              <w:rPr>
                <w:sz w:val="13"/>
                <w:szCs w:val="13"/>
                <w:color w:val="auto"/>
              </w:rPr>
            </w:pPr>
          </w:p>
        </w:tc>
        <w:tc>
          <w:tcPr>
            <w:tcW w:w="1720" w:type="dxa"/>
            <w:vAlign w:val="bottom"/>
            <w:gridSpan w:val="2"/>
          </w:tcPr>
          <w:p>
            <w:pPr>
              <w:jc w:val="center"/>
              <w:ind w:right="880"/>
              <w:spacing w:after="0" w:line="159" w:lineRule="exact"/>
              <w:rPr>
                <w:sz w:val="20"/>
                <w:szCs w:val="20"/>
                <w:color w:val="auto"/>
              </w:rPr>
            </w:pPr>
            <w:r>
              <w:rPr>
                <w:rFonts w:ascii="Arial" w:cs="Arial" w:eastAsia="Arial" w:hAnsi="Arial"/>
                <w:sz w:val="14"/>
                <w:szCs w:val="14"/>
                <w:b w:val="1"/>
                <w:bCs w:val="1"/>
                <w:color w:val="auto"/>
              </w:rPr>
              <w:t>AND</w:t>
            </w: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COLUMN(A))</w:t>
            </w:r>
          </w:p>
        </w:tc>
        <w:tc>
          <w:tcPr>
            <w:tcW w:w="0" w:type="dxa"/>
            <w:vAlign w:val="bottom"/>
          </w:tcPr>
          <w:p>
            <w:pPr>
              <w:spacing w:after="0"/>
              <w:rPr>
                <w:sz w:val="1"/>
                <w:szCs w:val="1"/>
                <w:color w:val="auto"/>
              </w:rPr>
            </w:pPr>
          </w:p>
        </w:tc>
      </w:tr>
      <w:tr>
        <w:trPr>
          <w:trHeight w:val="165"/>
        </w:trPr>
        <w:tc>
          <w:tcPr>
            <w:tcW w:w="6240" w:type="dxa"/>
            <w:vAlign w:val="bottom"/>
            <w:gridSpan w:val="2"/>
            <w:vMerge w:val="continue"/>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RIGHTS(A)</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RIGHTS(B)</w:t>
            </w:r>
          </w:p>
        </w:tc>
        <w:tc>
          <w:tcPr>
            <w:tcW w:w="1280" w:type="dxa"/>
            <w:vAlign w:val="bottom"/>
            <w:gridSpan w:val="2"/>
          </w:tcPr>
          <w:p>
            <w:pPr>
              <w:jc w:val="center"/>
              <w:ind w:right="100"/>
              <w:spacing w:after="0" w:line="165" w:lineRule="exact"/>
              <w:rPr>
                <w:sz w:val="20"/>
                <w:szCs w:val="20"/>
                <w:color w:val="auto"/>
              </w:rPr>
            </w:pPr>
            <w:r>
              <w:rPr>
                <w:rFonts w:ascii="Arial" w:cs="Arial" w:eastAsia="Arial" w:hAnsi="Arial"/>
                <w:sz w:val="19"/>
                <w:szCs w:val="19"/>
                <w:b w:val="1"/>
                <w:bCs w:val="1"/>
                <w:color w:val="auto"/>
                <w:vertAlign w:val="subscript"/>
              </w:rPr>
              <w:t>(C)</w:t>
            </w:r>
            <w:r>
              <w:rPr>
                <w:rFonts w:ascii="Arial" w:cs="Arial" w:eastAsia="Arial" w:hAnsi="Arial"/>
                <w:sz w:val="10"/>
                <w:szCs w:val="10"/>
                <w:b w:val="1"/>
                <w:bCs w:val="1"/>
                <w:color w:val="auto"/>
              </w:rPr>
              <w:t xml:space="preserve"> (1)</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Equity compensation plans approved by security holders</w:t>
            </w:r>
          </w:p>
        </w:tc>
        <w:tc>
          <w:tcPr>
            <w:tcW w:w="1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5860" w:type="dxa"/>
            <w:vAlign w:val="bottom"/>
          </w:tcPr>
          <w:p>
            <w:pPr>
              <w:ind w:left="140"/>
              <w:spacing w:after="0" w:line="189" w:lineRule="exact"/>
              <w:rPr>
                <w:sz w:val="20"/>
                <w:szCs w:val="20"/>
                <w:color w:val="auto"/>
              </w:rPr>
            </w:pPr>
            <w:r>
              <w:rPr>
                <w:rFonts w:ascii="Arial" w:cs="Arial" w:eastAsia="Arial" w:hAnsi="Arial"/>
                <w:sz w:val="17"/>
                <w:szCs w:val="17"/>
                <w:color w:val="auto"/>
              </w:rPr>
              <w:t>2014 Equity Incentive Plan</w:t>
            </w:r>
          </w:p>
        </w:tc>
        <w:tc>
          <w:tcPr>
            <w:tcW w:w="208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2,423,205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11.42</w:t>
            </w: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573,619</w:t>
            </w:r>
          </w:p>
        </w:tc>
        <w:tc>
          <w:tcPr>
            <w:tcW w:w="0" w:type="dxa"/>
            <w:vAlign w:val="bottom"/>
          </w:tcPr>
          <w:p>
            <w:pPr>
              <w:spacing w:after="0"/>
              <w:rPr>
                <w:sz w:val="1"/>
                <w:szCs w:val="1"/>
                <w:color w:val="auto"/>
              </w:rPr>
            </w:pPr>
          </w:p>
        </w:tc>
      </w:tr>
      <w:tr>
        <w:trPr>
          <w:trHeight w:val="189"/>
        </w:trPr>
        <w:tc>
          <w:tcPr>
            <w:tcW w:w="6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Equity compensation plans not approved by security holders</w:t>
            </w:r>
          </w:p>
        </w:tc>
        <w:tc>
          <w:tcPr>
            <w:tcW w:w="208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80" w:type="dxa"/>
            <w:vAlign w:val="bottom"/>
            <w:gridSpan w:val="2"/>
          </w:tcPr>
          <w:p>
            <w:pPr>
              <w:jc w:val="right"/>
              <w:ind w:right="780"/>
              <w:spacing w:after="0"/>
              <w:rPr>
                <w:sz w:val="20"/>
                <w:szCs w:val="20"/>
                <w:color w:val="auto"/>
              </w:rPr>
            </w:pPr>
            <w:r>
              <w:rPr>
                <w:rFonts w:ascii="Arial" w:cs="Arial" w:eastAsia="Arial" w:hAnsi="Arial"/>
                <w:sz w:val="17"/>
                <w:szCs w:val="17"/>
                <w:color w:val="auto"/>
              </w:rPr>
              <w:t>2,423,205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80"/>
              <w:spacing w:after="0"/>
              <w:rPr>
                <w:sz w:val="20"/>
                <w:szCs w:val="20"/>
                <w:color w:val="auto"/>
              </w:rPr>
            </w:pPr>
            <w:r>
              <w:rPr>
                <w:rFonts w:ascii="Arial" w:cs="Arial" w:eastAsia="Arial" w:hAnsi="Arial"/>
                <w:sz w:val="17"/>
                <w:szCs w:val="17"/>
                <w:color w:val="auto"/>
              </w:rPr>
              <w:t>11.42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573,619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p>
      <w:pPr>
        <w:ind w:left="340" w:hanging="305"/>
        <w:spacing w:after="0"/>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Includes securities that may be issued as stock options, restricted shares and restricted stock units.</w:t>
      </w:r>
    </w:p>
    <w:p>
      <w:pPr>
        <w:spacing w:after="0" w:line="135" w:lineRule="exact"/>
        <w:rPr>
          <w:rFonts w:ascii="Arial" w:cs="Arial" w:eastAsia="Arial" w:hAnsi="Arial"/>
          <w:sz w:val="24"/>
          <w:szCs w:val="24"/>
          <w:color w:val="auto"/>
          <w:vertAlign w:val="superscript"/>
        </w:rPr>
      </w:pPr>
    </w:p>
    <w:p>
      <w:pPr>
        <w:ind w:left="5580"/>
        <w:spacing w:after="0"/>
        <w:rPr>
          <w:rFonts w:ascii="Arial" w:cs="Arial" w:eastAsia="Arial" w:hAnsi="Arial"/>
          <w:sz w:val="24"/>
          <w:szCs w:val="24"/>
          <w:color w:val="auto"/>
          <w:vertAlign w:val="superscript"/>
        </w:rPr>
      </w:pPr>
      <w:r>
        <w:rPr>
          <w:rFonts w:ascii="Arial" w:cs="Arial" w:eastAsia="Arial" w:hAnsi="Arial"/>
          <w:sz w:val="16"/>
          <w:szCs w:val="16"/>
          <w:color w:val="auto"/>
        </w:rPr>
        <w:t>118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6"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Set forth below is a description of certain relationships and related person transactions between us or our subsidiaries, and our directors, director nominees, executive officers and holders of more than 5% of our voting securities since January 1, 2013. We believe that all of the following transactions were entered into with terms as favorable as could have been obtained from unaffiliated third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April 2014, an affiliate of Cinven acquired 100% of the outstanding shares of Medpace IntermediateCo for an aggregate purchase price of $921.3 million. In connection with the acquisition, certain employees of the Company, through MPI, agreed to contribute shares held in Medpace IntermediateCo in exchange for a percentage stake in Medpace Holdings, Inc. Immediately following the Transaction, Cinven and MPI owned approximately 75% and 25%, respectively, of Medpace Holdings, Inc. Upon the completion of this offering, Cinven will own approximately % of the outstanding shares of our common stock (or % if the underwriters exercise their option to purchase additional shares in full).</w:t>
      </w:r>
    </w:p>
    <w:p>
      <w:pPr>
        <w:spacing w:after="0" w:line="20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In addition, in connection with the Transaction and pursuant to the Agreement and Plan of Merger dated February 22, 2014, we agreed to indemnify former directors, officers, employees and certain other affiliates of our predecessor company with respect to all acts or omissions by them in their capacities as such.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Fees</w:t>
      </w:r>
    </w:p>
    <w:p>
      <w:pPr>
        <w:spacing w:after="0" w:line="8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After the consummation of the Transaction, we entered into an advisory services agreement, or the Advisory Services Agreement, with an affiliate of Cinven. Under the Advisory Services Agreement, we owe $0.3 million annually to such affiliate of Cinven in exchange for advisory and consulting services. For the Successor three months ended March 31, 2016 and March 31, 2015, the Successor year ended December 31, 2015 and the Successor nine month period ended December 31, 2014 we incurred Advisory Service Agreement management fees of $0.1 million, $0.1 million, $0.3 million and $0.2 million, and $0.1 million, less than $0.1 million, $0.1 million and $0.1 million in related travel expenses, respectively. As of March 31, 2016, December 31, 2015 and December 31, 2014, we had outstanding accounts payable to Cinven of $0.1 million, $0.1 million and $0.1 million, respectively. We paid $21.7 million in expenses related to the Transaction on behalf of or to Cinven and CCMP.</w:t>
      </w:r>
    </w:p>
    <w:p>
      <w:pPr>
        <w:spacing w:after="0" w:line="15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were obligated to pay management fees to a subsidiary of CCMP and incurred $0.1 million and $0.3 million in such fees for the Predecessor three month period ended March 31, 2014 and the Predecessor year ended December 31, 2013,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Advisory Services Agreement will terminate in connection with the consummation of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Fees</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2014, we paid $1.7 million in consulting fees to Fairmount Partners LP in connection with the Transaction. A managing director of this firm, Cornelius McCarthy, was a member of our Board at the time the fee was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We intend to enter into a Registration Rights Agreement with Cinven and Dr. Troendle in connection with this offering. The Registration Rights Agreement will provide Cinven and Dr. Troendle certain registration rights whereby, at any time following our initial public offering and the expiration of any related lock-up period, Cinven and Dr. Troendle can require us to register under the Securities Act shares of our common stock held by</w:t>
      </w:r>
    </w:p>
    <w:p>
      <w:pPr>
        <w:ind w:right="20"/>
        <w:spacing w:after="0" w:line="235" w:lineRule="auto"/>
        <w:rPr>
          <w:sz w:val="20"/>
          <w:szCs w:val="20"/>
          <w:color w:val="auto"/>
        </w:rPr>
      </w:pPr>
      <w:r>
        <w:rPr>
          <w:rFonts w:ascii="Arial" w:cs="Arial" w:eastAsia="Arial" w:hAnsi="Arial"/>
          <w:sz w:val="17"/>
          <w:szCs w:val="17"/>
          <w:color w:val="auto"/>
        </w:rPr>
        <w:t>them. When we become and for so long as we are eligible to use Form S-3 under the Securities Act, Cinven and Dr. Troendle will have shelf registration rights requiring us to file a shelf registration statement and to maintain the effectiveness of such registration statement so as to allow sales thereunder from time to time. Cinven and Dr. Troendle are also entitled to participate on a pro rata basis in any registration of our common stock under the Securities Act that we may undertake. The registration rights agreement also provides that we will pay certain expenses relating to such registrations and indemnify Cinven and Dr. Troendle and members of management participating in any offering against certain liabilities which may arise under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8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directors who are employed by us or our subsidiaries do not receive any compensation and will not receive compensation following this offering, except as limited to expense reimbursement. Our other directors will receive compensation for their service as members of our Board. See “Executive and Director Compensation—Director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currently have an employment agreement with our Chief Executive Officer and founder, Dr. August J. Troendle, and we intend to enter into a new employment agreement with him effective upon the consummation of this offering. See “Executive and Director Compensation—Employment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intend to enter into new indemnification agreements with each of our directors, director nominees and executive officers. These agreements, among other things, will require us to indemnify each director, director nominee and executive officer to the fullest extent permitted by Delaware law, including indemnification of expenses such as attorneys’ fees, judgments, fines and settlement amounts incurred by the director, director nominee or executive officer in any action or proceeding, including any action or proceeding by or in right of us, arising out of the person’s services as a director, director nominee or executive officer,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Symplmed Pharmaceuticals, LLC, or Symplmed</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2013, we entered into a master services agreement, or the Symplmed MSA, with Symplmed, a pharmaceutical development company that is majority owned by MPI. The Symplmed MSA provided that we would perform Symplmed’s clinical trials. In 2014, we entered into an amended master services agreement, or the Amended Symplmed MSA, with Symplmed. The Amended Symplmed MSA provides for a revised financing arrangement, which allows Symplmed to defer payments owed to us. In return, we can charge a premium for our services as consideration for the deferred payment concessions.</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At its inception in 2013, Symplmed was majority owned by our Chief Executive Officer, who was elected to Symplmed’s board of directors that year along with our Chief Financial Officer and our General Counsel. In 2014 and 2015, our Chief Executive Officer and other executives made equity investments in Symplmed, which are now held through MPI.</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the Successor three months ended March 31, 2016 and March 31, 2015, the Successor year ended December 31, 2015, the Successor nine month period ended December 31, 2014, the Predecessor three month period ended March 31, 2014 and the Predecessor year ended December 31, 2013, we recognized related person transactions of $0.3 million, $0.3 million, $1.2 million, $1.2 million, less than $0.1 million and less than $0.1 million as net service revenue, respectively. As of March 31, 2016 and December 31, 2015, we had Symplmed related accounts receivable of $0.4 million and $0.3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Symplmed leases office space from us at our corporate headquarters in Cincinnati.</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Coherus BioSciences, Inc., or Coherus, and MX II Associates, LLC, or MXII</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2011, MXII, an entity of which our Chief Executive Officer is the managing member, made an equity investment in Coherus, a biosimilar therapeutics developer. In early 2012, we made a $2.5 million equity investment in Coherus. Concurrent with its initial investment, MXII secured the exclusive rights for us to perform Phase I through Phase III clinical trial work for certain of Coherus’ bio-similar drug compounds through a master services agreement, or the Coherus MSA. In return, we entered into a commission agreement with MXII, which provided that we would pay a 10% sales commission to MXII for cash received from Coherus. The commission agreement between us and MXII was terminated in 2015. The Coherus MSA remains in place.</w:t>
      </w:r>
    </w:p>
    <w:p>
      <w:pPr>
        <w:spacing w:after="0" w:line="15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paid $0.3 million in sales commissions to MXII in 2012 related to a $2.5 million advance payment received from Coherus. We also paid commissions of $0.5 million, $1.1 million, $0.6 million and $0.3 million for the Successor three months ended March 31, 2015, the Successor year ended December 31, 2015, the Successor nine month period ended December 31, 2014 and the Predecessor three month period ended March 31, 2014, respectively. For the Successor three months ended March 31, 2016 and March 31, 2015, the Successor year ended December 31, 2015, the Successor nine month period December 31, 2014, the Predecessor three month period ended March 31, 2014 and the Predecessor year ended December 31, 2013, we recognized net service revenue from Coherus of $7.1 million, $5.6 million, $22.1 million, $10.6 million, $2.0 million, and $3.3 million, respectively. In addition, we recognized reimbursed out-of-pocket revenue and reimbursed out-of-pocket expenses of $1.2 million, $0.9 million, $6.9 million, $2.0 million, $0.1 million and $0.1 million for the Successor three months ended March 31, 2016 and March 31, 2015, the Successor year ended December 31, 2015, the Successor nine month period ended December 31, 2014, the Predecessor three month period ended March 31, 2014 and the Predecessor year ended December 31, 2013, respectively. As of March 31, 2016, December 31, 2015 and December 31, 2014, we had recorded accounts receivable from Coherus of $2.9 million, $2.0 million and $0.7 million, respectively. We also reported advanced billings of $8.4 million, $8.4 million and $5.3 million and pre-funded study costs of $3.7 million, $3.5 million and $2.4 million from Coherus as of March 31, 2016, December 31, 2015 and 2014, respectively. Coherus was our largest customer for Successor three months ended March 31, 2016 and the Successor year ended December 31, 2015, accounting for 8.1% and 6.9% of our net service revenue, respectively.</w:t>
      </w:r>
    </w:p>
    <w:p>
      <w:pPr>
        <w:spacing w:after="0" w:line="152"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As of December 31, 2013, we recorded an impairment loss of $2.3 million on our equity investment in Coherus in contemplation of the ultimate liquidation of this investment prior to the Transaction. In March 2014, the investment was sold to MPI for $0.3 million.</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Dr. Troendle directly and indirectly beneficially owns 5.4% of the outstanding common stock of Coherus according to public filings of Coherus. Such shares consist of 29,994 shares held directly by Dr. Troendle, 1,642,492 shares held by MXII, an entity for which Dr. Troendle serves as managing member, and 268,428 shares held by MPI, an entity for which Dr. Troendle serves as the manager. Dr. Troendle disclaims beneficial ownership of the shares held by MXII and MPI, except to the extent of his pecuniary interest therein. Additionally, MXII also holds $4.0 million in aggregate principal amount of Coherus’ 8.2% senior convertible notes due 2022.</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Xenon Pharmaceuticals, Inc., or Xenon</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Chief Executive Officer has an equity investment in Xenon, a clinical-stage biopharmaceutical company. Dr. Troendle was also a member of Xenon’s board of directors from 2007 to 2008. In June 2006, we entered into a master services agreement with Xenon. In July 2015, we entered into an amended master services agreement with Xenon to provide certain clinical development services to Xenon. For the Successor three months ended March 31, 2016 and the Successor year ended December 31, 2015, we recognized net service revenue of $0.3 million and $0.7 million related to Xenon, respectively. As of March 31, 2016 and December 31, 2015, we had $2.0 million and $1.8 million and $0.1 million and $0.2 million of advanced billings and pre-funded study costs, respectively, related to Xenon.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Medpace Investors, LLC</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MPI is a noncontrolling shareholder of the Company that is owned by employees of the Company. Our Chief Executive Officer is the sole manager and majority unit holder of MPI and our other executive officers and certain other employees are unit holders of MPI. We act as a paying agent for MPI with taxing authorities principally in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instances when employee tax payments or remittance of withholdings related to equity compensation are required. For the Successor three months ended March 31, 2016 and March 31, 2015, the Successor year ended December 31, 2015 and the Successor nine month period ended December 31, 2014, we paid $0.6 million, $0.0 million, $0.9 million and $1.4 million to various taxing authorities on behalf of MPI, respectively. No payments were made by the Company to various taxing authorities on behalf of MPI in the Predecessor three month period ended March 31, 2014 or the Predecessor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Real Estate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In October 2010, we entered into an operating lease with 100 Medpace Way, LLC, or 100 MW, which is wholly owned by our Chief Executive Officer.</w:t>
      </w:r>
    </w:p>
    <w:p>
      <w:pPr>
        <w:spacing w:after="0" w:line="232" w:lineRule="auto"/>
        <w:rPr>
          <w:sz w:val="20"/>
          <w:szCs w:val="20"/>
          <w:color w:val="auto"/>
        </w:rPr>
      </w:pPr>
      <w:r>
        <w:rPr>
          <w:rFonts w:ascii="Arial" w:cs="Arial" w:eastAsia="Arial" w:hAnsi="Arial"/>
          <w:sz w:val="17"/>
          <w:szCs w:val="17"/>
          <w:color w:val="auto"/>
        </w:rPr>
        <w:t>The lease has an initial term of 12 years with a renewal option for one 10-year term at prevailing market rates. We pay rent, taxes, insurance and</w:t>
      </w:r>
    </w:p>
    <w:p>
      <w:pPr>
        <w:spacing w:after="0" w:line="232" w:lineRule="auto"/>
        <w:rPr>
          <w:sz w:val="20"/>
          <w:szCs w:val="20"/>
          <w:color w:val="auto"/>
        </w:rPr>
      </w:pPr>
      <w:r>
        <w:rPr>
          <w:rFonts w:ascii="Arial" w:cs="Arial" w:eastAsia="Arial" w:hAnsi="Arial"/>
          <w:sz w:val="17"/>
          <w:szCs w:val="17"/>
          <w:color w:val="auto"/>
        </w:rPr>
        <w:t>maintenance expenses that arise from use of the property. The annual base rent in effect as of December 31, 2015 was $2.1 million. The lease allows</w:t>
      </w:r>
    </w:p>
    <w:p>
      <w:pPr>
        <w:spacing w:after="0" w:line="232" w:lineRule="auto"/>
        <w:rPr>
          <w:sz w:val="20"/>
          <w:szCs w:val="20"/>
          <w:color w:val="auto"/>
        </w:rPr>
      </w:pPr>
      <w:r>
        <w:rPr>
          <w:rFonts w:ascii="Arial" w:cs="Arial" w:eastAsia="Arial" w:hAnsi="Arial"/>
          <w:sz w:val="17"/>
          <w:szCs w:val="17"/>
          <w:color w:val="auto"/>
        </w:rPr>
        <w:t>for adjustments to the rental rate annually for increases in the consumer price index. For the Successor three months ended March 31, 2016 and</w:t>
      </w:r>
    </w:p>
    <w:p>
      <w:pPr>
        <w:spacing w:after="0" w:line="232" w:lineRule="auto"/>
        <w:rPr>
          <w:sz w:val="20"/>
          <w:szCs w:val="20"/>
          <w:color w:val="auto"/>
        </w:rPr>
      </w:pPr>
      <w:r>
        <w:rPr>
          <w:rFonts w:ascii="Arial" w:cs="Arial" w:eastAsia="Arial" w:hAnsi="Arial"/>
          <w:sz w:val="17"/>
          <w:szCs w:val="17"/>
          <w:color w:val="auto"/>
        </w:rPr>
        <w:t>March 31, 2015, the Successor year ended December 31, 2015, the Successor nine month period ended December 31, 2014, the Predecessor three</w:t>
      </w:r>
    </w:p>
    <w:p>
      <w:pPr>
        <w:spacing w:after="0" w:line="232" w:lineRule="auto"/>
        <w:rPr>
          <w:sz w:val="20"/>
          <w:szCs w:val="20"/>
          <w:color w:val="auto"/>
        </w:rPr>
      </w:pPr>
      <w:r>
        <w:rPr>
          <w:rFonts w:ascii="Arial" w:cs="Arial" w:eastAsia="Arial" w:hAnsi="Arial"/>
          <w:sz w:val="17"/>
          <w:szCs w:val="17"/>
          <w:color w:val="auto"/>
        </w:rPr>
        <w:t>month period ended March 31, 2014 and the Predecessor year ended December 31, 2013, lease expense for 100 MW of $0.5 million, $0.5 million,</w:t>
      </w:r>
    </w:p>
    <w:p>
      <w:pPr>
        <w:spacing w:after="0" w:line="232" w:lineRule="auto"/>
        <w:rPr>
          <w:sz w:val="20"/>
          <w:szCs w:val="20"/>
          <w:color w:val="auto"/>
        </w:rPr>
      </w:pPr>
      <w:r>
        <w:rPr>
          <w:rFonts w:ascii="Arial" w:cs="Arial" w:eastAsia="Arial" w:hAnsi="Arial"/>
          <w:sz w:val="17"/>
          <w:szCs w:val="17"/>
          <w:color w:val="auto"/>
        </w:rPr>
        <w:t>$2.1 million, $1.6 million, $0.5 million and $2.1 million, respectively, were recorded. Additionally, we prepaid $0.2 million in lease payments to 100 MW,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which was recorded as a component of prepaid expenses and other current assets as of December 31, 2014.</w:t>
      </w:r>
    </w:p>
    <w:p>
      <w:pPr>
        <w:spacing w:after="0" w:line="15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entered into two leases of office space, commencing in July 2012 and September 2012, with 200 Medpace Way, LLC, or 200 MW, and 300 Medpace Way, LLC, or 300 MW, respectively. 200 MW and 300 MW are wholly owned by our Chief Executive Officer and certain of his immediate family members. Each lease has an initial term of 15 years with a renewal option for one 10-year term at prevailing market rates. The annual base rent in effect as of December 31, 2015 for the 200 MW lease and the 300 MW lease was $2.6 million and $1.1 million, respectively. The obligation was initially recorded by us at its net present value using the notional rates implicit in the lease agreements. We revalued the liability by calculating the net present value using our incremental borrowing rate at the time of the Transaction. For the Successor three months ended March 31, 2016 and March 31, 2015, the Successor year ended December 31, 2015, the Successor nine month period ended December 31, 2014, the Predecessor three month period ended March 31, 2014 and the year ended December 31, 2013, we recorded lease payments of $0.9 million, $0.6 million, $3.4 million, $3.1 million, $0.9 million and $2.7 million, respectively.</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From time to time in the past we have entered into, and in the future we may enter into, lease arrangements with entities directly or indirectly controlled by our executive officers, including our Chief Executive Officer and founder.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Services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incur expenses for travel services for company executives provided by a private aviation charter company, or ATSB Aviation, which is owned by our Chief Executive Officer and our Senior Vice President of Operations. We may contract directly with ATSB Aviation for the use of its aircraft or indirectly through a third party aircraft management and jet charter company, or Reynolds Jet Management. The travel services provided are primarily for business purposes, with any personal travel paid for as part of the executives’ compensation arrangements. Reynolds Jet Management also makes the ATSB Aviation aircraft available to other third parties. Medpace incurred travel expenses of $0.3 million, $0.3 million, $0.9 million, $0.5 million and $0.1 million for the Successor three months ended March 31, 2016 and March 31, 2015, the Successor year ended December 31, 2015, the Successor nine month period ended December 31, 2014 and the Predecessor three month period ended March 31, 2014, respectively, related to these travel services. For more information, see “Executive and Director Compensation—Narrative to Summary Compensation Table—Aircraft Usage.”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Purchases</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2013, our Chief Executive Officer entered into a stock purchase agreement with the Company that permitted him to purchase 120,000 shares of our common stock at the then-current market value for those shares. In exchange, our Chief Executive Officer agreed to forfeit his ownership of 80,000 unvested stock options that were originally scheduled to vest at various dates through 2016. Proceeds of $1.2 million from this stock purchase were reflected as stock issued and proceeds from sale of common stock for the Predecessor year ended December 31, 2013.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Obligations Related to Former Owners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stock purchase agreement dated June 17, 2011, or the Predecessor Purchase Agreement, for the purchase of Medpace, Inc. by CCMP,</w:t>
      </w:r>
    </w:p>
    <w:p>
      <w:pPr>
        <w:spacing w:after="0" w:line="232" w:lineRule="auto"/>
        <w:rPr>
          <w:sz w:val="20"/>
          <w:szCs w:val="20"/>
          <w:color w:val="auto"/>
        </w:rPr>
      </w:pPr>
      <w:r>
        <w:rPr>
          <w:rFonts w:ascii="Arial" w:cs="Arial" w:eastAsia="Arial" w:hAnsi="Arial"/>
          <w:sz w:val="17"/>
          <w:szCs w:val="17"/>
          <w:color w:val="auto"/>
        </w:rPr>
        <w:t>the sellers (a group led by our current Chief Executive Officer, referred to as the “Former Owners”) and the buyers (led by CCMP) agreed to certain tax</w:t>
      </w:r>
    </w:p>
    <w:p>
      <w:pPr>
        <w:spacing w:after="0" w:line="232" w:lineRule="auto"/>
        <w:rPr>
          <w:sz w:val="20"/>
          <w:szCs w:val="20"/>
          <w:color w:val="auto"/>
        </w:rPr>
      </w:pPr>
      <w:r>
        <w:rPr>
          <w:rFonts w:ascii="Arial" w:cs="Arial" w:eastAsia="Arial" w:hAnsi="Arial"/>
          <w:sz w:val="17"/>
          <w:szCs w:val="17"/>
          <w:color w:val="auto"/>
        </w:rPr>
        <w:t>indemnifications regarding contingencies that could arise after the June 17, 2011 acquisition, and tax payments or refunds that were finalized after</w:t>
      </w:r>
    </w:p>
    <w:p>
      <w:pPr>
        <w:spacing w:after="0" w:line="232" w:lineRule="auto"/>
        <w:rPr>
          <w:sz w:val="20"/>
          <w:szCs w:val="20"/>
          <w:color w:val="auto"/>
        </w:rPr>
      </w:pPr>
      <w:r>
        <w:rPr>
          <w:rFonts w:ascii="Arial" w:cs="Arial" w:eastAsia="Arial" w:hAnsi="Arial"/>
          <w:sz w:val="17"/>
          <w:szCs w:val="17"/>
          <w:color w:val="auto"/>
        </w:rPr>
        <w:t>June 17, 2011, but which related to periods prior to that date. In February 2015, a settlement was reached with a local taxing authority regarding the</w:t>
      </w:r>
    </w:p>
    <w:p>
      <w:pPr>
        <w:spacing w:after="0" w:line="232" w:lineRule="auto"/>
        <w:rPr>
          <w:sz w:val="20"/>
          <w:szCs w:val="20"/>
          <w:color w:val="auto"/>
        </w:rPr>
      </w:pPr>
      <w:r>
        <w:rPr>
          <w:rFonts w:ascii="Arial" w:cs="Arial" w:eastAsia="Arial" w:hAnsi="Arial"/>
          <w:sz w:val="17"/>
          <w:szCs w:val="17"/>
          <w:color w:val="auto"/>
        </w:rPr>
        <w:t>refund of income tax payments made by the Company prior to June 17, 2011. As of March 31, 2016, December 31, 2015 and December 31, 2014,</w:t>
      </w:r>
    </w:p>
    <w:p>
      <w:pPr>
        <w:spacing w:after="0" w:line="232" w:lineRule="auto"/>
        <w:rPr>
          <w:sz w:val="20"/>
          <w:szCs w:val="20"/>
          <w:color w:val="auto"/>
        </w:rPr>
      </w:pPr>
      <w:r>
        <w:rPr>
          <w:rFonts w:ascii="Arial" w:cs="Arial" w:eastAsia="Arial" w:hAnsi="Arial"/>
          <w:sz w:val="17"/>
          <w:szCs w:val="17"/>
          <w:color w:val="auto"/>
        </w:rPr>
        <w:t>Medpace had $0.3 million, $0.4 million and $0.6 million in prepaid expenses and other current assets and other assets related to the tax refund due</w:t>
      </w:r>
    </w:p>
    <w:p>
      <w:pPr>
        <w:spacing w:after="0" w:line="232" w:lineRule="auto"/>
        <w:rPr>
          <w:sz w:val="20"/>
          <w:szCs w:val="20"/>
          <w:color w:val="auto"/>
        </w:rPr>
      </w:pPr>
      <w:r>
        <w:rPr>
          <w:rFonts w:ascii="Arial" w:cs="Arial" w:eastAsia="Arial" w:hAnsi="Arial"/>
          <w:sz w:val="17"/>
          <w:szCs w:val="17"/>
          <w:color w:val="auto"/>
        </w:rPr>
        <w:t>from the local taxing authority, and $0.3 million, $0.4 million and $0.6 million in other current liabilities and other long-term liabilities, representing an</w:t>
      </w:r>
    </w:p>
    <w:p>
      <w:pPr>
        <w:spacing w:after="0" w:line="232" w:lineRule="auto"/>
        <w:rPr>
          <w:sz w:val="20"/>
          <w:szCs w:val="20"/>
          <w:color w:val="auto"/>
        </w:rPr>
      </w:pPr>
      <w:r>
        <w:rPr>
          <w:rFonts w:ascii="Arial" w:cs="Arial" w:eastAsia="Arial" w:hAnsi="Arial"/>
          <w:sz w:val="17"/>
          <w:szCs w:val="17"/>
          <w:color w:val="auto"/>
        </w:rPr>
        <w:t>obligation to the Former Owners. We had $0.0 million, $0.1 million and $0.1 million in prepaid expenses and other current assets, and $0.0 million,</w:t>
      </w:r>
    </w:p>
    <w:p>
      <w:pPr>
        <w:spacing w:after="0" w:line="233" w:lineRule="auto"/>
        <w:rPr>
          <w:sz w:val="20"/>
          <w:szCs w:val="20"/>
          <w:color w:val="auto"/>
        </w:rPr>
      </w:pPr>
      <w:r>
        <w:rPr>
          <w:rFonts w:ascii="Arial" w:cs="Arial" w:eastAsia="Arial" w:hAnsi="Arial"/>
          <w:sz w:val="17"/>
          <w:szCs w:val="17"/>
          <w:color w:val="auto"/>
        </w:rPr>
        <w:t>$0.1 million and $0.3 million in other current liabilities as of March 31, 2016, December 31, 2015 and December 31, 2014, respectively, associated with</w:t>
      </w:r>
    </w:p>
    <w:p>
      <w:pPr>
        <w:spacing w:after="0"/>
        <w:rPr>
          <w:sz w:val="20"/>
          <w:szCs w:val="20"/>
          <w:color w:val="auto"/>
        </w:rPr>
      </w:pPr>
      <w:r>
        <w:rPr>
          <w:rFonts w:ascii="Arial" w:cs="Arial" w:eastAsia="Arial" w:hAnsi="Arial"/>
          <w:sz w:val="17"/>
          <w:szCs w:val="17"/>
          <w:color w:val="auto"/>
        </w:rPr>
        <w:t>refunds from various other taxing authorities that were generated prior to June 17,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Our Chief Executive Officer and founder, Dr. August J. Troendle and our Senior Vice President of Operations, Susan E. Burwig, each of whom is an executive officer, cohabitate. For information regarding each of their compensation arrangements, see “Executive and Director Compensation.”</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provided our former Chief Operating Officer, Kurt A. Brykman, with a cash severance and reimbursement of COBRA benefits of approximately $0.3 million in connection with his termination of employment in July 2015. For additional information, see “Executive and Director Compensation.”</w:t>
      </w:r>
    </w:p>
    <w:p>
      <w:pPr>
        <w:spacing w:after="0" w:line="198"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Assuming an initial public offering price of $ per share, which is the midpoint of the price range set forth on the cover page of this prospectus, Dr. Troendle would purchase an aggregate of up to approximately of the shares</w:t>
      </w:r>
    </w:p>
    <w:p>
      <w:pPr>
        <w:ind w:right="80"/>
        <w:spacing w:after="0" w:line="238" w:lineRule="auto"/>
        <w:rPr>
          <w:sz w:val="20"/>
          <w:szCs w:val="20"/>
          <w:color w:val="auto"/>
        </w:rPr>
      </w:pPr>
      <w:r>
        <w:rPr>
          <w:rFonts w:ascii="Arial" w:cs="Arial" w:eastAsia="Arial" w:hAnsi="Arial"/>
          <w:sz w:val="17"/>
          <w:szCs w:val="17"/>
          <w:color w:val="auto"/>
        </w:rPr>
        <w:t>in this offering based on this indications of interest.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80"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In connection with this offering, we will adopt a written policy relating to the approval of related person transactions. Our audit committee will review and approve or ratify all relationships and related person transactions between us and (i) our directors, director nominees, executive officers or their immediate family members, (ii) any 5% record or beneficial owner of our common stock, or (iii) any immediate family member of any person specified in (i) and (ii) above. The audit committee will review all such related person transactions and, where the audit committee determines that such transactions are in our best interests, approve such transactions in advance of such related person transaction being given effect. 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whether the transaction is on terms comparable to those that could be obtained in an arm’s length transaction with an unrelated person, the extent of the related person’s interest in the transaction and various factors enumerated in the policy.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36"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 following table sets forth the beneficial ownership of our common stock as of March 31, 2016 and immediately after the completion of this offering by (1) each person, or group of affiliated persons, known by us to be the beneficial owner of 5% or more of our outstanding common stock, (2) each of our directors and director nominees, (3) each of our executive officers and (4) all of our directors, director nominees and executive officers as a group.</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percentages reflect beneficial ownership immediately prior to and immediately after the completion of this offering as determined in accordance</w:t>
      </w:r>
    </w:p>
    <w:p>
      <w:pPr>
        <w:spacing w:after="0" w:line="232" w:lineRule="auto"/>
        <w:tabs>
          <w:tab w:leader="none" w:pos="5240" w:val="left"/>
          <w:tab w:leader="none" w:pos="9480" w:val="left"/>
        </w:tabs>
        <w:rPr>
          <w:sz w:val="20"/>
          <w:szCs w:val="20"/>
          <w:color w:val="auto"/>
        </w:rPr>
      </w:pPr>
      <w:r>
        <w:rPr>
          <w:rFonts w:ascii="Arial" w:cs="Arial" w:eastAsia="Arial" w:hAnsi="Arial"/>
          <w:sz w:val="17"/>
          <w:szCs w:val="17"/>
          <w:color w:val="auto"/>
        </w:rPr>
        <w:t>with Rule 13d-3 under the Exchange Act and are based on</w:t>
      </w:r>
      <w:r>
        <w:rPr>
          <w:sz w:val="20"/>
          <w:szCs w:val="20"/>
          <w:color w:val="auto"/>
        </w:rPr>
        <w:tab/>
      </w:r>
      <w:r>
        <w:rPr>
          <w:rFonts w:ascii="Arial" w:cs="Arial" w:eastAsia="Arial" w:hAnsi="Arial"/>
          <w:sz w:val="17"/>
          <w:szCs w:val="17"/>
          <w:color w:val="auto"/>
        </w:rPr>
        <w:t>shares of our common stock outstanding as of</w:t>
      </w:r>
      <w:r>
        <w:rPr>
          <w:sz w:val="20"/>
          <w:szCs w:val="20"/>
          <w:color w:val="auto"/>
        </w:rPr>
        <w:tab/>
      </w:r>
      <w:r>
        <w:rPr>
          <w:rFonts w:ascii="Arial" w:cs="Arial" w:eastAsia="Arial" w:hAnsi="Arial"/>
          <w:sz w:val="17"/>
          <w:szCs w:val="17"/>
          <w:color w:val="auto"/>
        </w:rPr>
        <w:t>, 2016 and assumes</w:t>
      </w:r>
    </w:p>
    <w:p>
      <w:pPr>
        <w:spacing w:after="0" w:line="232" w:lineRule="auto"/>
        <w:tabs>
          <w:tab w:leader="none" w:pos="1480" w:val="left"/>
        </w:tabs>
        <w:rPr>
          <w:sz w:val="20"/>
          <w:szCs w:val="20"/>
          <w:color w:val="auto"/>
        </w:rPr>
      </w:pPr>
      <w:r>
        <w:rPr>
          <w:rFonts w:ascii="Arial" w:cs="Arial" w:eastAsia="Arial" w:hAnsi="Arial"/>
          <w:sz w:val="17"/>
          <w:szCs w:val="17"/>
          <w:color w:val="auto"/>
        </w:rPr>
        <w:t>there are</w:t>
      </w:r>
      <w:r>
        <w:rPr>
          <w:sz w:val="20"/>
          <w:szCs w:val="20"/>
          <w:color w:val="auto"/>
        </w:rPr>
        <w:tab/>
      </w:r>
      <w:r>
        <w:rPr>
          <w:rFonts w:ascii="Arial" w:cs="Arial" w:eastAsia="Arial" w:hAnsi="Arial"/>
          <w:sz w:val="17"/>
          <w:szCs w:val="17"/>
          <w:color w:val="auto"/>
        </w:rPr>
        <w:t>shares of our common stock outstanding as of the date immediately following the completion of this offering, assuming no exercise</w:t>
      </w:r>
    </w:p>
    <w:p>
      <w:pPr>
        <w:spacing w:after="0" w:line="232" w:lineRule="auto"/>
        <w:tabs>
          <w:tab w:leader="none" w:pos="8360" w:val="left"/>
        </w:tabs>
        <w:rPr>
          <w:sz w:val="20"/>
          <w:szCs w:val="20"/>
          <w:color w:val="auto"/>
        </w:rPr>
      </w:pPr>
      <w:r>
        <w:rPr>
          <w:rFonts w:ascii="Arial" w:cs="Arial" w:eastAsia="Arial" w:hAnsi="Arial"/>
          <w:sz w:val="17"/>
          <w:szCs w:val="17"/>
          <w:color w:val="auto"/>
        </w:rPr>
        <w:t>by the underwriters of their option to purchase additional shares of our common stock, and there are</w:t>
      </w:r>
      <w:r>
        <w:rPr>
          <w:sz w:val="20"/>
          <w:szCs w:val="20"/>
          <w:color w:val="auto"/>
        </w:rPr>
        <w:tab/>
      </w:r>
      <w:r>
        <w:rPr>
          <w:rFonts w:ascii="Arial" w:cs="Arial" w:eastAsia="Arial" w:hAnsi="Arial"/>
          <w:sz w:val="17"/>
          <w:szCs w:val="17"/>
          <w:color w:val="auto"/>
        </w:rPr>
        <w:t>shares of our common stock</w:t>
      </w:r>
    </w:p>
    <w:p>
      <w:pPr>
        <w:ind w:right="20"/>
        <w:spacing w:after="0" w:line="238" w:lineRule="auto"/>
        <w:rPr>
          <w:sz w:val="20"/>
          <w:szCs w:val="20"/>
          <w:color w:val="auto"/>
        </w:rPr>
      </w:pPr>
      <w:r>
        <w:rPr>
          <w:rFonts w:ascii="Arial" w:cs="Arial" w:eastAsia="Arial" w:hAnsi="Arial"/>
          <w:sz w:val="17"/>
          <w:szCs w:val="17"/>
          <w:color w:val="auto"/>
        </w:rPr>
        <w:t>outstanding as of the date immediately following the completion of this offering, assuming full exercise by the underwriters of their option to purchase additional shares of our common stock. Except as noted below, the address for all beneficial owners in the table below is c/o Medpace Holdings, Inc. at 5375 Medpace Way, Cincinnati, Ohio 45227.</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Our Chief Executive Officer and founder, Dr. August J. Troendle, has indicated an interest in purchasing shares of our common stock in this offering at the initial public offering price. The following table does not reflect any such potential purchases. If any shares are purchased by Dr. Troendle, the number of shares of common stock beneficially owned after this offering and the percentage of common stock beneficially owned after this offering may differ from that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OF BENEFICIAL OWN</w:t>
      </w:r>
      <w:r>
        <w:rPr>
          <w:rFonts w:ascii="Arial" w:cs="Arial" w:eastAsia="Arial" w:hAnsi="Arial"/>
          <w:sz w:val="14"/>
          <w:szCs w:val="14"/>
          <w:b w:val="1"/>
          <w:bCs w:val="1"/>
          <w:color w:val="auto"/>
        </w:rPr>
        <w:t>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Shareholders</w:t>
      </w:r>
    </w:p>
    <w:p>
      <w:pPr>
        <w:ind w:left="260" w:right="240" w:hanging="250"/>
        <w:spacing w:after="0" w:line="232" w:lineRule="auto"/>
        <w:rPr>
          <w:sz w:val="20"/>
          <w:szCs w:val="20"/>
          <w:color w:val="auto"/>
        </w:rPr>
      </w:pPr>
      <w:r>
        <w:rPr>
          <w:rFonts w:ascii="Arial" w:cs="Arial" w:eastAsia="Arial" w:hAnsi="Arial"/>
          <w:sz w:val="17"/>
          <w:szCs w:val="17"/>
          <w:color w:val="auto"/>
        </w:rPr>
        <w:t xml:space="preserve">Investment funds affiliated with Cinven Capital Management </w:t>
      </w:r>
      <w:r>
        <w:rPr>
          <w:rFonts w:ascii="Arial" w:cs="Arial" w:eastAsia="Arial" w:hAnsi="Arial"/>
          <w:sz w:val="14"/>
          <w:szCs w:val="14"/>
          <w:color w:val="auto"/>
        </w:rPr>
        <w:t>(1)</w:t>
      </w:r>
    </w:p>
    <w:p>
      <w:pPr>
        <w:spacing w:after="0"/>
        <w:rPr>
          <w:sz w:val="20"/>
          <w:szCs w:val="20"/>
          <w:color w:val="auto"/>
        </w:rPr>
      </w:pPr>
      <w:r>
        <w:rPr>
          <w:rFonts w:ascii="Arial" w:cs="Arial" w:eastAsia="Arial" w:hAnsi="Arial"/>
          <w:sz w:val="17"/>
          <w:szCs w:val="17"/>
          <w:color w:val="auto"/>
        </w:rPr>
        <w:t xml:space="preserve">Medpace Investors, LLC </w:t>
      </w:r>
      <w:r>
        <w:rPr>
          <w:rFonts w:ascii="Arial" w:cs="Arial" w:eastAsia="Arial" w:hAnsi="Arial"/>
          <w:sz w:val="14"/>
          <w:szCs w:val="14"/>
          <w:color w:val="auto"/>
        </w:rPr>
        <w:t>(2)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Dr. August J. Troendle </w:t>
      </w:r>
      <w:r>
        <w:rPr>
          <w:rFonts w:ascii="Arial" w:cs="Arial" w:eastAsia="Arial" w:hAnsi="Arial"/>
          <w:sz w:val="14"/>
          <w:szCs w:val="14"/>
          <w:color w:val="auto"/>
        </w:rPr>
        <w:t>(3)</w:t>
      </w:r>
    </w:p>
    <w:p>
      <w:pPr>
        <w:spacing w:after="0" w:line="232" w:lineRule="auto"/>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(4)</w:t>
      </w:r>
    </w:p>
    <w:p>
      <w:pPr>
        <w:spacing w:after="0"/>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(5)</w:t>
      </w:r>
    </w:p>
    <w:p>
      <w:pPr>
        <w:spacing w:after="0" w:line="82" w:lineRule="exact"/>
        <w:rPr>
          <w:sz w:val="20"/>
          <w:szCs w:val="20"/>
          <w:color w:val="auto"/>
        </w:rPr>
      </w:pPr>
    </w:p>
    <w:p>
      <w:pPr>
        <w:ind w:left="260" w:right="520" w:hanging="250"/>
        <w:spacing w:after="0" w:line="244" w:lineRule="auto"/>
        <w:rPr>
          <w:sz w:val="20"/>
          <w:szCs w:val="20"/>
          <w:color w:val="auto"/>
        </w:rPr>
      </w:pPr>
      <w:r>
        <w:rPr>
          <w:rFonts w:ascii="Arial" w:cs="Arial" w:eastAsia="Arial" w:hAnsi="Arial"/>
          <w:sz w:val="17"/>
          <w:szCs w:val="17"/>
          <w:b w:val="1"/>
          <w:bCs w:val="1"/>
          <w:i w:val="1"/>
          <w:iCs w:val="1"/>
          <w:color w:val="auto"/>
        </w:rPr>
        <w:t>Non-Employee Directors and Director Nominees</w:t>
      </w:r>
    </w:p>
    <w:p>
      <w:pPr>
        <w:spacing w:after="0" w:line="1" w:lineRule="exact"/>
        <w:rPr>
          <w:sz w:val="20"/>
          <w:szCs w:val="20"/>
          <w:color w:val="auto"/>
        </w:rPr>
      </w:pPr>
    </w:p>
    <w:p>
      <w:pPr>
        <w:ind w:right="880"/>
        <w:spacing w:after="0"/>
        <w:rPr>
          <w:sz w:val="20"/>
          <w:szCs w:val="20"/>
          <w:color w:val="auto"/>
        </w:rPr>
      </w:pPr>
      <w:r>
        <w:rPr>
          <w:rFonts w:ascii="Arial" w:cs="Arial" w:eastAsia="Arial" w:hAnsi="Arial"/>
          <w:sz w:val="17"/>
          <w:szCs w:val="17"/>
          <w:color w:val="auto"/>
        </w:rPr>
        <w:t>Dr. Supraj R. Rajagopalan Alexander F.S. Leslie Matthew R. Norton Robert O. Kraft Brian T. Carley</w:t>
      </w:r>
    </w:p>
    <w:p>
      <w:pPr>
        <w:spacing w:after="0" w:line="252" w:lineRule="exact"/>
        <w:rPr>
          <w:sz w:val="20"/>
          <w:szCs w:val="20"/>
          <w:color w:val="auto"/>
        </w:rPr>
      </w:pPr>
    </w:p>
    <w:p>
      <w:pPr>
        <w:ind w:left="260" w:hanging="250"/>
        <w:spacing w:after="0" w:line="250" w:lineRule="auto"/>
        <w:rPr>
          <w:sz w:val="20"/>
          <w:szCs w:val="20"/>
          <w:color w:val="auto"/>
        </w:rPr>
      </w:pPr>
      <w:r>
        <w:rPr>
          <w:rFonts w:ascii="Arial" w:cs="Arial" w:eastAsia="Arial" w:hAnsi="Arial"/>
          <w:sz w:val="17"/>
          <w:szCs w:val="17"/>
          <w:b w:val="1"/>
          <w:bCs w:val="1"/>
          <w:i w:val="1"/>
          <w:iCs w:val="1"/>
          <w:color w:val="auto"/>
        </w:rPr>
        <w:t>All named executive officers, directors and director nominees as a group (8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SHARES BENEFICIALLY OWNED</w:t>
            </w: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BENEFICIALLY OWNED</w:t>
            </w:r>
          </w:p>
        </w:tc>
      </w:tr>
      <w:tr>
        <w:trPr>
          <w:trHeight w:val="162"/>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AFTER OFFERING (ASSUMING</w:t>
            </w: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OFFERING (ASSUMING</w:t>
            </w:r>
          </w:p>
        </w:tc>
      </w:tr>
      <w:tr>
        <w:trPr>
          <w:trHeight w:val="162"/>
        </w:trPr>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SHARES BENEFICIALLY</w:t>
            </w:r>
          </w:p>
        </w:tc>
        <w:tc>
          <w:tcPr>
            <w:tcW w:w="3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NO EXERCISE OF THE OPTION</w:t>
            </w: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FULL EXERCISE OF THE</w:t>
            </w:r>
          </w:p>
        </w:tc>
      </w:tr>
      <w:tr>
        <w:trPr>
          <w:trHeight w:val="162"/>
        </w:trPr>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OWNED PRIOR TO</w:t>
            </w:r>
          </w:p>
        </w:tc>
        <w:tc>
          <w:tcPr>
            <w:tcW w:w="3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TO PURCHASE ADDITIONAL</w:t>
            </w: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OPTION TO PURCHASE</w:t>
            </w:r>
          </w:p>
        </w:tc>
      </w:tr>
      <w:tr>
        <w:trPr>
          <w:trHeight w:val="175"/>
        </w:trPr>
        <w:tc>
          <w:tcPr>
            <w:tcW w:w="640" w:type="dxa"/>
            <w:vAlign w:val="bottom"/>
          </w:tcPr>
          <w:p>
            <w:pPr>
              <w:spacing w:after="0"/>
              <w:rPr>
                <w:sz w:val="15"/>
                <w:szCs w:val="15"/>
                <w:color w:val="auto"/>
              </w:rPr>
            </w:pPr>
          </w:p>
        </w:tc>
        <w:tc>
          <w:tcPr>
            <w:tcW w:w="182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OFFERING</w:t>
            </w:r>
          </w:p>
        </w:tc>
        <w:tc>
          <w:tcPr>
            <w:tcW w:w="860" w:type="dxa"/>
            <w:vAlign w:val="bottom"/>
          </w:tcPr>
          <w:p>
            <w:pPr>
              <w:spacing w:after="0"/>
              <w:rPr>
                <w:sz w:val="15"/>
                <w:szCs w:val="15"/>
                <w:color w:val="auto"/>
              </w:rPr>
            </w:pPr>
          </w:p>
        </w:tc>
        <w:tc>
          <w:tcPr>
            <w:tcW w:w="21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SHARES)</w:t>
            </w: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 SHARES)</w:t>
            </w:r>
          </w:p>
        </w:tc>
      </w:tr>
      <w:tr>
        <w:trPr>
          <w:trHeight w:val="156"/>
        </w:trPr>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PERCENTAGE</w:t>
            </w:r>
          </w:p>
        </w:tc>
        <w:tc>
          <w:tcPr>
            <w:tcW w:w="42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PERCENTAGE</w:t>
            </w:r>
          </w:p>
        </w:tc>
        <w:tc>
          <w:tcPr>
            <w:tcW w:w="42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-8255</wp:posOffset>
            </wp:positionV>
            <wp:extent cx="7246620"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351790</wp:posOffset>
            </wp:positionV>
            <wp:extent cx="724662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660400</wp:posOffset>
            </wp:positionV>
            <wp:extent cx="724662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900430</wp:posOffset>
            </wp:positionV>
            <wp:extent cx="7246620"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1329055</wp:posOffset>
            </wp:positionV>
            <wp:extent cx="724662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1569085</wp:posOffset>
            </wp:positionV>
            <wp:extent cx="724662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1809750</wp:posOffset>
            </wp:positionV>
            <wp:extent cx="724662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124</w:t>
      </w:r>
    </w:p>
    <w:p>
      <w:pPr>
        <w:sectPr>
          <w:pgSz w:w="11900" w:h="16838" w:orient="portrait"/>
          <w:cols w:equalWidth="0" w:num="2">
            <w:col w:w="2880" w:space="420"/>
            <w:col w:w="8120"/>
          </w:cols>
          <w:pgMar w:left="240" w:top="459" w:right="2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299"/>
        <w:spacing w:after="0" w:line="242" w:lineRule="auto"/>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Includes shares held by Fifth Cinven Fund (No. 1) Limited Partnership (“LP1”), shares held by Fifth Cinven Fund (No. 2) Limited Partnership (“LP2”), shares held by Fifth Cinven Fund (No. 3) Limited Partnership (“LP3”), shares held by Fifth Cinven Fund (No. 4) Limited Partnership (“LP4”), shares held by Fifth Cinven Fund (No. 5) Limited Partnership (“LP5”), shares held by Fifth Cinven Fund (No. 6) Limited Partnership (“LP6” and, together with LP1, LP2, LP3, LP4 and LP5, the “Limited Partnerships”), shares held by Fifth Cinven Fund FCP-SIF (“FCP”) and shares held by Fifth Cinven Fund Co-Investment Partnership (“CIP”).</w:t>
      </w:r>
    </w:p>
    <w:p>
      <w:pPr>
        <w:spacing w:after="0" w:line="6" w:lineRule="exact"/>
        <w:rPr>
          <w:sz w:val="20"/>
          <w:szCs w:val="20"/>
          <w:color w:val="auto"/>
        </w:rPr>
      </w:pPr>
    </w:p>
    <w:p>
      <w:pPr>
        <w:ind w:left="340"/>
        <w:spacing w:after="0" w:line="244" w:lineRule="auto"/>
        <w:rPr>
          <w:sz w:val="20"/>
          <w:szCs w:val="20"/>
          <w:color w:val="auto"/>
        </w:rPr>
      </w:pPr>
      <w:r>
        <w:rPr>
          <w:rFonts w:ascii="Arial" w:cs="Arial" w:eastAsia="Arial" w:hAnsi="Arial"/>
          <w:sz w:val="14"/>
          <w:szCs w:val="14"/>
          <w:color w:val="auto"/>
        </w:rPr>
        <w:t>Each of the Limited Partnerships is managed and controlled by Cinven Capital Management (V) Limited Partnership Incorporated (“GPLP”), their Managing General Partner. Cinven Capital Management (V) General Partner Limited (“Cinven MGP” and together with GPLP, CIP, FCP and the Limited Partnerships, the “Cinven Entities) is the Managing General Partner of GPLP. FCP is managed and controlled by Cinven Manco S.A.R.L. (“Manco”). Cinven MGP also exercises investment discretion and control over the shares held by each of FCP and CIP, which are subject to contractual commitments that each invest and divest side-by-side with the Limited Partnerships. Voting and investment determinations with respect to the shares held by the Cinven Entities are made by the majority vote of the board of directors of Cinven MGP, comprised of Brian Linden, Hayley Tanguy, John Boothman, Robin Hall, Rupert Dorey and William Scott. Each such director disclaims beneficial ownership of such shares.</w:t>
      </w:r>
    </w:p>
    <w:p>
      <w:pPr>
        <w:spacing w:after="0" w:line="31" w:lineRule="exact"/>
        <w:rPr>
          <w:sz w:val="20"/>
          <w:szCs w:val="20"/>
          <w:color w:val="auto"/>
        </w:rPr>
      </w:pPr>
    </w:p>
    <w:p>
      <w:pPr>
        <w:ind w:left="360" w:right="40"/>
        <w:spacing w:after="0" w:line="250" w:lineRule="auto"/>
        <w:rPr>
          <w:sz w:val="20"/>
          <w:szCs w:val="20"/>
          <w:color w:val="auto"/>
        </w:rPr>
      </w:pPr>
      <w:r>
        <w:rPr>
          <w:rFonts w:ascii="Arial" w:cs="Arial" w:eastAsia="Arial" w:hAnsi="Arial"/>
          <w:sz w:val="14"/>
          <w:szCs w:val="14"/>
          <w:color w:val="auto"/>
        </w:rPr>
        <w:t>The principal business address for each of Cinven MGP, GPLP and the Limited Partnerships is East Wing, Trafalgar Court, Les Banques, St. Peter Port, Guernsey, GY1 3PP. The principal business address of CIP is Warwick Court, Paternoster Square, London, EC4M 7AG. The principal business address of each of Manco and FCP is 7, rue Lou Hemmer, L-1748, Luxembourg.</w:t>
      </w:r>
    </w:p>
    <w:p>
      <w:pPr>
        <w:ind w:left="340" w:hanging="305"/>
        <w:spacing w:after="0" w:line="185" w:lineRule="auto"/>
        <w:tabs>
          <w:tab w:leader="none" w:pos="340" w:val="left"/>
        </w:tabs>
        <w:numPr>
          <w:ilvl w:val="0"/>
          <w:numId w:val="69"/>
        </w:numPr>
        <w:rPr>
          <w:rFonts w:ascii="Arial" w:cs="Arial" w:eastAsia="Arial" w:hAnsi="Arial"/>
          <w:sz w:val="22"/>
          <w:szCs w:val="22"/>
          <w:color w:val="auto"/>
          <w:vertAlign w:val="superscript"/>
        </w:rPr>
      </w:pPr>
      <w:r>
        <w:rPr>
          <w:rFonts w:ascii="Arial" w:cs="Arial" w:eastAsia="Arial" w:hAnsi="Arial"/>
          <w:sz w:val="13"/>
          <w:szCs w:val="13"/>
          <w:color w:val="auto"/>
        </w:rPr>
        <w:t>Dr. August J. Troendle, as the sole manager of Medpace Investors, LLC, may be deemed to share beneficial ownership of shares held by Medpace Investors, LLC.</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(3)</w:t>
            </w:r>
          </w:p>
        </w:tc>
        <w:tc>
          <w:tcPr>
            <w:tcW w:w="880" w:type="dxa"/>
            <w:vAlign w:val="bottom"/>
          </w:tcPr>
          <w:p>
            <w:pPr>
              <w:ind w:left="80"/>
              <w:spacing w:after="0"/>
              <w:rPr>
                <w:sz w:val="20"/>
                <w:szCs w:val="20"/>
                <w:color w:val="auto"/>
              </w:rPr>
            </w:pPr>
            <w:r>
              <w:rPr>
                <w:rFonts w:ascii="Arial" w:cs="Arial" w:eastAsia="Arial" w:hAnsi="Arial"/>
                <w:sz w:val="14"/>
                <w:szCs w:val="14"/>
                <w:color w:val="auto"/>
              </w:rPr>
              <w:t>Includes</w:t>
            </w:r>
          </w:p>
        </w:tc>
        <w:tc>
          <w:tcPr>
            <w:tcW w:w="2400" w:type="dxa"/>
            <w:vAlign w:val="bottom"/>
          </w:tcPr>
          <w:p>
            <w:pPr>
              <w:ind w:left="280"/>
              <w:spacing w:after="0"/>
              <w:rPr>
                <w:sz w:val="20"/>
                <w:szCs w:val="20"/>
                <w:color w:val="auto"/>
              </w:rPr>
            </w:pPr>
            <w:r>
              <w:rPr>
                <w:rFonts w:ascii="Arial" w:cs="Arial" w:eastAsia="Arial" w:hAnsi="Arial"/>
                <w:sz w:val="14"/>
                <w:szCs w:val="14"/>
                <w:color w:val="auto"/>
              </w:rPr>
              <w:t>shares of common stock and</w:t>
            </w:r>
          </w:p>
        </w:tc>
        <w:tc>
          <w:tcPr>
            <w:tcW w:w="7580" w:type="dxa"/>
            <w:vAlign w:val="bottom"/>
            <w:gridSpan w:val="2"/>
          </w:tcPr>
          <w:p>
            <w:pPr>
              <w:ind w:left="280"/>
              <w:spacing w:after="0"/>
              <w:rPr>
                <w:sz w:val="20"/>
                <w:szCs w:val="20"/>
                <w:color w:val="auto"/>
              </w:rPr>
            </w:pPr>
            <w:r>
              <w:rPr>
                <w:rFonts w:ascii="Arial" w:cs="Arial" w:eastAsia="Arial" w:hAnsi="Arial"/>
                <w:sz w:val="14"/>
                <w:szCs w:val="14"/>
                <w:color w:val="auto"/>
              </w:rPr>
              <w:t>shares of common stock which may be acquired upon the exercise of stock options which have vested or will vest</w:t>
            </w:r>
          </w:p>
        </w:tc>
      </w:tr>
      <w:tr>
        <w:trPr>
          <w:trHeight w:val="162"/>
        </w:trPr>
        <w:tc>
          <w:tcPr>
            <w:tcW w:w="220" w:type="dxa"/>
            <w:vAlign w:val="bottom"/>
          </w:tcPr>
          <w:p>
            <w:pPr>
              <w:spacing w:after="0"/>
              <w:rPr>
                <w:sz w:val="14"/>
                <w:szCs w:val="14"/>
                <w:color w:val="auto"/>
              </w:rPr>
            </w:pPr>
          </w:p>
        </w:tc>
        <w:tc>
          <w:tcPr>
            <w:tcW w:w="6880" w:type="dxa"/>
            <w:vAlign w:val="bottom"/>
            <w:gridSpan w:val="3"/>
          </w:tcPr>
          <w:p>
            <w:pPr>
              <w:ind w:left="80"/>
              <w:spacing w:after="0"/>
              <w:rPr>
                <w:sz w:val="20"/>
                <w:szCs w:val="20"/>
                <w:color w:val="auto"/>
              </w:rPr>
            </w:pPr>
            <w:r>
              <w:rPr>
                <w:rFonts w:ascii="Arial" w:cs="Arial" w:eastAsia="Arial" w:hAnsi="Arial"/>
                <w:sz w:val="14"/>
                <w:szCs w:val="14"/>
                <w:color w:val="auto"/>
              </w:rPr>
              <w:t>within 60 days of the filing of this prospectus, in each case, directly held by Dr. August J. Troendle, and</w:t>
            </w:r>
          </w:p>
        </w:tc>
        <w:tc>
          <w:tcPr>
            <w:tcW w:w="3980" w:type="dxa"/>
            <w:vAlign w:val="bottom"/>
          </w:tcPr>
          <w:p>
            <w:pPr>
              <w:ind w:left="280"/>
              <w:spacing w:after="0"/>
              <w:rPr>
                <w:sz w:val="20"/>
                <w:szCs w:val="20"/>
                <w:color w:val="auto"/>
              </w:rPr>
            </w:pPr>
            <w:r>
              <w:rPr>
                <w:rFonts w:ascii="Arial" w:cs="Arial" w:eastAsia="Arial" w:hAnsi="Arial"/>
                <w:sz w:val="14"/>
                <w:szCs w:val="14"/>
                <w:color w:val="auto"/>
              </w:rPr>
              <w:t>shares of common stock held by Medpace Investors, LLC.</w:t>
            </w:r>
          </w:p>
        </w:tc>
      </w:tr>
      <w:tr>
        <w:trPr>
          <w:trHeight w:val="172"/>
        </w:trPr>
        <w:tc>
          <w:tcPr>
            <w:tcW w:w="220" w:type="dxa"/>
            <w:vAlign w:val="bottom"/>
          </w:tcPr>
          <w:p>
            <w:pPr>
              <w:spacing w:after="0"/>
              <w:rPr>
                <w:sz w:val="14"/>
                <w:szCs w:val="14"/>
                <w:color w:val="auto"/>
              </w:rPr>
            </w:pPr>
          </w:p>
        </w:tc>
        <w:tc>
          <w:tcPr>
            <w:tcW w:w="10860" w:type="dxa"/>
            <w:vAlign w:val="bottom"/>
            <w:gridSpan w:val="4"/>
          </w:tcPr>
          <w:p>
            <w:pPr>
              <w:ind w:left="80"/>
              <w:spacing w:after="0"/>
              <w:rPr>
                <w:sz w:val="20"/>
                <w:szCs w:val="20"/>
                <w:color w:val="auto"/>
              </w:rPr>
            </w:pPr>
            <w:r>
              <w:rPr>
                <w:rFonts w:ascii="Arial" w:cs="Arial" w:eastAsia="Arial" w:hAnsi="Arial"/>
                <w:sz w:val="14"/>
                <w:szCs w:val="14"/>
                <w:color w:val="auto"/>
              </w:rPr>
              <w:t>Dr. August J. Troendle, as the sole manager of Medpace Investors, LLC, may be deemed to share beneficial ownership of shares held by Medpace Investors, LLC.</w:t>
            </w:r>
          </w:p>
        </w:tc>
      </w:tr>
      <w:tr>
        <w:trPr>
          <w:trHeight w:val="19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(4)</w:t>
            </w:r>
          </w:p>
        </w:tc>
        <w:tc>
          <w:tcPr>
            <w:tcW w:w="880" w:type="dxa"/>
            <w:vAlign w:val="bottom"/>
          </w:tcPr>
          <w:p>
            <w:pPr>
              <w:ind w:left="80"/>
              <w:spacing w:after="0"/>
              <w:rPr>
                <w:sz w:val="20"/>
                <w:szCs w:val="20"/>
                <w:color w:val="auto"/>
              </w:rPr>
            </w:pPr>
            <w:r>
              <w:rPr>
                <w:rFonts w:ascii="Arial" w:cs="Arial" w:eastAsia="Arial" w:hAnsi="Arial"/>
                <w:sz w:val="14"/>
                <w:szCs w:val="14"/>
                <w:color w:val="auto"/>
              </w:rPr>
              <w:t>Includes</w:t>
            </w:r>
          </w:p>
        </w:tc>
        <w:tc>
          <w:tcPr>
            <w:tcW w:w="2400" w:type="dxa"/>
            <w:vAlign w:val="bottom"/>
          </w:tcPr>
          <w:p>
            <w:pPr>
              <w:ind w:left="280"/>
              <w:spacing w:after="0"/>
              <w:rPr>
                <w:sz w:val="20"/>
                <w:szCs w:val="20"/>
                <w:color w:val="auto"/>
              </w:rPr>
            </w:pPr>
            <w:r>
              <w:rPr>
                <w:rFonts w:ascii="Arial" w:cs="Arial" w:eastAsia="Arial" w:hAnsi="Arial"/>
                <w:sz w:val="14"/>
                <w:szCs w:val="14"/>
                <w:color w:val="auto"/>
              </w:rPr>
              <w:t>shares of common stock and</w:t>
            </w:r>
          </w:p>
        </w:tc>
        <w:tc>
          <w:tcPr>
            <w:tcW w:w="7580" w:type="dxa"/>
            <w:vAlign w:val="bottom"/>
            <w:gridSpan w:val="2"/>
          </w:tcPr>
          <w:p>
            <w:pPr>
              <w:ind w:left="280"/>
              <w:spacing w:after="0"/>
              <w:rPr>
                <w:sz w:val="20"/>
                <w:szCs w:val="20"/>
                <w:color w:val="auto"/>
              </w:rPr>
            </w:pPr>
            <w:r>
              <w:rPr>
                <w:rFonts w:ascii="Arial" w:cs="Arial" w:eastAsia="Arial" w:hAnsi="Arial"/>
                <w:sz w:val="14"/>
                <w:szCs w:val="14"/>
                <w:color w:val="auto"/>
              </w:rPr>
              <w:t>shares of common stock which may be acquired upon the exercise of stock options which have vested or will vest</w:t>
            </w:r>
          </w:p>
        </w:tc>
      </w:tr>
      <w:tr>
        <w:trPr>
          <w:trHeight w:val="172"/>
        </w:trPr>
        <w:tc>
          <w:tcPr>
            <w:tcW w:w="22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within 60 days of the filing of this prospectus.</w:t>
            </w:r>
          </w:p>
        </w:tc>
        <w:tc>
          <w:tcPr>
            <w:tcW w:w="36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9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(5)</w:t>
            </w:r>
          </w:p>
        </w:tc>
        <w:tc>
          <w:tcPr>
            <w:tcW w:w="880" w:type="dxa"/>
            <w:vAlign w:val="bottom"/>
          </w:tcPr>
          <w:p>
            <w:pPr>
              <w:ind w:left="80"/>
              <w:spacing w:after="0"/>
              <w:rPr>
                <w:sz w:val="20"/>
                <w:szCs w:val="20"/>
                <w:color w:val="auto"/>
              </w:rPr>
            </w:pPr>
            <w:r>
              <w:rPr>
                <w:rFonts w:ascii="Arial" w:cs="Arial" w:eastAsia="Arial" w:hAnsi="Arial"/>
                <w:sz w:val="14"/>
                <w:szCs w:val="14"/>
                <w:color w:val="auto"/>
              </w:rPr>
              <w:t>Includes</w:t>
            </w:r>
          </w:p>
        </w:tc>
        <w:tc>
          <w:tcPr>
            <w:tcW w:w="2400" w:type="dxa"/>
            <w:vAlign w:val="bottom"/>
          </w:tcPr>
          <w:p>
            <w:pPr>
              <w:ind w:left="280"/>
              <w:spacing w:after="0"/>
              <w:rPr>
                <w:sz w:val="20"/>
                <w:szCs w:val="20"/>
                <w:color w:val="auto"/>
              </w:rPr>
            </w:pPr>
            <w:r>
              <w:rPr>
                <w:rFonts w:ascii="Arial" w:cs="Arial" w:eastAsia="Arial" w:hAnsi="Arial"/>
                <w:sz w:val="14"/>
                <w:szCs w:val="14"/>
                <w:color w:val="auto"/>
              </w:rPr>
              <w:t>shares of common stock and</w:t>
            </w:r>
          </w:p>
        </w:tc>
        <w:tc>
          <w:tcPr>
            <w:tcW w:w="7580" w:type="dxa"/>
            <w:vAlign w:val="bottom"/>
            <w:gridSpan w:val="2"/>
          </w:tcPr>
          <w:p>
            <w:pPr>
              <w:ind w:left="280"/>
              <w:spacing w:after="0"/>
              <w:rPr>
                <w:sz w:val="20"/>
                <w:szCs w:val="20"/>
                <w:color w:val="auto"/>
              </w:rPr>
            </w:pPr>
            <w:r>
              <w:rPr>
                <w:rFonts w:ascii="Arial" w:cs="Arial" w:eastAsia="Arial" w:hAnsi="Arial"/>
                <w:sz w:val="14"/>
                <w:szCs w:val="14"/>
                <w:color w:val="auto"/>
              </w:rPr>
              <w:t>shares of common stock which may be acquired upon the exercise of stock options which have vested or will vest</w:t>
            </w:r>
          </w:p>
        </w:tc>
      </w:tr>
      <w:tr>
        <w:trPr>
          <w:trHeight w:val="172"/>
        </w:trPr>
        <w:tc>
          <w:tcPr>
            <w:tcW w:w="22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within 60 days of the filing of this prospectus.</w:t>
            </w:r>
          </w:p>
        </w:tc>
        <w:tc>
          <w:tcPr>
            <w:tcW w:w="3600" w:type="dxa"/>
            <w:vAlign w:val="bottom"/>
          </w:tcPr>
          <w:p>
            <w:pPr>
              <w:spacing w:after="0"/>
              <w:rPr>
                <w:sz w:val="14"/>
                <w:szCs w:val="14"/>
                <w:color w:val="auto"/>
              </w:rPr>
            </w:pPr>
          </w:p>
        </w:tc>
        <w:tc>
          <w:tcPr>
            <w:tcW w:w="3980" w:type="dxa"/>
            <w:vAlign w:val="bottom"/>
          </w:tcPr>
          <w:p>
            <w:pPr>
              <w:spacing w:after="0"/>
              <w:rPr>
                <w:sz w:val="14"/>
                <w:szCs w:val="14"/>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jc w:val="both"/>
        <w:ind w:right="420"/>
        <w:spacing w:after="0" w:line="238"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prior to the consummation of this offering, copies of which are filed as exhibits to the registration statement of which this prospectus is a part.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the consummation of this offering, our authorized capital stock will consist of:</w:t>
      </w:r>
    </w:p>
    <w:p>
      <w:pPr>
        <w:spacing w:after="0" w:line="105" w:lineRule="exact"/>
        <w:rPr>
          <w:sz w:val="20"/>
          <w:szCs w:val="20"/>
          <w:color w:val="auto"/>
        </w:rPr>
      </w:pPr>
    </w:p>
    <w:p>
      <w:pPr>
        <w:ind w:left="340"/>
        <w:spacing w:after="0"/>
        <w:tabs>
          <w:tab w:leader="none" w:pos="780" w:val="left"/>
          <w:tab w:leader="none" w:pos="7200" w:val="left"/>
        </w:tabs>
        <w:rPr>
          <w:sz w:val="20"/>
          <w:szCs w:val="20"/>
          <w:color w:val="auto"/>
        </w:rPr>
      </w:pPr>
      <w:r>
        <w:rPr>
          <w:rFonts w:ascii="Arial" w:cs="Arial" w:eastAsia="Arial" w:hAnsi="Arial"/>
          <w:sz w:val="25"/>
          <w:szCs w:val="25"/>
          <w:color w:val="auto"/>
          <w:vertAlign w:val="superscript"/>
        </w:rPr>
        <w:t>n</w:t>
      </w:r>
      <w:r>
        <w:rPr>
          <w:sz w:val="20"/>
          <w:szCs w:val="20"/>
          <w:color w:val="auto"/>
        </w:rPr>
        <w:tab/>
      </w:r>
      <w:r>
        <w:rPr>
          <w:rFonts w:ascii="Arial" w:cs="Arial" w:eastAsia="Arial" w:hAnsi="Arial"/>
          <w:sz w:val="17"/>
          <w:szCs w:val="17"/>
          <w:color w:val="auto"/>
        </w:rPr>
        <w:t>250,000,000 shares of common stock, par value $0.01 per share, of which</w:t>
      </w:r>
      <w:r>
        <w:rPr>
          <w:sz w:val="20"/>
          <w:szCs w:val="20"/>
          <w:color w:val="auto"/>
        </w:rPr>
        <w:tab/>
      </w:r>
      <w:r>
        <w:rPr>
          <w:rFonts w:ascii="Arial" w:cs="Arial" w:eastAsia="Arial" w:hAnsi="Arial"/>
          <w:sz w:val="17"/>
          <w:szCs w:val="17"/>
          <w:color w:val="auto"/>
        </w:rPr>
        <w:t>shares will be issued and outstanding, and;</w:t>
      </w:r>
    </w:p>
    <w:p>
      <w:pPr>
        <w:spacing w:after="0" w:line="33" w:lineRule="exact"/>
        <w:rPr>
          <w:sz w:val="20"/>
          <w:szCs w:val="20"/>
          <w:color w:val="auto"/>
        </w:rPr>
      </w:pPr>
    </w:p>
    <w:p>
      <w:pPr>
        <w:ind w:right="2200" w:firstLine="346"/>
        <w:spacing w:after="0" w:line="329" w:lineRule="auto"/>
        <w:tabs>
          <w:tab w:leader="none" w:pos="783" w:val="left"/>
        </w:tabs>
        <w:numPr>
          <w:ilvl w:val="0"/>
          <w:numId w:val="70"/>
        </w:numPr>
        <w:rPr>
          <w:rFonts w:ascii="Arial" w:cs="Arial" w:eastAsia="Arial" w:hAnsi="Arial"/>
          <w:sz w:val="25"/>
          <w:szCs w:val="25"/>
          <w:color w:val="auto"/>
          <w:vertAlign w:val="superscript"/>
        </w:rPr>
      </w:pPr>
      <w:r>
        <w:rPr>
          <w:rFonts w:ascii="Arial" w:cs="Arial" w:eastAsia="Arial" w:hAnsi="Arial"/>
          <w:sz w:val="17"/>
          <w:szCs w:val="17"/>
          <w:color w:val="auto"/>
        </w:rPr>
        <w:t>5,000,000 shares of preferred stock, par value $0.01 per share, of which no shares are issued and outstanding. Unless our Board determines otherwise, we will issue all shares of our capital stock in uncertificated form.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5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Holders of our common stock are entitled to one vote for each share held of record on all matters to which shareholders are entitled to vote generally, including the election or removal of directors. The holders of our common stock do not have cumulative voting rights in the election of directors. Accordingly, a holder or group of holders of a majority of the shares of our common stock are able to elect all of the directors.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2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out of legally available funds.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consummation of the offering will be fully paid and non-assessable. The rights, powers, preferences and privileges of holders of our common stock will be subject to and may be adversely affected by the rights of the holders of any shares of our preferred stock we may authorize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amended and restated certificate of incorporation provides that our Board has the authority, without action by the shareholders, to designate and issue up to 5,000,000 shares of preferred stock in one or more classes or series and to fix the powers, rights, preferences, and privileges of each class or series of preferred stock, including dividend rights, conversion rights, voting rights, terms of redemption,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50"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The purpose of authorizing our Board to issue preferred stock and determine its rights and preferences is to eliminate delays associated with a shareholder vote on specific issuances. The issuance of preferred stock, while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liquidation rights of our common stock. As a result of these or other factors, the issuance of preferred stock could have an adverse impact on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Venue</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amended and restated certificate of incorporation, as it will be in effect upon the closing of this offering,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 Any person or entity purchasing or otherwise acquiring any interest in shares of our capital stock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2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our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8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shareholder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amended and restated certificate of incorporation provides that our Board will be divided into three classes of directors, with the classes to be as nearly equal in number as possible, and with the directors serving three-year terms. As a result, approximately one-third of our Board is elected each year. In addition, our amended and restated certificate of incorporation will provide that directors may only be removed from our Board for cause by the affirmative vote of at least a majority of our common stock. See “Management—Board of Directors.” The classification of directors will have the effect of making it more difficult for shareholders to change the composition of our Board. Our amended and restated certificate of incorporation and amended and restated bylaws provide that, subject to any rights of holders of preferred stock to elect additional directors under specified circumstances, the number of directors are fixed from time to time exclusively pursuant to a resolution adopted by the Board.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81"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Accordingly, a holder or group of holders of a majority of the shares of our common stock are able to elect all of the directors.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Shareholder Meetings, Director Nominations and Shareholder Proposals</w:t>
      </w:r>
    </w:p>
    <w:p>
      <w:pPr>
        <w:spacing w:after="0" w:line="8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amended and restated certificate of incorporation will provide that shareholders at an annual meeting may only consider proposals or nominations specified in the notice of meeting or brought before the meeting by or at the direction of our Board or by a qualified shareholder of record on the record date for the meeting, who is entitled to vote at the meeting and who has delivered timely written notice in proper form to our secretary of the shareholder’s intention to bring such business before the meeting. Our amended and restated certificate of incorporation will provide that, subject to applicable law, special meetings of the shareholders may be called only by a resolution adopted by the affirmative vote of the majority of the directors then in office. Our bylaws will prohibit the conduct of any business at a special meeting other than as specified in the notice for such meeting. In addition, any shareholder who wishes to bring business before an annual meeting or nominate directors must comply with the advance notice and duration of ownership requirements set forth in our bylaws and provide us with certain information. These provisions may have the effect of deferring, delaying or discouraging hostile takeovers or changes in control of us or our management.</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bylaws establish advance notice procedures with respect to shareholder proposals and the nomination of candidates for election as directors, other than nominations made by or at the direction of the Board or a committee of the Board. In order for any matter to be “properly brought” before a meeting, a shareholder will have to comply with advance notice requirements and provide us with certain information. Our amended and restated bylaws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pacing w:after="0" w:line="9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shareholders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provide that shareholder action by written consent will be permitted only if the action to be effected by such written consent and the taking of such action by such written consent have been previously approved by 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Amended and Restated Certificate of Incorporation or Amended and Restated Bylaws</w:t>
      </w:r>
    </w:p>
    <w:p>
      <w:pPr>
        <w:spacing w:after="0" w:line="8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this offering, our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amended and restated bylaws may be amended or repealed by a majority vote of our Board or by the affirmative vote of the holders of at least 66-2/3% of the votes which all our shareholders would be entitled to cast in any annual election of directors. In addition, the affirmative vote of the holders of at least 66-2/3% of the votes which all our shareholders would be entitled to cast in any election of directors will be required to amend or repeal or to adopt any provisions inconsistent with any of the provisions of our certificate described above.</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foregoing provisions of our amended and restated certificate of incorporation and amended and restated bylaws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shares of our common stock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93"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will have the right to receive payment of the fair value of their shares as determined by the Delaware Court of Chancery.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Derivative Actions</w:t>
      </w:r>
    </w:p>
    <w:p>
      <w:pPr>
        <w:spacing w:after="0" w:line="8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Under the DGCL, any of our shareholders may bring an action in our name to procure a judgment in our favor, also known as a derivative action, provided that the shareholder bringing the action is a holder of shares of our common stock at the time of the transaction to which the action relates or such shareholder’s stock thereafter devolved by operation of law and such suit is brought in the Court of Chancery in the State of Delaware. See “— Exclusive 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shareholders.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shareholders or their respective affiliates, other than those officers, directors, shareholders or affiliates who are our or our subsidiaries’ employees. Our amended and restated certificate of incorporation provides that, to the fullest extent permitted by law, each of Cinven or any of its affiliates or any director who is not employed by us (including any non-employee director who serves as one of our officers in both his director and officer capacities) or his or her affiliates has no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Cinven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93"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indemnification for our directors and officers to the fullest extent permitted by the DGCL. Prior to the completion of this offering, we intend to enter into indemnification agreements with each of our directors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shareholders in derivative suits to recover monetary damages against a director for breach of fiduciary duties as a director, except that a director will be personally liable for:</w:t>
      </w:r>
    </w:p>
    <w:p>
      <w:pPr>
        <w:spacing w:after="0" w:line="109" w:lineRule="exact"/>
        <w:rPr>
          <w:sz w:val="20"/>
          <w:szCs w:val="20"/>
          <w:color w:val="auto"/>
        </w:rPr>
      </w:pPr>
    </w:p>
    <w:p>
      <w:pPr>
        <w:ind w:left="800" w:hanging="454"/>
        <w:spacing w:after="0"/>
        <w:tabs>
          <w:tab w:leader="none" w:pos="800" w:val="left"/>
        </w:tabs>
        <w:numPr>
          <w:ilvl w:val="0"/>
          <w:numId w:val="71"/>
        </w:numPr>
        <w:rPr>
          <w:rFonts w:ascii="Arial" w:cs="Arial" w:eastAsia="Arial" w:hAnsi="Arial"/>
          <w:sz w:val="25"/>
          <w:szCs w:val="25"/>
          <w:color w:val="auto"/>
          <w:vertAlign w:val="superscript"/>
        </w:rPr>
      </w:pPr>
      <w:r>
        <w:rPr>
          <w:rFonts w:ascii="Arial" w:cs="Arial" w:eastAsia="Arial" w:hAnsi="Arial"/>
          <w:sz w:val="17"/>
          <w:szCs w:val="17"/>
          <w:color w:val="auto"/>
        </w:rPr>
        <w:t>any breach of his duty of loyalty to us or our shareholders;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1"/>
        </w:numPr>
        <w:rPr>
          <w:rFonts w:ascii="Arial" w:cs="Arial" w:eastAsia="Arial" w:hAnsi="Arial"/>
          <w:sz w:val="23"/>
          <w:szCs w:val="23"/>
          <w:color w:val="auto"/>
          <w:vertAlign w:val="superscript"/>
        </w:rPr>
      </w:pPr>
      <w:r>
        <w:rPr>
          <w:rFonts w:ascii="Arial" w:cs="Arial" w:eastAsia="Arial" w:hAnsi="Arial"/>
          <w:sz w:val="16"/>
          <w:szCs w:val="16"/>
          <w:color w:val="auto"/>
        </w:rPr>
        <w:t>acts or omissions not in good faith or which involve intentional misconduct or a knowing violation of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1"/>
        </w:numPr>
        <w:rPr>
          <w:rFonts w:ascii="Arial" w:cs="Arial" w:eastAsia="Arial" w:hAnsi="Arial"/>
          <w:sz w:val="23"/>
          <w:szCs w:val="23"/>
          <w:color w:val="auto"/>
          <w:vertAlign w:val="superscript"/>
        </w:rPr>
      </w:pPr>
      <w:r>
        <w:rPr>
          <w:rFonts w:ascii="Arial" w:cs="Arial" w:eastAsia="Arial" w:hAnsi="Arial"/>
          <w:sz w:val="16"/>
          <w:szCs w:val="16"/>
          <w:color w:val="auto"/>
        </w:rPr>
        <w:t>any transaction from which the director derived an improper personal benefit;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1"/>
        </w:numPr>
        <w:rPr>
          <w:rFonts w:ascii="Arial" w:cs="Arial" w:eastAsia="Arial" w:hAnsi="Arial"/>
          <w:sz w:val="23"/>
          <w:szCs w:val="23"/>
          <w:color w:val="auto"/>
          <w:vertAlign w:val="superscript"/>
        </w:rPr>
      </w:pPr>
      <w:r>
        <w:rPr>
          <w:rFonts w:ascii="Arial" w:cs="Arial" w:eastAsia="Arial" w:hAnsi="Arial"/>
          <w:sz w:val="16"/>
          <w:szCs w:val="16"/>
          <w:color w:val="auto"/>
        </w:rPr>
        <w:t>improper distributions to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be held not to be enforceable for violations of the federal securities laws of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 See “Certain Relationships and Related Person Transactions—Voting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80"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In connection with this offering, we will enter into the Registration Rights Agreement with Cinven and Dr. August J. Troendle, our Chief Executive Officer and founder, pursuant to which such holders will have specified rights to require us to register all or any portion of their shares under the Securities Act. See “Certain Relationships and Related Person Transactions—Registration Rights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will be American Stock Transfer &amp; Trust Company,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list our common stock on NASDAQ under the symbol “MEDP.”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141" w:lineRule="exact"/>
        <w:rPr>
          <w:sz w:val="20"/>
          <w:szCs w:val="20"/>
          <w:color w:val="auto"/>
        </w:rPr>
      </w:pPr>
    </w:p>
    <w:p>
      <w:pPr>
        <w:spacing w:after="0"/>
        <w:tabs>
          <w:tab w:leader="none" w:pos="6380" w:val="left"/>
        </w:tabs>
        <w:rPr>
          <w:sz w:val="20"/>
          <w:szCs w:val="20"/>
          <w:color w:val="auto"/>
        </w:rPr>
      </w:pPr>
      <w:r>
        <w:rPr>
          <w:rFonts w:ascii="Arial" w:cs="Arial" w:eastAsia="Arial" w:hAnsi="Arial"/>
          <w:sz w:val="17"/>
          <w:szCs w:val="17"/>
          <w:color w:val="auto"/>
        </w:rPr>
        <w:t>Upon the closing of this offering, we will have outstanding an aggregate of</w:t>
      </w:r>
      <w:r>
        <w:rPr>
          <w:sz w:val="20"/>
          <w:szCs w:val="20"/>
          <w:color w:val="auto"/>
        </w:rPr>
        <w:tab/>
      </w:r>
      <w:r>
        <w:rPr>
          <w:rFonts w:ascii="Arial" w:cs="Arial" w:eastAsia="Arial" w:hAnsi="Arial"/>
          <w:sz w:val="17"/>
          <w:szCs w:val="17"/>
          <w:color w:val="auto"/>
        </w:rPr>
        <w:t>shares of common stock, assuming the issuance of</w:t>
      </w:r>
    </w:p>
    <w:p>
      <w:pPr>
        <w:ind w:right="40" w:firstLine="760"/>
        <w:spacing w:after="0" w:line="238" w:lineRule="auto"/>
        <w:rPr>
          <w:sz w:val="20"/>
          <w:szCs w:val="20"/>
          <w:color w:val="auto"/>
        </w:rPr>
      </w:pPr>
      <w:r>
        <w:rPr>
          <w:rFonts w:ascii="Arial" w:cs="Arial" w:eastAsia="Arial" w:hAnsi="Arial"/>
          <w:sz w:val="17"/>
          <w:szCs w:val="17"/>
          <w:color w:val="auto"/>
        </w:rPr>
        <w:t>shares of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8" w:lineRule="exact"/>
        <w:rPr>
          <w:sz w:val="20"/>
          <w:szCs w:val="20"/>
          <w:color w:val="auto"/>
        </w:rPr>
      </w:pPr>
    </w:p>
    <w:p>
      <w:pPr>
        <w:ind w:right="420"/>
        <w:spacing w:after="0" w:line="232" w:lineRule="auto"/>
        <w:rPr>
          <w:sz w:val="20"/>
          <w:szCs w:val="20"/>
          <w:color w:val="auto"/>
        </w:rPr>
      </w:pPr>
      <w:r>
        <w:rPr>
          <w:rFonts w:ascii="Arial" w:cs="Arial" w:eastAsia="Arial" w:hAnsi="Arial"/>
          <w:sz w:val="17"/>
          <w:szCs w:val="17"/>
          <w:color w:val="auto"/>
        </w:rPr>
        <w:t>In addition, of the shares of our common stock that will be subject to stock options outstanding immediately after this offering, options to purchase shares of common stock will be vested immediately after this offering and, upon exercise, these shares will be eligible for sale</w:t>
      </w:r>
    </w:p>
    <w:p>
      <w:pPr>
        <w:spacing w:after="0"/>
        <w:rPr>
          <w:sz w:val="20"/>
          <w:szCs w:val="20"/>
          <w:color w:val="auto"/>
        </w:rPr>
      </w:pPr>
      <w:r>
        <w:rPr>
          <w:rFonts w:ascii="Arial" w:cs="Arial" w:eastAsia="Arial" w:hAnsi="Arial"/>
          <w:sz w:val="17"/>
          <w:szCs w:val="17"/>
          <w:color w:val="auto"/>
        </w:rPr>
        <w:t>subject to the lock–up agreements described below and the holding requirements of Rules 144 and 701 under the Securities Act.</w:t>
      </w:r>
    </w:p>
    <w:p>
      <w:pPr>
        <w:spacing w:after="0" w:line="21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under the Plan, we intend to grant to certain of our employees in connection with this offering equity awards with respect to an aggregate of up to 2% of our fully diluted shares of common stock outstanding immediately following the completion of the offering. We have not yet determined the allocation of such equity awards among the individuals. The shares issuable with respect to these awards not held by our affiliates will be freely tradable without restriction under the Securities Act, however, they will be subject to the 180-day lock-up arrangements described under “—Lock-Up Agreements.” See “Executive and Director Compensation—Narrative to Summary Compensation Table—Offering Grants to Employees under the 2016 Incentive Award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3"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We, our officers, directors, director nominees and holders of substantially all of our outstanding capital stock have agreed, subject to specified exceptions, not to directly or indirectly:</w:t>
      </w:r>
    </w:p>
    <w:p>
      <w:pPr>
        <w:spacing w:after="0" w:line="185" w:lineRule="exact"/>
        <w:rPr>
          <w:sz w:val="20"/>
          <w:szCs w:val="20"/>
          <w:color w:val="auto"/>
        </w:rPr>
      </w:pPr>
    </w:p>
    <w:p>
      <w:pPr>
        <w:ind w:left="800" w:right="280" w:hanging="454"/>
        <w:spacing w:after="0" w:line="195" w:lineRule="auto"/>
        <w:tabs>
          <w:tab w:leader="none" w:pos="800" w:val="left"/>
        </w:tabs>
        <w:numPr>
          <w:ilvl w:val="0"/>
          <w:numId w:val="72"/>
        </w:numPr>
        <w:rPr>
          <w:rFonts w:ascii="Arial" w:cs="Arial" w:eastAsia="Arial" w:hAnsi="Arial"/>
          <w:sz w:val="25"/>
          <w:szCs w:val="25"/>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26" w:lineRule="exact"/>
        <w:rPr>
          <w:rFonts w:ascii="Arial" w:cs="Arial" w:eastAsia="Arial" w:hAnsi="Arial"/>
          <w:sz w:val="25"/>
          <w:szCs w:val="25"/>
          <w:color w:val="auto"/>
          <w:vertAlign w:val="superscript"/>
        </w:rPr>
      </w:pPr>
    </w:p>
    <w:p>
      <w:pPr>
        <w:ind w:left="800" w:right="280" w:hanging="454"/>
        <w:spacing w:after="0" w:line="195" w:lineRule="auto"/>
        <w:tabs>
          <w:tab w:leader="none" w:pos="800" w:val="left"/>
        </w:tabs>
        <w:numPr>
          <w:ilvl w:val="0"/>
          <w:numId w:val="72"/>
        </w:numPr>
        <w:rPr>
          <w:rFonts w:ascii="Arial" w:cs="Arial" w:eastAsia="Arial" w:hAnsi="Arial"/>
          <w:sz w:val="25"/>
          <w:szCs w:val="25"/>
          <w:color w:val="auto"/>
          <w:vertAlign w:val="superscript"/>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72"/>
        </w:numPr>
        <w:rPr>
          <w:rFonts w:ascii="Arial" w:cs="Arial" w:eastAsia="Arial" w:hAnsi="Arial"/>
          <w:sz w:val="25"/>
          <w:szCs w:val="25"/>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180th day after the date of this prospectus.</w:t>
      </w:r>
    </w:p>
    <w:p>
      <w:pPr>
        <w:spacing w:after="0" w:line="15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Upon the expiration of the applicable lock-up periods, substantially all of the shares subject to such lock-up restrictions will become eligible for sale, subject to the limitations discussed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420"/>
          </w:cols>
          <w:pgMar w:left="240" w:top="459" w:right="239" w:bottom="1440" w:gutter="0" w:footer="0" w:header="0"/>
        </w:sectPr>
      </w:pPr>
    </w:p>
    <w:p>
      <w:pPr>
        <w:spacing w:after="0" w:line="182" w:lineRule="exact"/>
        <w:rPr>
          <w:sz w:val="20"/>
          <w:szCs w:val="20"/>
          <w:color w:val="auto"/>
        </w:rPr>
      </w:pPr>
    </w:p>
    <w:p>
      <w:pPr>
        <w:ind w:left="34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 after this</w:t>
      </w:r>
    </w:p>
    <w:p>
      <w:pPr>
        <w:spacing w:after="0" w:line="223" w:lineRule="exact"/>
        <w:rPr>
          <w:sz w:val="20"/>
          <w:szCs w:val="20"/>
          <w:color w:val="auto"/>
        </w:rPr>
      </w:pPr>
    </w:p>
    <w:p>
      <w:pPr>
        <w:sectPr>
          <w:pgSz w:w="11900" w:h="16838" w:orient="portrait"/>
          <w:cols w:equalWidth="0" w:num="3">
            <w:col w:w="400" w:space="400"/>
            <w:col w:w="7520" w:space="720"/>
            <w:col w:w="2380"/>
          </w:cols>
          <w:pgMar w:left="240" w:top="459" w:right="239" w:bottom="1440" w:gutter="0" w:footer="0" w:header="0"/>
          <w:type w:val="continuous"/>
        </w:sectPr>
      </w:pPr>
    </w:p>
    <w:p>
      <w:pPr>
        <w:ind w:left="800" w:right="420" w:hanging="454"/>
        <w:spacing w:after="0" w:line="195" w:lineRule="auto"/>
        <w:tabs>
          <w:tab w:leader="none" w:pos="800" w:val="left"/>
        </w:tabs>
        <w:numPr>
          <w:ilvl w:val="0"/>
          <w:numId w:val="73"/>
        </w:numPr>
        <w:rPr>
          <w:rFonts w:ascii="Arial" w:cs="Arial" w:eastAsia="Arial" w:hAnsi="Arial"/>
          <w:sz w:val="25"/>
          <w:szCs w:val="25"/>
          <w:color w:val="auto"/>
          <w:vertAlign w:val="superscript"/>
        </w:rPr>
      </w:pPr>
      <w:r>
        <w:rPr>
          <w:rFonts w:ascii="Arial" w:cs="Arial" w:eastAsia="Arial" w:hAnsi="Arial"/>
          <w:sz w:val="17"/>
          <w:szCs w:val="17"/>
          <w:color w:val="auto"/>
        </w:rPr>
        <w:t>the average weekly trading volume in our common stock on NASDAQ during the four calendar weeks preceding the filing of a notice on Form 144 with respect to such sale.</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41"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shares of our common stock for at least one year, such person can resell under Rule 144(b)(1) without regard to any Rule 144 restrictions, including the 90-day public company requirement and the current public information requirement.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80"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the Plan. We expect to file the registration statement covering shares offered pursuant to the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Upon the closing of this offering, the holders of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“Certain Relationships and Related Person Transactions—Registration Rights Agreement” for additional information. Shares covered by a registration statement will be eligible for sale in the public market upon the expiration or release from the terms of the lock-up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07" w:lineRule="exact"/>
        <w:rPr>
          <w:sz w:val="20"/>
          <w:szCs w:val="20"/>
          <w:color w:val="auto"/>
        </w:rPr>
      </w:pPr>
    </w:p>
    <w:p>
      <w:pPr>
        <w:ind w:left="800" w:hanging="454"/>
        <w:spacing w:after="0"/>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U.S. expatriates and former citizens or long-term residents of the United States;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persons subject to the alternative minimum tax;</w:t>
      </w:r>
    </w:p>
    <w:p>
      <w:pPr>
        <w:spacing w:after="0" w:line="25" w:lineRule="exact"/>
        <w:rPr>
          <w:rFonts w:ascii="Arial" w:cs="Arial" w:eastAsia="Arial" w:hAnsi="Arial"/>
          <w:sz w:val="23"/>
          <w:szCs w:val="23"/>
          <w:color w:val="auto"/>
          <w:vertAlign w:val="superscript"/>
        </w:rPr>
      </w:pPr>
    </w:p>
    <w:p>
      <w:pPr>
        <w:ind w:left="800" w:right="420" w:hanging="454"/>
        <w:spacing w:after="0" w:line="195"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banks, insurance companies, and other financial institutions;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brokers, dealers or traders in securities;</w:t>
      </w:r>
    </w:p>
    <w:p>
      <w:pPr>
        <w:spacing w:after="0" w:line="25" w:lineRule="exact"/>
        <w:rPr>
          <w:rFonts w:ascii="Arial" w:cs="Arial" w:eastAsia="Arial" w:hAnsi="Arial"/>
          <w:sz w:val="23"/>
          <w:szCs w:val="23"/>
          <w:color w:val="auto"/>
          <w:vertAlign w:val="superscript"/>
        </w:rPr>
      </w:pPr>
    </w:p>
    <w:p>
      <w:pPr>
        <w:ind w:left="800" w:right="160" w:hanging="454"/>
        <w:spacing w:after="0" w:line="195"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tax-exempt organizations or governmental organizations;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persons deemed to sell our common stock under the constructive sale provisions of the Code;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tax-qualified retirement plans.</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29"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800" w:hanging="454"/>
        <w:spacing w:after="0"/>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an individual who is a citizen or resident of the United States;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 corporation created or organized under the laws of the United States, any state thereof, or the District of Columbia;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an estate, the income of which is subject to U.S. federal income tax regardless of its source; or</w:t>
      </w:r>
    </w:p>
    <w:p>
      <w:pPr>
        <w:spacing w:after="0" w:line="25" w:lineRule="exact"/>
        <w:rPr>
          <w:rFonts w:ascii="Arial" w:cs="Arial" w:eastAsia="Arial" w:hAnsi="Arial"/>
          <w:sz w:val="23"/>
          <w:szCs w:val="23"/>
          <w:color w:val="auto"/>
          <w:vertAlign w:val="superscript"/>
        </w:rPr>
      </w:pPr>
    </w:p>
    <w:p>
      <w:pPr>
        <w:ind w:left="800" w:right="380" w:hanging="454"/>
        <w:spacing w:after="0" w:line="206" w:lineRule="auto"/>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2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Subject to the discussion below regarding FATCA, a Non-U.S. Holder will not be subject to U.S. federal income tax on any gain realized upon the sale or other taxable disposition of our common stock unless:</w:t>
      </w:r>
    </w:p>
    <w:p>
      <w:pPr>
        <w:spacing w:after="0" w:line="185" w:lineRule="exact"/>
        <w:rPr>
          <w:sz w:val="20"/>
          <w:szCs w:val="20"/>
          <w:color w:val="auto"/>
        </w:rPr>
      </w:pPr>
    </w:p>
    <w:p>
      <w:pPr>
        <w:ind w:left="800" w:right="260" w:hanging="454"/>
        <w:spacing w:after="0" w:line="206"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5" w:lineRule="exact"/>
        <w:rPr>
          <w:rFonts w:ascii="Arial" w:cs="Arial" w:eastAsia="Arial" w:hAnsi="Arial"/>
          <w:sz w:val="25"/>
          <w:szCs w:val="25"/>
          <w:color w:val="auto"/>
          <w:vertAlign w:val="superscript"/>
        </w:rPr>
      </w:pPr>
    </w:p>
    <w:p>
      <w:pPr>
        <w:ind w:left="800" w:right="620" w:hanging="454"/>
        <w:spacing w:after="0" w:line="195"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hanging="454"/>
        <w:spacing w:after="0" w:line="195" w:lineRule="auto"/>
        <w:tabs>
          <w:tab w:leader="none" w:pos="8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our common stock constitutes a U.S. real property interest, or USRPI, by reason of our status as a U.S. real property holding corporation, or USRPHC, for U.S. federal income tax purposes.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and/or constructively, 5% or less of our common stock throughout the shorter of the five-year period ending on the date of the sale or other taxable disposition or the Non-U.S. Holder’s holding period.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80"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tax under FATCA to their investment in our common stock.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Subject to the terms and conditions set forth in the underwriting agreement, dated , 2016, among us and Jefferies LLC and Credit Suisse Securities (USA) LLC, as the representatives of the underwriters named below,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5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3"/>
        </w:trPr>
        <w:tc>
          <w:tcPr>
            <w:tcW w:w="112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94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54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5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UBS Securities LLC</w:t>
            </w: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540" w:type="dxa"/>
            <w:vAlign w:val="bottom"/>
            <w:gridSpan w:val="2"/>
          </w:tcPr>
          <w:p>
            <w:pPr>
              <w:spacing w:after="0" w:line="189" w:lineRule="exact"/>
              <w:rPr>
                <w:sz w:val="20"/>
                <w:szCs w:val="20"/>
                <w:color w:val="auto"/>
              </w:rPr>
            </w:pPr>
            <w:r>
              <w:rPr>
                <w:rFonts w:ascii="Arial" w:cs="Arial" w:eastAsia="Arial" w:hAnsi="Arial"/>
                <w:sz w:val="17"/>
                <w:szCs w:val="17"/>
                <w:color w:val="auto"/>
              </w:rPr>
              <w:t>Wells Fargo Securities, LLC</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5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Robert W. Baird &amp; Co. Incorporated</w:t>
            </w: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540" w:type="dxa"/>
            <w:vAlign w:val="bottom"/>
            <w:gridSpan w:val="2"/>
          </w:tcPr>
          <w:p>
            <w:pPr>
              <w:spacing w:after="0" w:line="189" w:lineRule="exact"/>
              <w:rPr>
                <w:sz w:val="20"/>
                <w:szCs w:val="20"/>
                <w:color w:val="auto"/>
              </w:rPr>
            </w:pPr>
            <w:r>
              <w:rPr>
                <w:rFonts w:ascii="Arial" w:cs="Arial" w:eastAsia="Arial" w:hAnsi="Arial"/>
                <w:sz w:val="17"/>
                <w:szCs w:val="17"/>
                <w:color w:val="auto"/>
              </w:rPr>
              <w:t>William Blair &amp; Company, L.L.C.</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auto"/>
            </w:tcBorders>
          </w:tcPr>
          <w:p>
            <w:pPr>
              <w:spacing w:after="0"/>
              <w:rPr>
                <w:sz w:val="18"/>
                <w:szCs w:val="18"/>
                <w:color w:val="auto"/>
              </w:rPr>
            </w:pPr>
          </w:p>
        </w:tc>
        <w:tc>
          <w:tcPr>
            <w:tcW w:w="9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shares of common stock will constitute a new class of securities with no established trading market. 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ind w:right="280"/>
        <w:spacing w:after="0" w:line="232"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w:t>
      </w:r>
    </w:p>
    <w:p>
      <w:pPr>
        <w:ind w:right="40"/>
        <w:spacing w:after="0" w:line="238" w:lineRule="auto"/>
        <w:rPr>
          <w:sz w:val="20"/>
          <w:szCs w:val="20"/>
          <w:color w:val="auto"/>
        </w:rPr>
      </w:pPr>
      <w:r>
        <w:rPr>
          <w:rFonts w:ascii="Arial" w:cs="Arial" w:eastAsia="Arial" w:hAnsi="Arial"/>
          <w:sz w:val="17"/>
          <w:szCs w:val="17"/>
          <w:color w:val="auto"/>
        </w:rPr>
        <w:t>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160" w:type="dxa"/>
            <w:vAlign w:val="bottom"/>
            <w:gridSpan w:val="4"/>
          </w:tcPr>
          <w:p>
            <w:pPr>
              <w:ind w:left="820"/>
              <w:spacing w:after="0"/>
              <w:rPr>
                <w:sz w:val="20"/>
                <w:szCs w:val="20"/>
                <w:color w:val="auto"/>
              </w:rPr>
            </w:pPr>
            <w:r>
              <w:rPr>
                <w:rFonts w:ascii="Arial" w:cs="Arial" w:eastAsia="Arial" w:hAnsi="Arial"/>
                <w:sz w:val="14"/>
                <w:szCs w:val="14"/>
                <w:b w:val="1"/>
                <w:bCs w:val="1"/>
                <w:color w:val="auto"/>
              </w:rPr>
              <w:t>PER SHARE</w:t>
            </w:r>
          </w:p>
        </w:tc>
        <w:tc>
          <w:tcPr>
            <w:tcW w:w="900" w:type="dxa"/>
            <w:vAlign w:val="bottom"/>
          </w:tcPr>
          <w:p>
            <w:pPr>
              <w:spacing w:after="0"/>
              <w:rPr>
                <w:sz w:val="15"/>
                <w:szCs w:val="15"/>
                <w:color w:val="auto"/>
              </w:rPr>
            </w:pPr>
          </w:p>
        </w:tc>
        <w:tc>
          <w:tcPr>
            <w:tcW w:w="170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6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2"/>
                <w:szCs w:val="12"/>
                <w:color w:val="auto"/>
              </w:rPr>
            </w:pPr>
          </w:p>
        </w:tc>
      </w:tr>
      <w:tr>
        <w:trPr>
          <w:trHeight w:val="162"/>
        </w:trPr>
        <w:tc>
          <w:tcPr>
            <w:tcW w:w="5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8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OPTION TO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8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PURCHASE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8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7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56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5"/>
                <w:szCs w:val="15"/>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r>
      <w:tr>
        <w:trPr>
          <w:trHeight w:val="183"/>
        </w:trPr>
        <w:tc>
          <w:tcPr>
            <w:tcW w:w="5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00" w:type="dxa"/>
            <w:vAlign w:val="bottom"/>
            <w:tcBorders>
              <w:top w:val="single" w:sz="8" w:color="auto"/>
            </w:tcBorders>
            <w:shd w:val="clear" w:color="auto" w:fill="CCEEFF"/>
          </w:tcPr>
          <w:p>
            <w:pPr>
              <w:jc w:val="right"/>
              <w:ind w:right="724"/>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3"/>
              <w:spacing w:after="0" w:line="183"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66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900" w:type="dxa"/>
            <w:vAlign w:val="bottom"/>
          </w:tcPr>
          <w:p>
            <w:pPr>
              <w:jc w:val="right"/>
              <w:ind w:right="724"/>
              <w:spacing w:after="0" w:line="189" w:lineRule="exact"/>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900" w:type="dxa"/>
            <w:vAlign w:val="bottom"/>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900" w:type="dxa"/>
            <w:vAlign w:val="bottom"/>
            <w:shd w:val="clear" w:color="auto" w:fill="CCEEFF"/>
          </w:tcPr>
          <w:p>
            <w:pPr>
              <w:jc w:val="right"/>
              <w:ind w:right="724"/>
              <w:spacing w:after="0" w:line="189" w:lineRule="exact"/>
              <w:rPr>
                <w:sz w:val="20"/>
                <w:szCs w:val="20"/>
                <w:color w:val="auto"/>
              </w:rPr>
            </w:pPr>
            <w:r>
              <w:rPr>
                <w:rFonts w:ascii="Arial" w:cs="Arial" w:eastAsia="Arial" w:hAnsi="Arial"/>
                <w:sz w:val="17"/>
                <w:szCs w:val="17"/>
                <w:color w:val="auto"/>
                <w:w w:val="84"/>
              </w:rPr>
              <w:t>$</w:t>
            </w:r>
          </w:p>
        </w:tc>
        <w:tc>
          <w:tcPr>
            <w:tcW w:w="158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600"/>
        <w:spacing w:after="0" w:line="243" w:lineRule="auto"/>
        <w:rPr>
          <w:sz w:val="20"/>
          <w:szCs w:val="20"/>
          <w:color w:val="auto"/>
        </w:rPr>
      </w:pPr>
      <w:r>
        <w:rPr>
          <w:rFonts w:ascii="Arial" w:cs="Arial" w:eastAsia="Arial" w:hAnsi="Arial"/>
          <w:sz w:val="17"/>
          <w:szCs w:val="17"/>
          <w:color w:val="auto"/>
        </w:rPr>
        <w:t>approximately $ . We have also agreed to reimburse the underwriters for certain expenses, including up to an aggregate of $ in connection with the clearance of this offering with the Financial Industry Regulatory Authority, as set forth in the underwriting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listed on NASDAQ under the trading symbol “MEDP.”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17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We, our officers, directors, director nominees and holders of all or substantially all our outstanding capital stock and other securities have agreed, subject to specified exceptions, not to directly or indirectly:</w:t>
      </w:r>
    </w:p>
    <w:p>
      <w:pPr>
        <w:spacing w:after="0" w:line="185" w:lineRule="exact"/>
        <w:rPr>
          <w:sz w:val="20"/>
          <w:szCs w:val="20"/>
          <w:color w:val="auto"/>
        </w:rPr>
      </w:pPr>
    </w:p>
    <w:p>
      <w:pPr>
        <w:ind w:left="800" w:right="280" w:hanging="454"/>
        <w:spacing w:after="0" w:line="195" w:lineRule="auto"/>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60" w:hanging="454"/>
        <w:spacing w:after="0" w:line="195" w:lineRule="auto"/>
        <w:tabs>
          <w:tab w:leader="none" w:pos="8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6" w:lineRule="exact"/>
        <w:rPr>
          <w:rFonts w:ascii="Arial" w:cs="Arial" w:eastAsia="Arial" w:hAnsi="Arial"/>
          <w:sz w:val="25"/>
          <w:szCs w:val="25"/>
          <w:color w:val="auto"/>
          <w:vertAlign w:val="superscript"/>
        </w:rPr>
      </w:pPr>
    </w:p>
    <w:p>
      <w:pPr>
        <w:ind w:left="800" w:right="220" w:hanging="454"/>
        <w:spacing w:after="0" w:line="195" w:lineRule="auto"/>
        <w:tabs>
          <w:tab w:leader="none" w:pos="8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underwriter and certain of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4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particular, an affiliate of Jefferies LLC serves as the administrative agent, swingline lender and co-documentation agent of our Senior Secured Credit Facilities and certain affiliates of Jefferies LLC, Credit Suisse Securities (USA) LLC, UBS Securities LLC and Wells Fargo Securities, LLC serve as joint lead arrangers, joint bookrunners and syndication agents of our Senior Secured Credit Facilities and certain affiliates of Jefferies LLC, Credit Suisse Securities (USA) LLC and Wells Fargo Securities, LLC serve as lenders under our Senior Secured Credit Facilities. As described in “Use of Proceeds”</w:t>
      </w:r>
    </w:p>
    <w:p>
      <w:pPr>
        <w:ind w:right="60"/>
        <w:spacing w:after="0" w:line="238" w:lineRule="auto"/>
        <w:rPr>
          <w:sz w:val="20"/>
          <w:szCs w:val="20"/>
          <w:color w:val="auto"/>
        </w:rPr>
      </w:pPr>
      <w:r>
        <w:rPr>
          <w:rFonts w:ascii="Arial" w:cs="Arial" w:eastAsia="Arial" w:hAnsi="Arial"/>
          <w:sz w:val="17"/>
          <w:szCs w:val="17"/>
          <w:color w:val="auto"/>
        </w:rPr>
        <w:t>we intend to use the net proceeds of this offering to repay $ million in aggregate principal amount of outstanding borrowings under our Senior Secured Term Loan Facility. Because of their affiliates’ lending relationships Jefferies LLC and Wells Fargo Securities, LLC will receive some of the net proceeds of this offering.</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customers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its knowledge and belief, result in compliance with any applicable laws and regulations and all offers and sales of the shares of common stock by it will be made on the same terms.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107" w:lineRule="exact"/>
        <w:rPr>
          <w:sz w:val="20"/>
          <w:szCs w:val="20"/>
          <w:color w:val="auto"/>
        </w:rPr>
      </w:pPr>
    </w:p>
    <w:p>
      <w:pPr>
        <w:ind w:left="800" w:hanging="454"/>
        <w:spacing w:after="0"/>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to any legal entity which is a “qualified investor” as defined in the Prospectus Directive;</w:t>
      </w:r>
    </w:p>
    <w:p>
      <w:pPr>
        <w:spacing w:after="0" w:line="24" w:lineRule="exact"/>
        <w:rPr>
          <w:rFonts w:ascii="Arial" w:cs="Arial" w:eastAsia="Arial" w:hAnsi="Arial"/>
          <w:sz w:val="25"/>
          <w:szCs w:val="25"/>
          <w:color w:val="auto"/>
          <w:vertAlign w:val="superscript"/>
        </w:rPr>
      </w:pPr>
    </w:p>
    <w:p>
      <w:pPr>
        <w:jc w:val="both"/>
        <w:ind w:left="800" w:right="40" w:hanging="454"/>
        <w:spacing w:after="0" w:line="206"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ind w:left="800" w:hanging="454"/>
        <w:spacing w:after="0" w:line="191"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in any other circumstances falling within Article 3(2) of the Prospectus Directive,</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 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the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13" w:lineRule="exact"/>
        <w:rPr>
          <w:sz w:val="20"/>
          <w:szCs w:val="20"/>
          <w:color w:val="auto"/>
        </w:rPr>
      </w:pPr>
    </w:p>
    <w:p>
      <w:pPr>
        <w:ind w:left="800" w:hanging="454"/>
        <w:spacing w:after="0"/>
        <w:tabs>
          <w:tab w:leader="none" w:pos="8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708(8)(a) or (b) of the Corporations Act;</w:t>
      </w:r>
    </w:p>
    <w:p>
      <w:pPr>
        <w:spacing w:after="0" w:line="24" w:lineRule="exact"/>
        <w:rPr>
          <w:rFonts w:ascii="Arial" w:cs="Arial" w:eastAsia="Arial" w:hAnsi="Arial"/>
          <w:sz w:val="25"/>
          <w:szCs w:val="25"/>
          <w:color w:val="auto"/>
          <w:vertAlign w:val="superscript"/>
        </w:rPr>
      </w:pPr>
    </w:p>
    <w:p>
      <w:pPr>
        <w:jc w:val="both"/>
        <w:ind w:left="800" w:right="20" w:hanging="454"/>
        <w:spacing w:after="0" w:line="206" w:lineRule="auto"/>
        <w:tabs>
          <w:tab w:leader="none" w:pos="8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ind w:left="800" w:hanging="454"/>
        <w:spacing w:after="0" w:line="191" w:lineRule="auto"/>
        <w:tabs>
          <w:tab w:leader="none" w:pos="8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a person associated with the Company under Section 708(12) of the Corporations Act; or</w:t>
      </w:r>
    </w:p>
    <w:p>
      <w:pPr>
        <w:spacing w:after="0" w:line="66"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1"/>
        </w:numPr>
        <w:rPr>
          <w:rFonts w:ascii="Arial" w:cs="Arial" w:eastAsia="Arial" w:hAnsi="Arial"/>
          <w:sz w:val="23"/>
          <w:szCs w:val="23"/>
          <w:color w:val="auto"/>
          <w:vertAlign w:val="superscript"/>
        </w:rPr>
      </w:pPr>
      <w:r>
        <w:rPr>
          <w:rFonts w:ascii="Arial" w:cs="Arial" w:eastAsia="Arial" w:hAnsi="Arial"/>
          <w:sz w:val="16"/>
          <w:szCs w:val="16"/>
          <w:color w:val="auto"/>
        </w:rPr>
        <w:t>a “professional investor” within the meaning of section 708(11)(a) or (b) of the Corporations Act.</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or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196" w:lineRule="exact"/>
        <w:rPr>
          <w:sz w:val="20"/>
          <w:szCs w:val="20"/>
          <w:color w:val="auto"/>
        </w:rPr>
      </w:pPr>
    </w:p>
    <w:p>
      <w:pPr>
        <w:ind w:left="800" w:right="260" w:hanging="454"/>
        <w:spacing w:after="0" w:line="195" w:lineRule="auto"/>
        <w:tabs>
          <w:tab w:leader="none" w:pos="8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6" w:lineRule="exact"/>
        <w:rPr>
          <w:rFonts w:ascii="Arial" w:cs="Arial" w:eastAsia="Arial" w:hAnsi="Arial"/>
          <w:sz w:val="25"/>
          <w:szCs w:val="25"/>
          <w:color w:val="auto"/>
          <w:vertAlign w:val="superscript"/>
        </w:rPr>
      </w:pPr>
    </w:p>
    <w:p>
      <w:pPr>
        <w:ind w:left="800" w:right="320" w:hanging="454"/>
        <w:spacing w:after="0" w:line="195" w:lineRule="auto"/>
        <w:tabs>
          <w:tab w:leader="none" w:pos="8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88" w:lineRule="exact"/>
        <w:rPr>
          <w:sz w:val="20"/>
          <w:szCs w:val="20"/>
          <w:color w:val="auto"/>
        </w:rPr>
      </w:pPr>
    </w:p>
    <w:p>
      <w:pPr>
        <w:ind w:left="800" w:right="220" w:hanging="454"/>
        <w:spacing w:after="0" w:line="195" w:lineRule="auto"/>
        <w:tabs>
          <w:tab w:leader="none" w:pos="800" w:val="left"/>
        </w:tabs>
        <w:numPr>
          <w:ilvl w:val="0"/>
          <w:numId w:val="83"/>
        </w:numPr>
        <w:rPr>
          <w:rFonts w:ascii="Arial" w:cs="Arial" w:eastAsia="Arial" w:hAnsi="Arial"/>
          <w:sz w:val="25"/>
          <w:szCs w:val="25"/>
          <w:color w:val="auto"/>
          <w:vertAlign w:val="superscript"/>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where no consideration is or will be given for the transfer;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where the transfer is by operation of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as specified in Section 276(7) of the SFA;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Certain legal matters in connection with this offering, including the validity of the shares of our common stock offered hereby, will be passed upon for us by Latham &amp; Watkins LLP, New York, New York. The underwriters are being represented by Gibson, Dunn &amp; Crutcher LLP, New York, New York.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consolidated financial statements of Medpace Holdings, Inc. and subsidiaries as of December 31, 2015 and 2014 (Successor) and for the year ended December 31, 2015 (Successor), and the periods from April 1, 2014 through December 31, 2014 (Successor), January 1, 2014 through March 31, 2014 (Predecessor), and the year ended December 31, 2013 (Predecessor)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When we complete this offering, we will be required to file annual, quarterly and current reports, proxy statements and other information with the SEC. Our SEC filings, including our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such offices upon payment of prescribed fees. The public may obtain information on the operation of the public reference room by calling the SEC at 1-800-SEC-0330 or</w:t>
      </w:r>
    </w:p>
    <w:p>
      <w:pPr>
        <w:spacing w:after="0" w:line="1" w:lineRule="exact"/>
        <w:rPr>
          <w:sz w:val="20"/>
          <w:szCs w:val="20"/>
          <w:color w:val="auto"/>
        </w:rPr>
      </w:pPr>
    </w:p>
    <w:p>
      <w:pPr>
        <w:ind w:right="20" w:firstLine="8"/>
        <w:spacing w:after="0" w:line="243" w:lineRule="auto"/>
        <w:tabs>
          <w:tab w:leader="none" w:pos="447"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551-8090. The SEC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registrants that file electronically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You may also obtain a copy of any of our filings, at no cost, by writing or telephoning us at: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Medpace Holdings, Inc.</w:t>
      </w:r>
    </w:p>
    <w:p>
      <w:pPr>
        <w:jc w:val="center"/>
        <w:spacing w:after="0" w:line="232" w:lineRule="auto"/>
        <w:rPr>
          <w:sz w:val="20"/>
          <w:szCs w:val="20"/>
          <w:color w:val="auto"/>
        </w:rPr>
      </w:pPr>
      <w:r>
        <w:rPr>
          <w:rFonts w:ascii="Arial" w:cs="Arial" w:eastAsia="Arial" w:hAnsi="Arial"/>
          <w:sz w:val="17"/>
          <w:szCs w:val="17"/>
          <w:color w:val="auto"/>
        </w:rPr>
        <w:t>5375 Medpace Way</w:t>
      </w:r>
    </w:p>
    <w:p>
      <w:pPr>
        <w:jc w:val="center"/>
        <w:spacing w:after="0" w:line="232" w:lineRule="auto"/>
        <w:rPr>
          <w:sz w:val="20"/>
          <w:szCs w:val="20"/>
          <w:color w:val="auto"/>
        </w:rPr>
      </w:pPr>
      <w:r>
        <w:rPr>
          <w:rFonts w:ascii="Arial" w:cs="Arial" w:eastAsia="Arial" w:hAnsi="Arial"/>
          <w:sz w:val="17"/>
          <w:szCs w:val="17"/>
          <w:color w:val="auto"/>
        </w:rPr>
        <w:t>Cincinnati, Ohio 45227</w:t>
      </w:r>
    </w:p>
    <w:p>
      <w:pPr>
        <w:ind w:left="5580" w:hanging="451"/>
        <w:spacing w:after="0"/>
        <w:tabs>
          <w:tab w:leader="none" w:pos="5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579-9911</w:t>
      </w:r>
    </w:p>
    <w:p>
      <w:pPr>
        <w:spacing w:after="0" w:line="150"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6"/>
          <w:szCs w:val="16"/>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gridSpan w:val="3"/>
            <w:vMerge w:val="restart"/>
          </w:tcPr>
          <w:p>
            <w:pPr>
              <w:spacing w:after="0"/>
              <w:rPr>
                <w:rFonts w:ascii="Arial" w:cs="Arial" w:eastAsia="Arial" w:hAnsi="Arial"/>
                <w:sz w:val="17"/>
                <w:szCs w:val="17"/>
                <w:color w:val="0000EE"/>
              </w:rPr>
            </w:pPr>
            <w:hyperlink w:anchor="page152">
              <w:r>
                <w:rPr>
                  <w:rFonts w:ascii="Arial" w:cs="Arial" w:eastAsia="Arial" w:hAnsi="Arial"/>
                  <w:sz w:val="17"/>
                  <w:szCs w:val="17"/>
                  <w:color w:val="0000EE"/>
                </w:rPr>
                <w:t>Report of Independent Registered Public Accounting Firm</w:t>
              </w:r>
            </w:hyperlink>
          </w:p>
        </w:tc>
        <w:tc>
          <w:tcPr>
            <w:tcW w:w="6520" w:type="dxa"/>
            <w:vAlign w:val="bottom"/>
            <w:gridSpan w:val="10"/>
            <w:vMerge w:val="restart"/>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7"/>
        </w:trPr>
        <w:tc>
          <w:tcPr>
            <w:tcW w:w="4380" w:type="dxa"/>
            <w:vAlign w:val="bottom"/>
            <w:tcBorders>
              <w:bottom w:val="single" w:sz="8" w:color="0000EE"/>
            </w:tcBorders>
            <w:gridSpan w:val="3"/>
            <w:vMerge w:val="continue"/>
          </w:tcPr>
          <w:p>
            <w:pPr>
              <w:spacing w:after="0"/>
              <w:rPr>
                <w:sz w:val="12"/>
                <w:szCs w:val="12"/>
                <w:color w:val="auto"/>
              </w:rPr>
            </w:pPr>
          </w:p>
        </w:tc>
        <w:tc>
          <w:tcPr>
            <w:tcW w:w="6520" w:type="dxa"/>
            <w:vAlign w:val="bottom"/>
            <w:gridSpan w:val="10"/>
            <w:vMerge w:val="continue"/>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F-2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0000EE"/>
            </w:tcBorders>
            <w:gridSpan w:val="4"/>
          </w:tcPr>
          <w:p>
            <w:pPr>
              <w:spacing w:after="0" w:line="183" w:lineRule="exact"/>
              <w:rPr>
                <w:rFonts w:ascii="Arial" w:cs="Arial" w:eastAsia="Arial" w:hAnsi="Arial"/>
                <w:sz w:val="17"/>
                <w:szCs w:val="17"/>
                <w:color w:val="0000EE"/>
              </w:rPr>
            </w:pPr>
            <w:hyperlink w:anchor="page153">
              <w:r>
                <w:rPr>
                  <w:rFonts w:ascii="Arial" w:cs="Arial" w:eastAsia="Arial" w:hAnsi="Arial"/>
                  <w:sz w:val="17"/>
                  <w:szCs w:val="17"/>
                  <w:color w:val="0000EE"/>
                </w:rPr>
                <w:t>Consolidated Balance Sheets as of December 31, 2015 and 2014</w:t>
              </w:r>
            </w:hyperlink>
          </w:p>
        </w:tc>
        <w:tc>
          <w:tcPr>
            <w:tcW w:w="5920" w:type="dxa"/>
            <w:vAlign w:val="bottom"/>
            <w:gridSpan w:val="9"/>
          </w:tcPr>
          <w:p>
            <w:pPr>
              <w:spacing w:after="0"/>
              <w:rPr>
                <w:sz w:val="15"/>
                <w:szCs w:val="15"/>
                <w:color w:val="auto"/>
              </w:rPr>
            </w:pPr>
          </w:p>
        </w:tc>
        <w:tc>
          <w:tcPr>
            <w:tcW w:w="52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10900" w:type="dxa"/>
            <w:vAlign w:val="bottom"/>
            <w:gridSpan w:val="13"/>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Consolidated Statements of Operations for the fiscal year ended December 31, 2015, for the Periods April 1, 2014 through December 31,</w:t>
              </w:r>
            </w:hyperlink>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10160" w:type="dxa"/>
            <w:vAlign w:val="bottom"/>
            <w:tcBorders>
              <w:top w:val="single" w:sz="8" w:color="0000EE"/>
            </w:tcBorders>
            <w:gridSpan w:val="11"/>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2014 and January 1, 2014 through March 31, 2014 and for the fiscal year ended December 31, 2013</w:t>
              </w:r>
            </w:hyperlink>
          </w:p>
        </w:tc>
        <w:tc>
          <w:tcPr>
            <w:tcW w:w="4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12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Comprehensive (Loss) Income for the fiscal year ended December 31, 2015, for the Periods April 1, 2014</w:t>
              </w:r>
            </w:hyperlink>
          </w:p>
        </w:tc>
        <w:tc>
          <w:tcPr>
            <w:tcW w:w="780" w:type="dxa"/>
            <w:vAlign w:val="bottom"/>
            <w:gridSpan w:val="2"/>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640" w:type="dxa"/>
            <w:vAlign w:val="bottom"/>
            <w:gridSpan w:val="12"/>
          </w:tcPr>
          <w:p>
            <w:pPr>
              <w:spacing w:after="0" w:line="169" w:lineRule="exact"/>
              <w:rPr>
                <w:rFonts w:ascii="Arial" w:cs="Arial" w:eastAsia="Arial" w:hAnsi="Arial"/>
                <w:sz w:val="17"/>
                <w:szCs w:val="17"/>
                <w:color w:val="0000EE"/>
              </w:rPr>
            </w:pPr>
            <w:hyperlink w:anchor="page155">
              <w:r>
                <w:rPr>
                  <w:rFonts w:ascii="Arial" w:cs="Arial" w:eastAsia="Arial" w:hAnsi="Arial"/>
                  <w:sz w:val="17"/>
                  <w:szCs w:val="17"/>
                  <w:color w:val="0000EE"/>
                </w:rPr>
                <w:t>through December 31, 2014 and January 1, 2014 through March 31, 2014 and for the fiscal year ended December 31, 2013</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w:anchor="page156">
              <w:r>
                <w:rPr>
                  <w:rFonts w:ascii="Arial" w:cs="Arial" w:eastAsia="Arial" w:hAnsi="Arial"/>
                  <w:sz w:val="17"/>
                  <w:szCs w:val="17"/>
                  <w:color w:val="0000EE"/>
                </w:rPr>
                <w:t>Consolidated Statements of Shareholders’ Equity for the fiscal year ended December 31, 2015, for the Periods April 1, 2014 through</w:t>
              </w:r>
            </w:hyperlink>
          </w:p>
        </w:tc>
        <w:tc>
          <w:tcPr>
            <w:tcW w:w="900" w:type="dxa"/>
            <w:vAlign w:val="bottom"/>
            <w:gridSpan w:val="3"/>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87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56">
              <w:r>
                <w:rPr>
                  <w:rFonts w:ascii="Arial" w:cs="Arial" w:eastAsia="Arial" w:hAnsi="Arial"/>
                  <w:sz w:val="17"/>
                  <w:szCs w:val="17"/>
                  <w:color w:val="0000EE"/>
                </w:rPr>
                <w:t>December 31, 2014 and January 1, 2014 through March 31, 2014 and for the fiscal year ended December 31, 2013</w:t>
              </w:r>
            </w:hyperlink>
          </w:p>
        </w:tc>
        <w:tc>
          <w:tcPr>
            <w:tcW w:w="1900" w:type="dxa"/>
            <w:vAlign w:val="bottom"/>
            <w:gridSpan w:val="6"/>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360" w:type="dxa"/>
            <w:vAlign w:val="bottom"/>
            <w:tcBorders>
              <w:bottom w:val="single" w:sz="8" w:color="0000EE"/>
            </w:tcBorders>
            <w:gridSpan w:val="8"/>
          </w:tcPr>
          <w:p>
            <w:pPr>
              <w:spacing w:after="0" w:line="169" w:lineRule="exact"/>
              <w:rPr>
                <w:rFonts w:ascii="Arial" w:cs="Arial" w:eastAsia="Arial" w:hAnsi="Arial"/>
                <w:sz w:val="17"/>
                <w:szCs w:val="17"/>
                <w:color w:val="0000EE"/>
              </w:rPr>
            </w:pPr>
            <w:hyperlink w:anchor="page157">
              <w:r>
                <w:rPr>
                  <w:rFonts w:ascii="Arial" w:cs="Arial" w:eastAsia="Arial" w:hAnsi="Arial"/>
                  <w:sz w:val="17"/>
                  <w:szCs w:val="17"/>
                  <w:color w:val="0000EE"/>
                </w:rPr>
                <w:t>Consolidated Statements of Cash Flows for the fiscal year ended December 31, 2015, for the Periods April 1, 2014 through</w:t>
              </w:r>
            </w:hyperlink>
          </w:p>
        </w:tc>
        <w:tc>
          <w:tcPr>
            <w:tcW w:w="1540" w:type="dxa"/>
            <w:vAlign w:val="bottom"/>
            <w:gridSpan w:val="5"/>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640" w:type="dxa"/>
            <w:vAlign w:val="bottom"/>
            <w:gridSpan w:val="12"/>
          </w:tcPr>
          <w:p>
            <w:pPr>
              <w:spacing w:after="0" w:line="169" w:lineRule="exact"/>
              <w:rPr>
                <w:rFonts w:ascii="Arial" w:cs="Arial" w:eastAsia="Arial" w:hAnsi="Arial"/>
                <w:sz w:val="17"/>
                <w:szCs w:val="17"/>
                <w:color w:val="0000EE"/>
              </w:rPr>
            </w:pPr>
            <w:hyperlink w:anchor="page157">
              <w:r>
                <w:rPr>
                  <w:rFonts w:ascii="Arial" w:cs="Arial" w:eastAsia="Arial" w:hAnsi="Arial"/>
                  <w:sz w:val="17"/>
                  <w:szCs w:val="17"/>
                  <w:color w:val="0000EE"/>
                </w:rPr>
                <w:t>December 31, 2014 and January 1, 2014 through March 31, 2014 and for the fiscal year ended December 31, 2013</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F-8</w:t>
            </w:r>
          </w:p>
        </w:tc>
        <w:tc>
          <w:tcPr>
            <w:tcW w:w="0" w:type="dxa"/>
            <w:vAlign w:val="bottom"/>
          </w:tcPr>
          <w:p>
            <w:pPr>
              <w:spacing w:after="0" w:line="20" w:lineRule="exact"/>
              <w:rPr>
                <w:sz w:val="1"/>
                <w:szCs w:val="1"/>
                <w:color w:val="auto"/>
              </w:rPr>
            </w:pPr>
          </w:p>
        </w:tc>
      </w:tr>
      <w:tr>
        <w:trPr>
          <w:trHeight w:val="169"/>
        </w:trPr>
        <w:tc>
          <w:tcPr>
            <w:tcW w:w="10900" w:type="dxa"/>
            <w:vAlign w:val="bottom"/>
            <w:gridSpan w:val="13"/>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Notes to Consolidated Financial Statements</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0000EE"/>
              <w:bottom w:val="single" w:sz="8" w:color="auto"/>
            </w:tcBorders>
          </w:tcPr>
          <w:p>
            <w:pPr>
              <w:spacing w:after="0"/>
              <w:rPr>
                <w:sz w:val="19"/>
                <w:szCs w:val="19"/>
                <w:color w:val="auto"/>
              </w:rPr>
            </w:pPr>
          </w:p>
        </w:tc>
        <w:tc>
          <w:tcPr>
            <w:tcW w:w="3080" w:type="dxa"/>
            <w:vAlign w:val="bottom"/>
            <w:tcBorders>
              <w:top w:val="single" w:sz="8" w:color="0000EE"/>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gridSpan w:val="2"/>
            <w:vMerge w:val="restart"/>
          </w:tcPr>
          <w:p>
            <w:pPr>
              <w:spacing w:after="0"/>
              <w:rPr>
                <w:rFonts w:ascii="Arial" w:cs="Arial" w:eastAsia="Arial" w:hAnsi="Arial"/>
                <w:sz w:val="17"/>
                <w:szCs w:val="17"/>
                <w:color w:val="0000EE"/>
              </w:rPr>
            </w:pPr>
            <w:hyperlink w:anchor="page191">
              <w:r>
                <w:rPr>
                  <w:rFonts w:ascii="Arial" w:cs="Arial" w:eastAsia="Arial" w:hAnsi="Arial"/>
                  <w:sz w:val="17"/>
                  <w:szCs w:val="17"/>
                  <w:color w:val="0000EE"/>
                </w:rPr>
                <w:t>Condensed Consolidated Balance Sheets as of March 31, 2016 and December 31, 2015</w:t>
              </w:r>
            </w:hyperlink>
          </w:p>
        </w:tc>
        <w:tc>
          <w:tcPr>
            <w:tcW w:w="4140" w:type="dxa"/>
            <w:vAlign w:val="bottom"/>
            <w:gridSpan w:val="4"/>
            <w:vMerge w:val="restart"/>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6760" w:type="dxa"/>
            <w:vAlign w:val="bottom"/>
            <w:tcBorders>
              <w:bottom w:val="single" w:sz="8" w:color="0000EE"/>
            </w:tcBorders>
            <w:gridSpan w:val="2"/>
            <w:vMerge w:val="continue"/>
          </w:tcPr>
          <w:p>
            <w:pPr>
              <w:spacing w:after="0"/>
              <w:rPr>
                <w:sz w:val="12"/>
                <w:szCs w:val="12"/>
                <w:color w:val="auto"/>
              </w:rPr>
            </w:pPr>
          </w:p>
        </w:tc>
        <w:tc>
          <w:tcPr>
            <w:tcW w:w="4140" w:type="dxa"/>
            <w:vAlign w:val="bottom"/>
            <w:gridSpan w:val="4"/>
            <w:vMerge w:val="continue"/>
          </w:tcPr>
          <w:p>
            <w:pPr>
              <w:spacing w:after="0"/>
              <w:rPr>
                <w:sz w:val="12"/>
                <w:szCs w:val="12"/>
                <w:color w:val="auto"/>
              </w:rPr>
            </w:pPr>
          </w:p>
        </w:tc>
        <w:tc>
          <w:tcPr>
            <w:tcW w:w="4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F-41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900" w:type="dxa"/>
            <w:vAlign w:val="bottom"/>
            <w:gridSpan w:val="6"/>
          </w:tcPr>
          <w:p>
            <w:pPr>
              <w:spacing w:after="0" w:line="183" w:lineRule="exact"/>
              <w:rPr>
                <w:rFonts w:ascii="Arial" w:cs="Arial" w:eastAsia="Arial" w:hAnsi="Arial"/>
                <w:sz w:val="17"/>
                <w:szCs w:val="17"/>
                <w:color w:val="0000EE"/>
              </w:rPr>
            </w:pPr>
            <w:hyperlink w:anchor="page192">
              <w:r>
                <w:rPr>
                  <w:rFonts w:ascii="Arial" w:cs="Arial" w:eastAsia="Arial" w:hAnsi="Arial"/>
                  <w:sz w:val="17"/>
                  <w:szCs w:val="17"/>
                  <w:color w:val="0000EE"/>
                </w:rPr>
                <w:t>Condensed Consolidated Statements of Operations for the three months ended March 31, 2016 and 2015</w:t>
              </w:r>
            </w:hyperlink>
          </w:p>
        </w:tc>
        <w:tc>
          <w:tcPr>
            <w:tcW w:w="520" w:type="dxa"/>
            <w:vAlign w:val="bottom"/>
            <w:gridSpan w:val="2"/>
          </w:tcPr>
          <w:p>
            <w:pPr>
              <w:ind w:left="60"/>
              <w:spacing w:after="0" w:line="183" w:lineRule="exact"/>
              <w:rPr>
                <w:sz w:val="20"/>
                <w:szCs w:val="20"/>
                <w:color w:val="auto"/>
              </w:rPr>
            </w:pPr>
            <w:r>
              <w:rPr>
                <w:rFonts w:ascii="Arial" w:cs="Arial" w:eastAsia="Arial" w:hAnsi="Arial"/>
                <w:sz w:val="17"/>
                <w:szCs w:val="17"/>
                <w:color w:val="auto"/>
              </w:rPr>
              <w:t>F-42</w:t>
            </w:r>
          </w:p>
        </w:tc>
        <w:tc>
          <w:tcPr>
            <w:tcW w:w="0" w:type="dxa"/>
            <w:vAlign w:val="bottom"/>
          </w:tcPr>
          <w:p>
            <w:pPr>
              <w:spacing w:after="0"/>
              <w:rPr>
                <w:sz w:val="1"/>
                <w:szCs w:val="1"/>
                <w:color w:val="auto"/>
              </w:rPr>
            </w:pPr>
          </w:p>
        </w:tc>
      </w:tr>
      <w:tr>
        <w:trPr>
          <w:trHeight w:val="20"/>
        </w:trPr>
        <w:tc>
          <w:tcPr>
            <w:tcW w:w="50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gridSpan w:val="2"/>
            <w:vMerge w:val="restart"/>
          </w:tcPr>
          <w:p>
            <w:pPr>
              <w:ind w:left="60"/>
              <w:spacing w:after="0" w:line="189" w:lineRule="exact"/>
              <w:rPr>
                <w:sz w:val="20"/>
                <w:szCs w:val="20"/>
                <w:color w:val="auto"/>
              </w:rPr>
            </w:pPr>
            <w:r>
              <w:rPr>
                <w:rFonts w:ascii="Arial" w:cs="Arial" w:eastAsia="Arial" w:hAnsi="Arial"/>
                <w:sz w:val="17"/>
                <w:szCs w:val="17"/>
                <w:color w:val="auto"/>
              </w:rPr>
              <w:t>F-43</w:t>
            </w:r>
          </w:p>
        </w:tc>
        <w:tc>
          <w:tcPr>
            <w:tcW w:w="0" w:type="dxa"/>
            <w:vAlign w:val="bottom"/>
          </w:tcPr>
          <w:p>
            <w:pPr>
              <w:spacing w:after="0" w:line="20" w:lineRule="exact"/>
              <w:rPr>
                <w:sz w:val="1"/>
                <w:szCs w:val="1"/>
                <w:color w:val="auto"/>
              </w:rPr>
            </w:pPr>
          </w:p>
        </w:tc>
      </w:tr>
      <w:tr>
        <w:trPr>
          <w:trHeight w:val="169"/>
        </w:trPr>
        <w:tc>
          <w:tcPr>
            <w:tcW w:w="10900" w:type="dxa"/>
            <w:vAlign w:val="bottom"/>
            <w:gridSpan w:val="6"/>
          </w:tcPr>
          <w:p>
            <w:pPr>
              <w:spacing w:after="0" w:line="169" w:lineRule="exact"/>
              <w:rPr>
                <w:rFonts w:ascii="Arial" w:cs="Arial" w:eastAsia="Arial" w:hAnsi="Arial"/>
                <w:sz w:val="17"/>
                <w:szCs w:val="17"/>
                <w:color w:val="0000EE"/>
              </w:rPr>
            </w:pPr>
            <w:hyperlink w:anchor="page193">
              <w:r>
                <w:rPr>
                  <w:rFonts w:ascii="Arial" w:cs="Arial" w:eastAsia="Arial" w:hAnsi="Arial"/>
                  <w:sz w:val="17"/>
                  <w:szCs w:val="17"/>
                  <w:color w:val="0000EE"/>
                </w:rPr>
                <w:t>Condensed Consolidated Statements of Comprehensive Income (Loss) for the three months ended March 31, 2016 and 2015</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500" w:type="dxa"/>
            <w:vAlign w:val="bottom"/>
            <w:tcBorders>
              <w:top w:val="single" w:sz="8" w:color="0000EE"/>
            </w:tcBorders>
            <w:gridSpan w:val="5"/>
          </w:tcPr>
          <w:p>
            <w:pPr>
              <w:spacing w:after="0" w:line="169" w:lineRule="exact"/>
              <w:rPr>
                <w:rFonts w:ascii="Arial" w:cs="Arial" w:eastAsia="Arial" w:hAnsi="Arial"/>
                <w:sz w:val="17"/>
                <w:szCs w:val="17"/>
                <w:color w:val="0000EE"/>
              </w:rPr>
            </w:pPr>
            <w:hyperlink w:anchor="page194">
              <w:r>
                <w:rPr>
                  <w:rFonts w:ascii="Arial" w:cs="Arial" w:eastAsia="Arial" w:hAnsi="Arial"/>
                  <w:sz w:val="17"/>
                  <w:szCs w:val="17"/>
                  <w:color w:val="0000EE"/>
                </w:rPr>
                <w:t>Condensed Consolidated Statements of Cash Flows for the three months ended March 31, 2016 and 2015</w:t>
              </w:r>
            </w:hyperlink>
          </w:p>
        </w:tc>
        <w:tc>
          <w:tcPr>
            <w:tcW w:w="1400" w:type="dxa"/>
            <w:vAlign w:val="bottom"/>
          </w:tcPr>
          <w:p>
            <w:pPr>
              <w:spacing w:after="0"/>
              <w:rPr>
                <w:sz w:val="14"/>
                <w:szCs w:val="14"/>
                <w:color w:val="auto"/>
              </w:rPr>
            </w:pPr>
          </w:p>
        </w:tc>
        <w:tc>
          <w:tcPr>
            <w:tcW w:w="52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F-44</w:t>
            </w:r>
          </w:p>
        </w:tc>
        <w:tc>
          <w:tcPr>
            <w:tcW w:w="0" w:type="dxa"/>
            <w:vAlign w:val="bottom"/>
          </w:tcPr>
          <w:p>
            <w:pPr>
              <w:spacing w:after="0"/>
              <w:rPr>
                <w:sz w:val="1"/>
                <w:szCs w:val="1"/>
                <w:color w:val="auto"/>
              </w:rPr>
            </w:pPr>
          </w:p>
        </w:tc>
      </w:tr>
      <w:tr>
        <w:trPr>
          <w:trHeight w:val="169"/>
        </w:trPr>
        <w:tc>
          <w:tcPr>
            <w:tcW w:w="806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95">
              <w:r>
                <w:rPr>
                  <w:rFonts w:ascii="Arial" w:cs="Arial" w:eastAsia="Arial" w:hAnsi="Arial"/>
                  <w:sz w:val="17"/>
                  <w:szCs w:val="17"/>
                  <w:color w:val="0000EE"/>
                </w:rPr>
                <w:t>Notes to Unaudited Condensed Consolidated Financial Statements</w:t>
              </w:r>
            </w:hyperlink>
          </w:p>
        </w:tc>
        <w:tc>
          <w:tcPr>
            <w:tcW w:w="2840" w:type="dxa"/>
            <w:vAlign w:val="bottom"/>
            <w:gridSpan w:val="2"/>
          </w:tcPr>
          <w:p>
            <w:pPr>
              <w:spacing w:after="0"/>
              <w:rPr>
                <w:sz w:val="14"/>
                <w:szCs w:val="14"/>
                <w:color w:val="auto"/>
              </w:rPr>
            </w:pPr>
          </w:p>
        </w:tc>
        <w:tc>
          <w:tcPr>
            <w:tcW w:w="52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F-45</w:t>
            </w:r>
          </w:p>
        </w:tc>
        <w:tc>
          <w:tcPr>
            <w:tcW w:w="0" w:type="dxa"/>
            <w:vAlign w:val="bottom"/>
          </w:tcPr>
          <w:p>
            <w:pPr>
              <w:spacing w:after="0"/>
              <w:rPr>
                <w:sz w:val="1"/>
                <w:szCs w:val="1"/>
                <w:color w:val="auto"/>
              </w:rPr>
            </w:pPr>
          </w:p>
        </w:tc>
      </w:tr>
      <w:tr>
        <w:trPr>
          <w:trHeight w:val="223"/>
        </w:trPr>
        <w:tc>
          <w:tcPr>
            <w:tcW w:w="5080" w:type="dxa"/>
            <w:vAlign w:val="bottom"/>
            <w:tcBorders>
              <w:top w:val="single" w:sz="8" w:color="0000EE"/>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5080" w:type="dxa"/>
            <w:vAlign w:val="bottom"/>
          </w:tcPr>
          <w:p>
            <w:pPr>
              <w:spacing w:after="0"/>
              <w:rPr>
                <w:sz w:val="24"/>
                <w:szCs w:val="24"/>
                <w:color w:val="auto"/>
              </w:rPr>
            </w:pPr>
          </w:p>
        </w:tc>
        <w:tc>
          <w:tcPr>
            <w:tcW w:w="5820" w:type="dxa"/>
            <w:vAlign w:val="bottom"/>
            <w:gridSpan w:val="5"/>
          </w:tcPr>
          <w:p>
            <w:pPr>
              <w:ind w:left="52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rPr>
          <w:sz w:val="20"/>
          <w:szCs w:val="20"/>
          <w:color w:val="auto"/>
        </w:rPr>
      </w:pPr>
      <w:r>
        <w:rPr>
          <w:rFonts w:ascii="Arial" w:cs="Arial" w:eastAsia="Arial" w:hAnsi="Arial"/>
          <w:sz w:val="17"/>
          <w:szCs w:val="17"/>
          <w:color w:val="auto"/>
        </w:rPr>
        <w:t>Medpace Holdings, Inc. and subsidiaries:</w:t>
      </w:r>
    </w:p>
    <w:p>
      <w:pPr>
        <w:spacing w:after="0" w:line="21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audited the accompanying consolidated balance sheets of Medpace Holdings, Inc. and its subsidiaries (the “Company”) as of December 31, 2015 and 2014 (Successor), and the related consolidated statements of operations, comprehensive (loss) income, shareholders’ equity, and cash flows for the year ended December 31, 2015 (Successor), and the periods from April 1, 2014 through December 31, 2014 (Successor), January 1, 2014 through March 31, 2014 (Predecessor), and the year ended December 31, 2013 (Predecessor). These consolidated financial statements are the responsibility of the Company’s management. Our responsibility is to express an opinion on these financial statements based on our audits.</w:t>
      </w:r>
    </w:p>
    <w:p>
      <w:pPr>
        <w:spacing w:after="0" w:line="20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Medpace Holdings, Inc. and subsidiaries at as of December 31, 2015 and 2014 (Successor), and the results of their operations and their cash flows for the year ended December 31, 2015 (Successor), and the periods from April 1, 2014 through December 31, 2014 (Successor), January 1, 2014 through March 31, 2014 (Predecessor), and the year ended December 31, 2013 (Predecessor),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rPr>
          <w:sz w:val="20"/>
          <w:szCs w:val="20"/>
          <w:color w:val="auto"/>
        </w:rPr>
      </w:pPr>
      <w:r>
        <w:rPr>
          <w:rFonts w:ascii="Arial" w:cs="Arial" w:eastAsia="Arial" w:hAnsi="Arial"/>
          <w:sz w:val="17"/>
          <w:szCs w:val="17"/>
          <w:color w:val="auto"/>
        </w:rPr>
        <w:t>March 1, 2016</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SUCCESSOR</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14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5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14,880</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54,285</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2,857</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20" w:type="dxa"/>
            <w:vAlign w:val="bottom"/>
          </w:tcPr>
          <w:p>
            <w:pPr>
              <w:ind w:left="520"/>
              <w:spacing w:after="0" w:line="183" w:lineRule="exact"/>
              <w:rPr>
                <w:sz w:val="20"/>
                <w:szCs w:val="20"/>
                <w:color w:val="auto"/>
              </w:rPr>
            </w:pPr>
            <w:r>
              <w:rPr>
                <w:rFonts w:ascii="Arial" w:cs="Arial" w:eastAsia="Arial" w:hAnsi="Arial"/>
                <w:sz w:val="17"/>
                <w:szCs w:val="17"/>
                <w:color w:val="auto"/>
              </w:rPr>
              <w:t>Billed, net (includes $2.3 million and $0.7 million with related parties at December 31, 2015 and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tcPr>
          <w:p>
            <w:pPr>
              <w:ind w:left="760"/>
              <w:spacing w:after="0"/>
              <w:rPr>
                <w:sz w:val="20"/>
                <w:szCs w:val="20"/>
                <w:color w:val="auto"/>
              </w:rPr>
            </w:pPr>
            <w:r>
              <w:rPr>
                <w:rFonts w:ascii="Arial" w:cs="Arial" w:eastAsia="Arial" w:hAnsi="Arial"/>
                <w:sz w:val="17"/>
                <w:szCs w:val="17"/>
                <w:color w:val="auto"/>
              </w:rPr>
              <w:t>2014, respectively)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46,352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52,468</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520"/>
              <w:spacing w:after="0" w:line="183" w:lineRule="exact"/>
              <w:rPr>
                <w:sz w:val="20"/>
                <w:szCs w:val="20"/>
                <w:color w:val="auto"/>
              </w:rPr>
            </w:pPr>
            <w:r>
              <w:rPr>
                <w:rFonts w:ascii="Arial" w:cs="Arial" w:eastAsia="Arial" w:hAnsi="Arial"/>
                <w:sz w:val="17"/>
                <w:szCs w:val="17"/>
                <w:color w:val="auto"/>
              </w:rPr>
              <w:t>Unbilled Services (includes $0.6 million and $0.2 million with related parties at December 31, 2015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18,736</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12,780</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11,896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94,721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133,321</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37,512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Goodwill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660,981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670,294</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186,743</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249,885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3,927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984,041</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8,728</w:t>
            </w:r>
          </w:p>
        </w:tc>
        <w:tc>
          <w:tcPr>
            <w:tcW w:w="340" w:type="dxa"/>
            <w:vAlign w:val="bottom"/>
          </w:tcPr>
          <w:p>
            <w:pPr>
              <w:spacing w:after="0"/>
              <w:rPr>
                <w:sz w:val="16"/>
                <w:szCs w:val="16"/>
                <w:color w:val="auto"/>
              </w:rPr>
            </w:pPr>
          </w:p>
        </w:tc>
        <w:tc>
          <w:tcPr>
            <w:tcW w:w="5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6,252</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20,111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20,307</w:t>
            </w:r>
          </w:p>
        </w:tc>
        <w:tc>
          <w:tcPr>
            <w:tcW w:w="0" w:type="dxa"/>
            <w:vAlign w:val="bottom"/>
          </w:tcPr>
          <w:p>
            <w:pPr>
              <w:spacing w:after="0"/>
              <w:rPr>
                <w:sz w:val="1"/>
                <w:szCs w:val="1"/>
                <w:color w:val="auto"/>
              </w:rPr>
            </w:pPr>
          </w:p>
        </w:tc>
      </w:tr>
      <w:tr>
        <w:trPr>
          <w:trHeight w:val="183"/>
        </w:trPr>
        <w:tc>
          <w:tcPr>
            <w:tcW w:w="8520" w:type="dxa"/>
            <w:vAlign w:val="bottom"/>
          </w:tcPr>
          <w:p>
            <w:pPr>
              <w:ind w:left="260"/>
              <w:spacing w:after="0" w:line="183" w:lineRule="exact"/>
              <w:rPr>
                <w:sz w:val="20"/>
                <w:szCs w:val="20"/>
                <w:color w:val="auto"/>
              </w:rPr>
            </w:pPr>
            <w:r>
              <w:rPr>
                <w:rFonts w:ascii="Arial" w:cs="Arial" w:eastAsia="Arial" w:hAnsi="Arial"/>
                <w:sz w:val="17"/>
                <w:szCs w:val="17"/>
                <w:color w:val="auto"/>
              </w:rPr>
              <w:t>Pre-funded study costs (includes $3.7 million and $2.4 million with related parties at 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tcPr>
          <w:p>
            <w:pPr>
              <w:ind w:left="520"/>
              <w:spacing w:after="0"/>
              <w:rPr>
                <w:sz w:val="20"/>
                <w:szCs w:val="20"/>
                <w:color w:val="auto"/>
              </w:rPr>
            </w:pPr>
            <w:r>
              <w:rPr>
                <w:rFonts w:ascii="Arial" w:cs="Arial" w:eastAsia="Arial" w:hAnsi="Arial"/>
                <w:sz w:val="17"/>
                <w:szCs w:val="17"/>
                <w:color w:val="auto"/>
              </w:rPr>
              <w:t>2015 and 2014, respectively)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46,599</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36,686</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Advanced billings (includes $10.2 million and $5.3 million with related parties at December 31, 2015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58,139</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7,528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134,017</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133,640</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Long-term debt, net, less current portion</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377,882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491,518</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Deemed landlord liability, less current portion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30,273</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31,852</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 liability</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21,104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33,768</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7,291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570,567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694,942</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(see Note 9)</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Successor common stock—$0.01 par value; 60,000,000 shares authorized; 44,043,030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42,237,440 shares issued and outstanding at December 31, 2015 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438,602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417,444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(23,009)</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(2,559)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413,474</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401,970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tcPr>
          <w:p>
            <w:pPr>
              <w:ind w:left="760"/>
              <w:spacing w:after="0"/>
              <w:rPr>
                <w:sz w:val="20"/>
                <w:szCs w:val="20"/>
                <w:color w:val="auto"/>
              </w:rPr>
            </w:pPr>
            <w:r>
              <w:rPr>
                <w:rFonts w:ascii="Arial" w:cs="Arial" w:eastAsia="Arial" w:hAnsi="Arial"/>
                <w:sz w:val="17"/>
                <w:szCs w:val="17"/>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984,041</w:t>
            </w:r>
          </w:p>
        </w:tc>
        <w:tc>
          <w:tcPr>
            <w:tcW w:w="340" w:type="dxa"/>
            <w:vAlign w:val="bottom"/>
          </w:tcPr>
          <w:p>
            <w:pPr>
              <w:spacing w:after="0"/>
              <w:rPr>
                <w:sz w:val="17"/>
                <w:szCs w:val="17"/>
                <w:color w:val="auto"/>
              </w:rPr>
            </w:pPr>
          </w:p>
        </w:tc>
        <w:tc>
          <w:tcPr>
            <w:tcW w:w="5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193"/>
        </w:trPr>
        <w:tc>
          <w:tcPr>
            <w:tcW w:w="8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3"/>
          </w:tcPr>
          <w:p>
            <w:pPr>
              <w:ind w:left="86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4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center"/>
              <w:ind w:right="820"/>
              <w:spacing w:after="0" w:line="143" w:lineRule="exact"/>
              <w:rPr>
                <w:sz w:val="20"/>
                <w:szCs w:val="20"/>
                <w:color w:val="auto"/>
              </w:rPr>
            </w:pPr>
            <w:r>
              <w:rPr>
                <w:rFonts w:ascii="Arial" w:cs="Arial" w:eastAsia="Arial" w:hAnsi="Arial"/>
                <w:sz w:val="14"/>
                <w:szCs w:val="14"/>
                <w:b w:val="1"/>
                <w:bCs w:val="1"/>
                <w:color w:val="auto"/>
              </w:rPr>
              <w:t>PERIOD FROM</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APRIL 1, 2014</w:t>
            </w:r>
          </w:p>
        </w:tc>
        <w:tc>
          <w:tcPr>
            <w:tcW w:w="680" w:type="dxa"/>
            <w:vAlign w:val="bottom"/>
          </w:tcPr>
          <w:p>
            <w:pPr>
              <w:spacing w:after="0"/>
              <w:rPr>
                <w:sz w:val="14"/>
                <w:szCs w:val="14"/>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 2014</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THROUGH</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right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20" w:type="dxa"/>
            <w:vAlign w:val="bottom"/>
            <w:shd w:val="clear" w:color="auto" w:fill="CCEEFF"/>
          </w:tcPr>
          <w:p>
            <w:pPr>
              <w:spacing w:after="0" w:line="138" w:lineRule="exact"/>
              <w:rPr>
                <w:sz w:val="20"/>
                <w:szCs w:val="20"/>
                <w:color w:val="auto"/>
              </w:rPr>
            </w:pPr>
            <w:r>
              <w:rPr>
                <w:rFonts w:ascii="Arial" w:cs="Arial" w:eastAsia="Arial" w:hAnsi="Arial"/>
                <w:sz w:val="15"/>
                <w:szCs w:val="15"/>
                <w:color w:val="auto"/>
              </w:rPr>
              <w:t>Service revenue, net (includes $24.0 million, $11.8 million,</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$2.0 million and $3.3 million with related parties for the</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Successor year ended December 31, 2015 and Period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ended December 31, 2014, and the Predecessor Period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ended March 31, 2014 and year ended December 31,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2013, respectively)</w:t>
            </w:r>
          </w:p>
        </w:tc>
        <w:tc>
          <w:tcPr>
            <w:tcW w:w="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360"/>
              <w:spacing w:after="0" w:line="166" w:lineRule="exact"/>
              <w:rPr>
                <w:sz w:val="20"/>
                <w:szCs w:val="20"/>
                <w:color w:val="auto"/>
              </w:rPr>
            </w:pPr>
            <w:r>
              <w:rPr>
                <w:rFonts w:ascii="Arial" w:cs="Arial" w:eastAsia="Arial" w:hAnsi="Arial"/>
                <w:sz w:val="15"/>
                <w:szCs w:val="15"/>
                <w:color w:val="auto"/>
              </w:rPr>
              <w:t>320,101</w:t>
            </w:r>
          </w:p>
        </w:tc>
        <w:tc>
          <w:tcPr>
            <w:tcW w:w="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shd w:val="clear" w:color="auto" w:fill="CCEEFF"/>
          </w:tcPr>
          <w:p>
            <w:pPr>
              <w:jc w:val="right"/>
              <w:ind w:right="400"/>
              <w:spacing w:after="0" w:line="166" w:lineRule="exact"/>
              <w:rPr>
                <w:sz w:val="20"/>
                <w:szCs w:val="20"/>
                <w:color w:val="auto"/>
              </w:rPr>
            </w:pPr>
            <w:r>
              <w:rPr>
                <w:rFonts w:ascii="Arial" w:cs="Arial" w:eastAsia="Arial" w:hAnsi="Arial"/>
                <w:sz w:val="15"/>
                <w:szCs w:val="15"/>
                <w:color w:val="auto"/>
              </w:rPr>
              <w:t>219,791</w:t>
            </w:r>
          </w:p>
        </w:tc>
        <w:tc>
          <w:tcPr>
            <w:tcW w:w="780" w:type="dxa"/>
            <w:vAlign w:val="bottom"/>
            <w:gridSpan w:val="2"/>
            <w:shd w:val="clear" w:color="auto" w:fill="CCEEFF"/>
          </w:tcPr>
          <w:p>
            <w:pPr>
              <w:ind w:left="680"/>
              <w:spacing w:after="0" w:line="166" w:lineRule="exact"/>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CCEEFF"/>
          </w:tcPr>
          <w:p>
            <w:pPr>
              <w:jc w:val="right"/>
              <w:ind w:right="720"/>
              <w:spacing w:after="0" w:line="166" w:lineRule="exact"/>
              <w:rPr>
                <w:sz w:val="20"/>
                <w:szCs w:val="20"/>
                <w:color w:val="auto"/>
              </w:rPr>
            </w:pPr>
            <w:r>
              <w:rPr>
                <w:rFonts w:ascii="Arial" w:cs="Arial" w:eastAsia="Arial" w:hAnsi="Arial"/>
                <w:sz w:val="15"/>
                <w:szCs w:val="15"/>
                <w:color w:val="auto"/>
              </w:rPr>
              <w:t>70,250</w:t>
            </w:r>
          </w:p>
        </w:tc>
        <w:tc>
          <w:tcPr>
            <w:tcW w:w="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244,270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line="159" w:lineRule="exact"/>
              <w:rPr>
                <w:sz w:val="20"/>
                <w:szCs w:val="20"/>
                <w:color w:val="auto"/>
              </w:rPr>
            </w:pPr>
            <w:r>
              <w:rPr>
                <w:rFonts w:ascii="Arial" w:cs="Arial" w:eastAsia="Arial" w:hAnsi="Arial"/>
                <w:sz w:val="15"/>
                <w:szCs w:val="15"/>
                <w:color w:val="auto"/>
              </w:rPr>
              <w:t>Reimbursed out-of-pocket revenue (includes $6.9 million,</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$2.0 million, $0.1 million and $0.1 million with related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parties for the Successor year ended December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2015 and Period ended December 31, 2014, and the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Predecessor Period ended March 31, 2014 and year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tcPr>
          <w:p>
            <w:pPr>
              <w:ind w:left="240"/>
              <w:spacing w:after="0" w:line="166" w:lineRule="exact"/>
              <w:rPr>
                <w:sz w:val="20"/>
                <w:szCs w:val="20"/>
                <w:color w:val="auto"/>
              </w:rPr>
            </w:pPr>
            <w:r>
              <w:rPr>
                <w:rFonts w:ascii="Arial" w:cs="Arial" w:eastAsia="Arial" w:hAnsi="Arial"/>
                <w:sz w:val="15"/>
                <w:szCs w:val="15"/>
                <w:color w:val="auto"/>
              </w:rPr>
              <w:t>ended December 31, 2013, respectively)</w:t>
            </w:r>
          </w:p>
        </w:tc>
        <w:tc>
          <w:tcPr>
            <w:tcW w:w="20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38,958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6" w:lineRule="exact"/>
              <w:rPr>
                <w:sz w:val="20"/>
                <w:szCs w:val="20"/>
                <w:color w:val="auto"/>
              </w:rPr>
            </w:pPr>
            <w:r>
              <w:rPr>
                <w:rFonts w:ascii="Arial" w:cs="Arial" w:eastAsia="Arial" w:hAnsi="Arial"/>
                <w:sz w:val="15"/>
                <w:szCs w:val="15"/>
                <w:color w:val="auto"/>
              </w:rPr>
              <w:t>28,708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6" w:lineRule="exact"/>
              <w:rPr>
                <w:sz w:val="20"/>
                <w:szCs w:val="20"/>
                <w:color w:val="auto"/>
              </w:rPr>
            </w:pPr>
            <w:r>
              <w:rPr>
                <w:rFonts w:ascii="Arial" w:cs="Arial" w:eastAsia="Arial" w:hAnsi="Arial"/>
                <w:sz w:val="15"/>
                <w:szCs w:val="15"/>
                <w:color w:val="auto"/>
              </w:rPr>
              <w:t>7,679</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28,620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Total revenue</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359,059</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248,499</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77,929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272,890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Direct costs, excluding depreciation and amortization</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163,707</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117,550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38,759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119,779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ind w:left="240"/>
              <w:spacing w:after="0" w:line="159" w:lineRule="exact"/>
              <w:rPr>
                <w:sz w:val="20"/>
                <w:szCs w:val="20"/>
                <w:color w:val="auto"/>
              </w:rPr>
            </w:pPr>
            <w:r>
              <w:rPr>
                <w:rFonts w:ascii="Arial" w:cs="Arial" w:eastAsia="Arial" w:hAnsi="Arial"/>
                <w:sz w:val="15"/>
                <w:szCs w:val="15"/>
                <w:color w:val="auto"/>
              </w:rPr>
              <w:t>Reimbursed out-of-pocket expenses (includes $6.9</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million, $2.0 million, $0.1 million and $0.1 million with</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related parties for the Successor year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December 31, 2015 and Period ended December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2014, and the Predecessor Period ended March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2014 and year ended December 31, 2013,</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tcPr>
          <w:p>
            <w:pPr>
              <w:ind w:left="500"/>
              <w:spacing w:after="0" w:line="166" w:lineRule="exact"/>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6" w:lineRule="exact"/>
              <w:rPr>
                <w:sz w:val="20"/>
                <w:szCs w:val="20"/>
                <w:color w:val="auto"/>
              </w:rPr>
            </w:pPr>
            <w:r>
              <w:rPr>
                <w:rFonts w:ascii="Arial" w:cs="Arial" w:eastAsia="Arial" w:hAnsi="Arial"/>
                <w:sz w:val="15"/>
                <w:szCs w:val="15"/>
                <w:color w:val="auto"/>
              </w:rPr>
              <w:t>38,958</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6" w:lineRule="exact"/>
              <w:rPr>
                <w:sz w:val="20"/>
                <w:szCs w:val="20"/>
                <w:color w:val="auto"/>
              </w:rPr>
            </w:pPr>
            <w:r>
              <w:rPr>
                <w:rFonts w:ascii="Arial" w:cs="Arial" w:eastAsia="Arial" w:hAnsi="Arial"/>
                <w:sz w:val="15"/>
                <w:szCs w:val="15"/>
                <w:color w:val="auto"/>
              </w:rPr>
              <w:t>28,708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6" w:lineRule="exact"/>
              <w:rPr>
                <w:sz w:val="20"/>
                <w:szCs w:val="20"/>
                <w:color w:val="auto"/>
              </w:rPr>
            </w:pPr>
            <w:r>
              <w:rPr>
                <w:rFonts w:ascii="Arial" w:cs="Arial" w:eastAsia="Arial" w:hAnsi="Arial"/>
                <w:sz w:val="15"/>
                <w:szCs w:val="15"/>
                <w:color w:val="auto"/>
              </w:rPr>
              <w:t>7,679</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28,620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56,998</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29,465</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10,203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35,109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Acquisition and integration</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9,297</w:t>
            </w: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2" w:lineRule="exact"/>
              <w:rPr>
                <w:sz w:val="20"/>
                <w:szCs w:val="20"/>
                <w:color w:val="auto"/>
              </w:rPr>
            </w:pPr>
            <w:r>
              <w:rPr>
                <w:rFonts w:ascii="Arial" w:cs="Arial" w:eastAsia="Arial" w:hAnsi="Arial"/>
                <w:sz w:val="15"/>
                <w:szCs w:val="15"/>
                <w:color w:val="auto"/>
              </w:rPr>
              <w:t>12,420</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Impairment of goodwill</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9,313</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Depreciation</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6,379</w:t>
            </w:r>
          </w:p>
        </w:tc>
        <w:tc>
          <w:tcPr>
            <w:tcW w:w="1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4,610</w:t>
            </w: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2" w:lineRule="exact"/>
              <w:rPr>
                <w:sz w:val="20"/>
                <w:szCs w:val="20"/>
                <w:color w:val="auto"/>
              </w:rPr>
            </w:pPr>
            <w:r>
              <w:rPr>
                <w:rFonts w:ascii="Arial" w:cs="Arial" w:eastAsia="Arial" w:hAnsi="Arial"/>
                <w:sz w:val="15"/>
                <w:szCs w:val="15"/>
                <w:color w:val="auto"/>
              </w:rPr>
              <w:t>1,832</w:t>
            </w: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Amortization</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63,142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56,422</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5,199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Pr>
          <w:p>
            <w:pPr>
              <w:ind w:left="500"/>
              <w:spacing w:after="0" w:line="169" w:lineRule="exact"/>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338,497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color w:val="auto"/>
              </w:rPr>
              <w:t>246,052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9" w:lineRule="exact"/>
              <w:rPr>
                <w:sz w:val="20"/>
                <w:szCs w:val="20"/>
                <w:color w:val="auto"/>
              </w:rPr>
            </w:pPr>
            <w:r>
              <w:rPr>
                <w:rFonts w:ascii="Arial" w:cs="Arial" w:eastAsia="Arial" w:hAnsi="Arial"/>
                <w:sz w:val="15"/>
                <w:szCs w:val="15"/>
                <w:color w:val="auto"/>
              </w:rPr>
              <w:t>76,092</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214,027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operations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20,562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2,447</w:t>
            </w: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1,837</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58,863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Other (expense) income, net: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Miscellaneous (expense) income, net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(1,133)</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(301)</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1,213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Interest expense, net</w:t>
            </w:r>
          </w:p>
        </w:tc>
        <w:tc>
          <w:tcPr>
            <w:tcW w:w="200" w:type="dxa"/>
            <w:vAlign w:val="bottom"/>
          </w:tcPr>
          <w:p>
            <w:pPr>
              <w:spacing w:after="0"/>
              <w:rPr>
                <w:sz w:val="14"/>
                <w:szCs w:val="14"/>
                <w:color w:val="auto"/>
              </w:rPr>
            </w:pPr>
          </w:p>
        </w:tc>
        <w:tc>
          <w:tcPr>
            <w:tcW w:w="124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(27,259)</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(23,185)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660"/>
              <w:spacing w:after="0" w:line="162" w:lineRule="exact"/>
              <w:rPr>
                <w:sz w:val="20"/>
                <w:szCs w:val="20"/>
                <w:color w:val="auto"/>
              </w:rPr>
            </w:pPr>
            <w:r>
              <w:rPr>
                <w:rFonts w:ascii="Arial" w:cs="Arial" w:eastAsia="Arial" w:hAnsi="Arial"/>
                <w:sz w:val="15"/>
                <w:szCs w:val="15"/>
                <w:color w:val="auto"/>
              </w:rPr>
              <w:t>(3,272)</w:t>
            </w:r>
          </w:p>
        </w:tc>
        <w:tc>
          <w:tcPr>
            <w:tcW w:w="200" w:type="dxa"/>
            <w:vAlign w:val="bottom"/>
          </w:tcPr>
          <w:p>
            <w:pPr>
              <w:spacing w:after="0"/>
              <w:rPr>
                <w:sz w:val="14"/>
                <w:szCs w:val="14"/>
                <w:color w:val="auto"/>
              </w:rPr>
            </w:pPr>
          </w:p>
        </w:tc>
        <w:tc>
          <w:tcPr>
            <w:tcW w:w="9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Total other expense, net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(28,392)</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(23,486)</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660"/>
              <w:spacing w:after="0" w:line="162" w:lineRule="exact"/>
              <w:rPr>
                <w:sz w:val="20"/>
                <w:szCs w:val="20"/>
                <w:color w:val="auto"/>
              </w:rPr>
            </w:pPr>
            <w:r>
              <w:rPr>
                <w:rFonts w:ascii="Arial" w:cs="Arial" w:eastAsia="Arial" w:hAnsi="Arial"/>
                <w:sz w:val="15"/>
                <w:szCs w:val="15"/>
                <w:color w:val="auto"/>
              </w:rPr>
              <w:t>(2,059)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(19,718)</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gridSpan w:val="2"/>
          </w:tcPr>
          <w:p>
            <w:pPr>
              <w:spacing w:after="0" w:line="169" w:lineRule="exact"/>
              <w:rPr>
                <w:sz w:val="20"/>
                <w:szCs w:val="20"/>
                <w:color w:val="auto"/>
              </w:rPr>
            </w:pPr>
            <w:r>
              <w:rPr>
                <w:rFonts w:ascii="Arial" w:cs="Arial" w:eastAsia="Arial" w:hAnsi="Arial"/>
                <w:sz w:val="15"/>
                <w:szCs w:val="15"/>
                <w:color w:val="auto"/>
              </w:rPr>
              <w:t>(Loss) income before income taxes</w:t>
            </w:r>
          </w:p>
        </w:tc>
        <w:tc>
          <w:tcPr>
            <w:tcW w:w="200" w:type="dxa"/>
            <w:vAlign w:val="bottom"/>
          </w:tcPr>
          <w:p>
            <w:pPr>
              <w:spacing w:after="0"/>
              <w:rPr>
                <w:sz w:val="14"/>
                <w:szCs w:val="14"/>
                <w:color w:val="auto"/>
              </w:rPr>
            </w:pPr>
          </w:p>
        </w:tc>
        <w:tc>
          <w:tcPr>
            <w:tcW w:w="12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(7,830)</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color w:val="auto"/>
              </w:rPr>
              <w:t>(21,039)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(222)</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39,145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tax provision (benefit)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843</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(6,703)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1,014</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14,301</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gridSpan w:val="2"/>
          </w:tcPr>
          <w:p>
            <w:pPr>
              <w:spacing w:after="0" w:line="169" w:lineRule="exact"/>
              <w:rPr>
                <w:sz w:val="20"/>
                <w:szCs w:val="20"/>
                <w:color w:val="auto"/>
              </w:rPr>
            </w:pPr>
            <w:r>
              <w:rPr>
                <w:rFonts w:ascii="Arial" w:cs="Arial" w:eastAsia="Arial" w:hAnsi="Arial"/>
                <w:sz w:val="15"/>
                <w:szCs w:val="15"/>
                <w:color w:val="auto"/>
              </w:rPr>
              <w:t>Net (loss) income</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(8,673)</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color w:val="auto"/>
              </w:rPr>
              <w:t>(14,336)</w:t>
            </w:r>
          </w:p>
        </w:tc>
        <w:tc>
          <w:tcPr>
            <w:tcW w:w="780" w:type="dxa"/>
            <w:vAlign w:val="bottom"/>
            <w:gridSpan w:val="2"/>
          </w:tcPr>
          <w:p>
            <w:pPr>
              <w:ind w:left="680"/>
              <w:spacing w:after="0" w:line="169" w:lineRule="exact"/>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(1,236)</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24,844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Net (loss) income per share attributable to common</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shareholders: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Basic</w:t>
            </w: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(0.20)</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(0.34)</w:t>
            </w:r>
          </w:p>
        </w:tc>
        <w:tc>
          <w:tcPr>
            <w:tcW w:w="780" w:type="dxa"/>
            <w:vAlign w:val="bottom"/>
            <w:gridSpan w:val="2"/>
          </w:tcPr>
          <w:p>
            <w:pPr>
              <w:ind w:left="680"/>
              <w:spacing w:after="0" w:line="162" w:lineRule="exact"/>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660"/>
              <w:spacing w:after="0" w:line="162" w:lineRule="exact"/>
              <w:rPr>
                <w:sz w:val="20"/>
                <w:szCs w:val="20"/>
                <w:color w:val="auto"/>
              </w:rPr>
            </w:pPr>
            <w:r>
              <w:rPr>
                <w:rFonts w:ascii="Arial" w:cs="Arial" w:eastAsia="Arial" w:hAnsi="Arial"/>
                <w:sz w:val="15"/>
                <w:szCs w:val="15"/>
                <w:color w:val="auto"/>
              </w:rPr>
              <w:t>(0.05)</w:t>
            </w: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(0.20)</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(0.34)</w:t>
            </w:r>
          </w:p>
        </w:tc>
        <w:tc>
          <w:tcPr>
            <w:tcW w:w="780" w:type="dxa"/>
            <w:vAlign w:val="bottom"/>
            <w:gridSpan w:val="2"/>
            <w:shd w:val="clear" w:color="auto" w:fill="CCEEFF"/>
          </w:tcPr>
          <w:p>
            <w:pPr>
              <w:ind w:left="680"/>
              <w:spacing w:after="0" w:line="162" w:lineRule="exact"/>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CCEEFF"/>
          </w:tcPr>
          <w:p>
            <w:pPr>
              <w:jc w:val="right"/>
              <w:ind w:right="660"/>
              <w:spacing w:after="0" w:line="162" w:lineRule="exact"/>
              <w:rPr>
                <w:sz w:val="20"/>
                <w:szCs w:val="20"/>
                <w:color w:val="auto"/>
              </w:rPr>
            </w:pPr>
            <w:r>
              <w:rPr>
                <w:rFonts w:ascii="Arial" w:cs="Arial" w:eastAsia="Arial" w:hAnsi="Arial"/>
                <w:sz w:val="15"/>
                <w:szCs w:val="15"/>
                <w:color w:val="auto"/>
              </w:rPr>
              <w:t>(0.05)</w:t>
            </w: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Weighted average common shares outstanding:</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Basic</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42,317,125</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41,673,479</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25,047,188</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25,204,079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5"/>
                <w:szCs w:val="15"/>
                <w:color w:val="auto"/>
              </w:rPr>
              <w:t>42,317,125</w:t>
            </w:r>
          </w:p>
        </w:tc>
        <w:tc>
          <w:tcPr>
            <w:tcW w:w="12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41,673,479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5"/>
                <w:szCs w:val="15"/>
                <w:color w:val="auto"/>
              </w:rPr>
              <w:t>25,047,188</w:t>
            </w: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26,150,149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ind w:left="840"/>
              <w:spacing w:after="0"/>
              <w:rPr>
                <w:sz w:val="20"/>
                <w:szCs w:val="20"/>
                <w:color w:val="auto"/>
              </w:rPr>
            </w:pPr>
            <w:r>
              <w:rPr>
                <w:rFonts w:ascii="Arial" w:cs="Arial" w:eastAsia="Arial" w:hAnsi="Arial"/>
                <w:sz w:val="14"/>
                <w:szCs w:val="14"/>
                <w:b w:val="1"/>
                <w:bCs w:val="1"/>
                <w:color w:val="auto"/>
              </w:rPr>
              <w:t>PREDECESSOR</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3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PERIOD FROM</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APRIL 1, 2014</w:t>
            </w:r>
          </w:p>
        </w:tc>
        <w:tc>
          <w:tcPr>
            <w:tcW w:w="660" w:type="dxa"/>
            <w:vAlign w:val="bottom"/>
          </w:tcPr>
          <w:p>
            <w:pPr>
              <w:spacing w:after="0"/>
              <w:rPr>
                <w:sz w:val="14"/>
                <w:szCs w:val="1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JANUARY 1, 2014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THROUGH</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THROUGH</w:t>
            </w:r>
          </w:p>
        </w:tc>
        <w:tc>
          <w:tcPr>
            <w:tcW w:w="3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right w:val="single" w:sz="8" w:color="auto"/>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income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(14,336)</w:t>
            </w:r>
          </w:p>
        </w:tc>
        <w:tc>
          <w:tcPr>
            <w:tcW w:w="38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(1,236)</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24,844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Other comprehensive loss: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Foreign currency translation adjustments, net of</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(1,560)</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Comprehensive (loss) income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(9,672)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(15,896)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7"/>
                <w:szCs w:val="17"/>
                <w:color w:val="auto"/>
              </w:rPr>
              <w:t>(1,247)</w:t>
            </w:r>
          </w:p>
        </w:tc>
        <w:tc>
          <w:tcPr>
            <w:tcW w:w="5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24,812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BALANCE—January 1, 2013—Predecessor</w:t>
            </w: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250,843</w:t>
            </w: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(28,721)</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(1,331)</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$ 220,816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24,844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24,844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1,177</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452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1,958</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BALANCE—December 31, 2013—Predecessor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254,446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(3,877)</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(1,363)</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$ 249,231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(1,236)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(11)</w:t>
            </w: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15,219</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7,340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7,340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5,270</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BALANCE—March 31, 2014—Predecessor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282,275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(5,113)</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(1,374)</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$ 275,815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Close Predecessor shareholders’ equity at the</w:t>
            </w: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acquisition date</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(282,275)</w:t>
            </w: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1,374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(275,815)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414</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413,586</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414,000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BALANCE—April 1, 2014—Successor</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413,586</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$ 414,000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(14,336)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(1,560)</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3,049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3,057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809</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BALANCE—December 31, 2014—Successor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417,444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(14,336)</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(1,560)</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$ 401,970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(8,673)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607</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(999)</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17</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21,110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21,127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250</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Tax benefit deficiency from stock-based compensation</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(809)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BALANCE—December 31, 2015—Successor</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440</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438,602</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(23,009)</w:t>
            </w:r>
          </w:p>
        </w:tc>
        <w:tc>
          <w:tcPr>
            <w:tcW w:w="4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(2,559)</w:t>
            </w: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$ 413,474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1980" w:type="dxa"/>
            <w:vAlign w:val="bottom"/>
            <w:gridSpan w:val="3"/>
          </w:tcPr>
          <w:p>
            <w:pPr>
              <w:ind w:left="78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3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rPr>
              <w:t>PERIOD FROM</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APRIL 1, 2014</w:t>
            </w:r>
          </w:p>
        </w:tc>
        <w:tc>
          <w:tcPr>
            <w:tcW w:w="4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JANUARY 1, 2014</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2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right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Net (loss) income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(14,336)</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(1,236)</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7"/>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(loss) income to net cash provided by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2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6,379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4,610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1,832</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56,422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5,199</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22,324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7,340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1,958</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debt issuance costs and discount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2,064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371</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1,523</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income tax (benefit) provision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(12,690)</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(9,557)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300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5,982</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9,313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the sale of cost method investment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2,250</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(721)</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(1,753)</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(400)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438</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receivable, net and unbilled services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(10,543)</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1,604</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(846)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(4,617)</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4,760</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558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13,708</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10,987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(4,957)</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8,335</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Pre-funded study costs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1,561</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Advanced billings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5,995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6,330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10,651</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assets and liabilities, net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1,704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(1,360)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832</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84,117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62,539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12,807</w:t>
            </w:r>
          </w:p>
        </w:tc>
        <w:tc>
          <w:tcPr>
            <w:tcW w:w="2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Property and equipment expenditures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(6,465)</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(4,225)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(1,090)</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(4,561)</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Predecessor, net of cash received</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(903,453)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38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263</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r>
      <w:tr>
        <w:trPr>
          <w:trHeight w:val="27"/>
        </w:trPr>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5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(6,432)</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(907,640)</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(827)</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(4,472)</w:t>
            </w: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sale of common stock</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414,000</w:t>
            </w: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1,177</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stock option exercises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452</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Excess tax benefit from stock-based compensation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5,270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issuance of debt, net of original issue discount</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527,350</w:t>
            </w:r>
          </w:p>
        </w:tc>
        <w:tc>
          <w:tcPr>
            <w:tcW w:w="3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debt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(116,055)</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(25,217)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(23,073)</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(96,431)</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revolving loan</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1,575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revolving loan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Debt issuance costs</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(15,487)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(1,065)</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deemed landlord liability</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tcPr>
          <w:p>
            <w:pPr>
              <w:ind w:left="44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(116,489)</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900,171</w:t>
            </w:r>
          </w:p>
        </w:tc>
        <w:tc>
          <w:tcPr>
            <w:tcW w:w="3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(17,968)</w:t>
            </w:r>
          </w:p>
        </w:tc>
        <w:tc>
          <w:tcPr>
            <w:tcW w:w="2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(95,851)</w:t>
            </w: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EFFECTS OF EXCHANGE RATES ON CASH AND CASH</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EQUIVALENTS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(785)</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40"/>
              <w:spacing w:after="0" w:line="157"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159</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(DECREASE) INCREASE IN CASH AND CASH EQUIVALENTS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(39,405)</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54,285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(6,013)</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(2,022)</w:t>
            </w: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EQUIVALENTS—Beginning of period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54,285</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23,858</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25,880</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CASH AND CASH EQUIVALENTS—End of period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14,880</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54,285</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17,845</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23,858</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Cash paid during the period for income taxes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10,552</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4,513</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125</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5,784</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2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Cash paid during the period for interest</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24,435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21,060</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580"/>
              <w:spacing w:after="0" w:line="156" w:lineRule="exact"/>
              <w:rPr>
                <w:sz w:val="20"/>
                <w:szCs w:val="20"/>
                <w:color w:val="auto"/>
              </w:rPr>
            </w:pPr>
            <w:r>
              <w:rPr>
                <w:rFonts w:ascii="Arial" w:cs="Arial" w:eastAsia="Arial" w:hAnsi="Arial"/>
                <w:sz w:val="14"/>
                <w:szCs w:val="14"/>
                <w:color w:val="auto"/>
              </w:rPr>
              <w:t>2,961</w:t>
            </w:r>
          </w:p>
        </w:tc>
        <w:tc>
          <w:tcPr>
            <w:tcW w:w="2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16,223</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220" w:type="dxa"/>
            <w:vAlign w:val="bottom"/>
          </w:tcPr>
          <w:p>
            <w:pPr>
              <w:ind w:left="160"/>
              <w:spacing w:after="0"/>
              <w:rPr>
                <w:sz w:val="20"/>
                <w:szCs w:val="20"/>
                <w:color w:val="auto"/>
              </w:rPr>
            </w:pPr>
            <w:r>
              <w:rPr>
                <w:rFonts w:ascii="Arial" w:cs="Arial" w:eastAsia="Arial" w:hAnsi="Arial"/>
                <w:sz w:val="14"/>
                <w:szCs w:val="14"/>
                <w:color w:val="auto"/>
              </w:rPr>
              <w:t>Acquisition of property and equipment—non-cash</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176</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153</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312</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376</w:t>
            </w:r>
          </w:p>
        </w:tc>
      </w:tr>
      <w:tr>
        <w:trPr>
          <w:trHeight w:val="188"/>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color w:val="auto"/>
        </w:rPr>
        <w:t>As of December 31, 2015 and 2014, and for the Year Ended December 31, 2015, the Periods April 1, 2014 through December 31, 2014 and January 1, 2014 through March 31, 2014, and the Year Ended December 31,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Medpace Holdings, Inc. together with its subsidiaries, (the “Company” or “Medpace”),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central laboratory, project management, regulatory affairs, clinical monitoring, data management and analysis, pharmacovigilance new drug application submissions, and post-marketing clinical support. The Company also provides coordinated central laboratory services, bio-analytical laboratory services, clinical human pharmacology, imaging services, and electrocardiography reading support for clinical trials.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CONTROL</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February 2014, investment funds managed by Cinven Capital Management (V) General Partner Limited (“Cinven”), a private equity firm, incorporated Scioto Holdings, Inc. in the first of multiple steps that would result in a change of control for the Company. Pursuant to the terms and conditions of the Agreement and Plan of Merger (the “Merger Agreement”) dated February 22, 2014, Scioto Holdings, Inc. (the “Successor”), through its wholly owned subsidiary Scioto Acquisition, Inc. (the “Purchaser”) and the Purchaser’s wholly owned subsidiary Scioto Merger Sub, Inc. (the “Merger Sub”), purchased 100% of the outstanding shares of Medpace Holdings, Inc. (“Predecessor”) for an aggregate purchase price of $921.3 million on April 1, 2014 (the “Transaction”). Per the terms of a Contribution and Subscription Agreement, Medpace Investors, LLC (“Medpace Investors” or “MPI”), owned by certain employees of the Company, agreed to contribute shares held in the Predecessor in exchange for a percentage stake in the Successor. The Transaction was financed through the sale of the Successor’s equity and debt financing under a new credit facility entered into by Merger Sub as the initial borrower. Upon Transaction consummation, Merger Sub ceased to exist and Medpace Holdings, Inc. became the borrower under the credit facility. The proceeds from the transaction were used to purchase Predecessor’s equity interests, extinguish debt which had immediately come due as a result of the change in control, and pay Predecessor’s acquisition-related selling expenses. The Predecessor’s acquisition-related selling expenses of $12.4 million, including $10.1 million related to success based advisory fees, are reflected in the Acquisition and integration expense line in the consolidated statement of operations for the Predecessor January 1 through March 31, 2014 period. The Successor’s acquisition-related buying expenses of $9.3 million, including $3.3 million related to success based advisory fees, are reflected in the Acquisition and integration expense line in the consolidated statement of operations for the Successor April 1, 2014 through December 31, 2014 period.</w:t>
      </w:r>
    </w:p>
    <w:p>
      <w:pPr>
        <w:spacing w:after="0" w:line="15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Prior to the Transaction, CCMP Capital (“CCMP”), a private equity firm, held 80% of the Predecessor’s equity interests and the noncontrolling interests were held by certain current and former members of management, along with former members of the Board of Directors of Medpace, Inc., a wholly owned subsidiary of Medpace Holdings, Inc.</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sources and uses of the purchase price consideration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Sources of cash consideration:</w:t>
            </w:r>
          </w:p>
        </w:tc>
        <w:tc>
          <w:tcPr>
            <w:tcW w:w="80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Sale of Successor common Stock</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$414,000</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Long-term debt issuance</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530,000</w:t>
            </w:r>
          </w:p>
        </w:tc>
        <w:tc>
          <w:tcPr>
            <w:tcW w:w="100" w:type="dxa"/>
            <w:vAlign w:val="bottom"/>
            <w:shd w:val="clear" w:color="auto" w:fill="CCEEFF"/>
          </w:tcPr>
          <w:p>
            <w:pPr>
              <w:spacing w:after="0"/>
              <w:rPr>
                <w:sz w:val="16"/>
                <w:szCs w:val="16"/>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Revolving loan</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1,575</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Original issue discount</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(2,650)</w:t>
            </w:r>
          </w:p>
        </w:tc>
      </w:tr>
      <w:tr>
        <w:trPr>
          <w:trHeight w:val="196"/>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Loan origination fees</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(15,487)</w:t>
            </w: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Debt proceeds, net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513,438</w:t>
            </w:r>
          </w:p>
        </w:tc>
        <w:tc>
          <w:tcPr>
            <w:tcW w:w="100" w:type="dxa"/>
            <w:vAlign w:val="bottom"/>
            <w:shd w:val="clear" w:color="auto" w:fill="CCEEFF"/>
          </w:tcPr>
          <w:p>
            <w:pPr>
              <w:spacing w:after="0"/>
              <w:rPr>
                <w:sz w:val="16"/>
                <w:szCs w:val="16"/>
                <w:color w:val="auto"/>
              </w:rPr>
            </w:pPr>
          </w:p>
        </w:tc>
      </w:tr>
      <w:tr>
        <w:trPr>
          <w:trHeight w:val="196"/>
        </w:trPr>
        <w:tc>
          <w:tcPr>
            <w:tcW w:w="10580" w:type="dxa"/>
            <w:vAlign w:val="bottom"/>
            <w:gridSpan w:val="3"/>
          </w:tcPr>
          <w:p>
            <w:pPr>
              <w:ind w:left="260"/>
              <w:spacing w:after="0"/>
              <w:rPr>
                <w:sz w:val="20"/>
                <w:szCs w:val="20"/>
                <w:color w:val="auto"/>
              </w:rPr>
            </w:pPr>
            <w:r>
              <w:rPr>
                <w:rFonts w:ascii="Arial" w:cs="Arial" w:eastAsia="Arial" w:hAnsi="Arial"/>
                <w:sz w:val="17"/>
                <w:szCs w:val="17"/>
                <w:color w:val="auto"/>
              </w:rPr>
              <w:t>Total sources of consideration paid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927,438</w:t>
            </w:r>
          </w:p>
        </w:tc>
        <w:tc>
          <w:tcPr>
            <w:tcW w:w="10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580" w:type="dxa"/>
            <w:vAlign w:val="bottom"/>
            <w:gridSpan w:val="3"/>
            <w:shd w:val="clear" w:color="auto" w:fill="CCEEFF"/>
          </w:tcPr>
          <w:p>
            <w:pPr>
              <w:spacing w:after="0" w:line="156" w:lineRule="exact"/>
              <w:rPr>
                <w:sz w:val="20"/>
                <w:szCs w:val="20"/>
                <w:color w:val="auto"/>
              </w:rPr>
            </w:pPr>
            <w:r>
              <w:rPr>
                <w:rFonts w:ascii="Arial" w:cs="Arial" w:eastAsia="Arial" w:hAnsi="Arial"/>
                <w:sz w:val="17"/>
                <w:szCs w:val="17"/>
                <w:b w:val="1"/>
                <w:bCs w:val="1"/>
                <w:color w:val="auto"/>
              </w:rPr>
              <w:t>Uses of cash consideration:</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7"/>
        </w:trPr>
        <w:tc>
          <w:tcPr>
            <w:tcW w:w="2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Purchase of Predecessor common stock</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$780,829</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Proceeds from stock option exercise</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(15,221)</w:t>
            </w: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Payment of Predecessor debt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143,728</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Payment of Predecessor’s selling expenses</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11,962</w:t>
            </w:r>
          </w:p>
        </w:tc>
        <w:tc>
          <w:tcPr>
            <w:tcW w:w="100" w:type="dxa"/>
            <w:vAlign w:val="bottom"/>
            <w:shd w:val="clear" w:color="auto" w:fill="CCEEFF"/>
          </w:tcPr>
          <w:p>
            <w:pPr>
              <w:spacing w:after="0"/>
              <w:rPr>
                <w:sz w:val="16"/>
                <w:szCs w:val="16"/>
                <w:color w:val="auto"/>
              </w:rPr>
            </w:pPr>
          </w:p>
        </w:tc>
      </w:tr>
      <w:tr>
        <w:trPr>
          <w:trHeight w:val="196"/>
        </w:trPr>
        <w:tc>
          <w:tcPr>
            <w:tcW w:w="10580" w:type="dxa"/>
            <w:vAlign w:val="bottom"/>
            <w:gridSpan w:val="3"/>
          </w:tcPr>
          <w:p>
            <w:pPr>
              <w:ind w:left="260"/>
              <w:spacing w:after="0"/>
              <w:rPr>
                <w:sz w:val="20"/>
                <w:szCs w:val="20"/>
                <w:color w:val="auto"/>
              </w:rPr>
            </w:pPr>
            <w:r>
              <w:rPr>
                <w:rFonts w:ascii="Arial" w:cs="Arial" w:eastAsia="Arial" w:hAnsi="Arial"/>
                <w:sz w:val="17"/>
                <w:szCs w:val="17"/>
                <w:color w:val="auto"/>
              </w:rPr>
              <w:t>Total uses of consideration paid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921,298</w:t>
            </w:r>
          </w:p>
        </w:tc>
        <w:tc>
          <w:tcPr>
            <w:tcW w:w="10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excess cash generated from the transaction of $6.1 million is not considered purchase price consideration as the funds were used to pay a portion of the Successor’s acquisition related expenses. The Successor’s acquisition related expenses are reflected in the Acquisition and integration expense line in the consolidated statements of operations for the period ended December 31, 2014.</w:t>
      </w:r>
    </w:p>
    <w:p>
      <w:pPr>
        <w:spacing w:after="0" w:line="148"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May 2014, Scioto Holdings, Inc. was renamed Medpace Holdings, Inc. (“Successor”). Furthermore, the Predecessor Medpace Holdings, Inc. was merged with another wholly owned subsidiary and renamed Medpace IntermediateCo, Inc. For the avoidance of doubt and for purposes of these consolidated financial statements, Successor refers to the consolidated Medpace Holdings reporting entity after the Transaction and Predecessor refers to the consolidated Medpace Holdings reporting entity prior to the Transaction.</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Immediately following the Transaction, Cinven and Medpace Investors owned approximately 75% and 25%, respectively, of the Successor entity.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fair value of the assets acquired and liabilities assumed to the total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3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17,845</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1,648</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39,311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Unbilled services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13,065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Reimbursable pass-through expenses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12,184</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12,205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39,661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Goodwill</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670,294</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Intangible assets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306,307</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26,246</w:t>
            </w:r>
          </w:p>
        </w:tc>
      </w:tr>
      <w:tr>
        <w:trPr>
          <w:trHeight w:val="196"/>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Other assets</w:t>
            </w:r>
          </w:p>
        </w:tc>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3,237</w:t>
            </w:r>
          </w:p>
        </w:tc>
        <w:tc>
          <w:tcPr>
            <w:tcW w:w="100" w:type="dxa"/>
            <w:vAlign w:val="bottom"/>
          </w:tcPr>
          <w:p>
            <w:pPr>
              <w:spacing w:after="0"/>
              <w:rPr>
                <w:sz w:val="17"/>
                <w:szCs w:val="17"/>
                <w:color w:val="auto"/>
              </w:rPr>
            </w:pPr>
          </w:p>
        </w:tc>
      </w:tr>
      <w:tr>
        <w:trPr>
          <w:trHeight w:val="189"/>
        </w:trPr>
        <w:tc>
          <w:tcPr>
            <w:tcW w:w="69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assets acquired</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1,142,003</w:t>
            </w: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Liabilities assumed:</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payable and accrued expenses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16,608</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Pre-funded study costs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36,483</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Advanced billings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52,475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Deemed landlord liability</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34,251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Debt</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1,551</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69,448</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liabilities</w:t>
            </w:r>
          </w:p>
        </w:tc>
        <w:tc>
          <w:tcPr>
            <w:tcW w:w="34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16"/>
                <w:szCs w:val="16"/>
                <w:color w:val="auto"/>
              </w:rPr>
            </w:pPr>
          </w:p>
        </w:tc>
      </w:tr>
      <w:tr>
        <w:trPr>
          <w:trHeight w:val="203"/>
        </w:trPr>
        <w:tc>
          <w:tcPr>
            <w:tcW w:w="6980" w:type="dxa"/>
            <w:vAlign w:val="bottom"/>
          </w:tcPr>
          <w:p>
            <w:pPr>
              <w:ind w:left="520"/>
              <w:spacing w:after="0"/>
              <w:rPr>
                <w:sz w:val="20"/>
                <w:szCs w:val="20"/>
                <w:color w:val="auto"/>
              </w:rPr>
            </w:pPr>
            <w:r>
              <w:rPr>
                <w:rFonts w:ascii="Arial" w:cs="Arial" w:eastAsia="Arial" w:hAnsi="Arial"/>
                <w:sz w:val="17"/>
                <w:szCs w:val="17"/>
                <w:color w:val="auto"/>
              </w:rPr>
              <w:t>Total liabilities assumed</w:t>
            </w:r>
          </w:p>
        </w:tc>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220,705</w:t>
            </w:r>
          </w:p>
        </w:tc>
        <w:tc>
          <w:tcPr>
            <w:tcW w:w="100" w:type="dxa"/>
            <w:vAlign w:val="bottom"/>
          </w:tcPr>
          <w:p>
            <w:pPr>
              <w:spacing w:after="0"/>
              <w:rPr>
                <w:sz w:val="17"/>
                <w:szCs w:val="17"/>
                <w:color w:val="auto"/>
              </w:rPr>
            </w:pPr>
          </w:p>
        </w:tc>
      </w:tr>
      <w:tr>
        <w:trPr>
          <w:trHeight w:val="189"/>
        </w:trPr>
        <w:tc>
          <w:tcPr>
            <w:tcW w:w="69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Net assets acquired</w:t>
            </w:r>
          </w:p>
        </w:tc>
        <w:tc>
          <w:tcPr>
            <w:tcW w:w="3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921,298</w:t>
            </w:r>
          </w:p>
        </w:tc>
      </w:tr>
      <w:tr>
        <w:trPr>
          <w:trHeight w:val="20"/>
        </w:trPr>
        <w:tc>
          <w:tcPr>
            <w:tcW w:w="6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accounts for acquisitions using the acquisition method of accounting. The Successor consolidated financial statements reflect the final allocation of the aggregate purchase price of $921.3 million to the assets acquired and liabilities assumed based on fair values at the date of the Transaction. The fair values assigned to identifiable intangible assets acquired were determined primarily by using an income approach which was based on assumptions and estimates made by management. Significant assumptions utilized in the income approach were based on company-specific information and projections, which are not observable in the market and are thus considered Level 3 measurements by authoritative guidance. The excess of the purchase price over the fair value of the assets acquired and liabilities assumed has been recorded as goodwill and represents the estimated future economic benefits arising from other assets acquired that could not be individually identified and separately recognized such as assembled workforce and growth opportunities.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Merger Agreement includes certain indemnifications between the sellers (led by CCMP) and the buyers (led by Cinven) with regards to</w:t>
      </w:r>
    </w:p>
    <w:p>
      <w:pPr>
        <w:spacing w:after="0" w:line="232" w:lineRule="auto"/>
        <w:rPr>
          <w:sz w:val="20"/>
          <w:szCs w:val="20"/>
          <w:color w:val="auto"/>
        </w:rPr>
      </w:pPr>
      <w:r>
        <w:rPr>
          <w:rFonts w:ascii="Arial" w:cs="Arial" w:eastAsia="Arial" w:hAnsi="Arial"/>
          <w:sz w:val="17"/>
          <w:szCs w:val="17"/>
          <w:color w:val="auto"/>
        </w:rPr>
        <w:t>Predecessor contingencies that arise after the Transaction and through April 1, 2015, as well as tax payments or refunds that are finalized after April 1,</w:t>
      </w:r>
    </w:p>
    <w:p>
      <w:pPr>
        <w:spacing w:after="0" w:line="232" w:lineRule="auto"/>
        <w:rPr>
          <w:sz w:val="20"/>
          <w:szCs w:val="20"/>
          <w:color w:val="auto"/>
        </w:rPr>
      </w:pPr>
      <w:r>
        <w:rPr>
          <w:rFonts w:ascii="Arial" w:cs="Arial" w:eastAsia="Arial" w:hAnsi="Arial"/>
          <w:sz w:val="17"/>
          <w:szCs w:val="17"/>
          <w:color w:val="auto"/>
        </w:rPr>
        <w:t>2014 but which relate to periods prior to the Transaction. The Successor had $0.3 and $0.9 million in Prepaid expenses and other current assets and</w:t>
      </w:r>
    </w:p>
    <w:p>
      <w:pPr>
        <w:spacing w:after="0" w:line="232" w:lineRule="auto"/>
        <w:rPr>
          <w:sz w:val="20"/>
          <w:szCs w:val="20"/>
          <w:color w:val="auto"/>
        </w:rPr>
      </w:pPr>
      <w:r>
        <w:rPr>
          <w:rFonts w:ascii="Arial" w:cs="Arial" w:eastAsia="Arial" w:hAnsi="Arial"/>
          <w:sz w:val="17"/>
          <w:szCs w:val="17"/>
          <w:color w:val="auto"/>
        </w:rPr>
        <w:t>$0.5 and $0.8 million in Other assets on the consolidated balance sheets at December 31, 2015 and 2014, respectively, associated with refunds due</w:t>
      </w:r>
    </w:p>
    <w:p>
      <w:pPr>
        <w:spacing w:after="0" w:line="232" w:lineRule="auto"/>
        <w:rPr>
          <w:sz w:val="20"/>
          <w:szCs w:val="20"/>
          <w:color w:val="auto"/>
        </w:rPr>
      </w:pPr>
      <w:r>
        <w:rPr>
          <w:rFonts w:ascii="Arial" w:cs="Arial" w:eastAsia="Arial" w:hAnsi="Arial"/>
          <w:sz w:val="17"/>
          <w:szCs w:val="17"/>
          <w:color w:val="auto"/>
        </w:rPr>
        <w:t>from various taxing authorities that were generated in a Predecessor period. The Successor had $1.4 and $5.2 million in Other current liabilities and</w:t>
      </w:r>
    </w:p>
    <w:p>
      <w:pPr>
        <w:spacing w:after="0" w:line="232" w:lineRule="auto"/>
        <w:rPr>
          <w:sz w:val="20"/>
          <w:szCs w:val="20"/>
          <w:color w:val="auto"/>
        </w:rPr>
      </w:pPr>
      <w:r>
        <w:rPr>
          <w:rFonts w:ascii="Arial" w:cs="Arial" w:eastAsia="Arial" w:hAnsi="Arial"/>
          <w:sz w:val="17"/>
          <w:szCs w:val="17"/>
          <w:color w:val="auto"/>
        </w:rPr>
        <w:t>$0.5 and $0.9 million in Other long-term liabilities on the consolidated balance sheets at December 31, 2015 and 2014, associated with the anticipated</w:t>
      </w:r>
    </w:p>
    <w:p>
      <w:pPr>
        <w:spacing w:after="0" w:line="232" w:lineRule="auto"/>
        <w:rPr>
          <w:sz w:val="20"/>
          <w:szCs w:val="20"/>
          <w:color w:val="auto"/>
        </w:rPr>
      </w:pPr>
      <w:r>
        <w:rPr>
          <w:rFonts w:ascii="Arial" w:cs="Arial" w:eastAsia="Arial" w:hAnsi="Arial"/>
          <w:sz w:val="17"/>
          <w:szCs w:val="17"/>
          <w:color w:val="auto"/>
        </w:rPr>
        <w:t>settlement of these items, net of consulting fees and related tax, and other tax refunds received by the Successor Company prior to December 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2015 and 2014, respectively.</w:t>
      </w:r>
    </w:p>
    <w:p>
      <w:pPr>
        <w:spacing w:after="0" w:line="156"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Immediately prior to the Transaction, the Predecessor Company’s Board of Directors approved a plan to accelerate the vesting on unvested stock options and restricted share awards.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 and Presentation</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Company’s consolidated balance sheets as of December 31, 2015 and 2014 and its related statements of operations, comprehensive (loss) income, shareholders’ equity, and cash flows presented subsequent to the Transaction for the year ended December 31, 2015 and the period from April 1 through December 31, 2014 are referenced herein as the successor financial statements (the “Successor” or “Successor Financial Statements”). The period April 1 through December 31, 2014 is referenced herein as the “Successor Period ended December 31, 2014.” The Company’s consolidated statements of operations, comprehensive (loss) income, shareholders’ equity and cash flows for the period from January 1 through March 31, 2014 and the year ended December 31, 2013 are referenced herein as the predecessor financial statements (the “Predecessor” or “Predecessor Financial Statements”). The January 1 through March 31, 2014 period is referenced herein as the “Predecessor Period ended March 31, 2014.”</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41"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The Company reclassified certain expenses from Miscellaneous (expense) income, net to Selling, general and administrative in the consolidated statements of operations to more appropriately reflect the nature of the expense items in the Successor Period ended December 31, 2014, the Predecessor period ended March 31, 2014 and the Predecessor year ended December 31, 2013, respectively. These changes have no impact on previously reported total revenue, net (loss) income, total comprehensive (loss) income, total assets, total liabilities, and shareholders’ equity.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44" w:lineRule="exact"/>
        <w:rPr>
          <w:sz w:val="20"/>
          <w:szCs w:val="20"/>
          <w:color w:val="auto"/>
        </w:rPr>
      </w:pPr>
    </w:p>
    <w:p>
      <w:pPr>
        <w:jc w:val="both"/>
        <w:ind w:right="700"/>
        <w:spacing w:after="0" w:line="238" w:lineRule="auto"/>
        <w:rPr>
          <w:sz w:val="20"/>
          <w:szCs w:val="20"/>
          <w:color w:val="auto"/>
        </w:rPr>
      </w:pPr>
      <w:r>
        <w:rPr>
          <w:rFonts w:ascii="Arial" w:cs="Arial" w:eastAsia="Arial" w:hAnsi="Arial"/>
          <w:sz w:val="17"/>
          <w:szCs w:val="17"/>
          <w:color w:val="auto"/>
        </w:rPr>
        <w:t>Significant items that are subject to management estimates and assumptions include service revenue, net, allowances for doubtful accounts, acquisition purchase price allocations, long-lived asset impairment and useful lives, exit liabilities, the valuation of share-based compensation, uncertain income tax positions and contingencies.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Assets and liabilities recorded in foreign currencies on foreign subsidiary financial statements are translated at the exchange rate on the balance sheet date, while equity accounts are translated at historical exchange rates. Revenue and expenses are recorded at average rates of exchange during the year. Translation adjustments are recorded to Accumulated other comprehensive loss in the consolidated statements of shareholders’ equity and consolidated statements of comprehensive (loss) income.</w:t>
      </w:r>
    </w:p>
    <w:p>
      <w:pPr>
        <w:spacing w:after="0" w:line="1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Separately, net realized gains and losses on foreign currency transactions are included in Miscellaneous (expense) income, net, on the consolidated statements of operations. Foreign currency transactions resulted in net losses of $1.3 million, $1.2 million, $0.1 million and $0.3 million during the Successor year ended December 31, 2015, the Successor Period ended December 31, 2014, the Predecessor Period ended March 31, 2014 and the Predecessor year ended December 31, 2013,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generally enters into contracts with customers to provide services ranging in duration from a few months to several years. The contract terms generally provide for payments based on a fixed 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Company recognizes revenue for services provided on fixed fee arrangements based on the proportional performance methodology, which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Management believes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are updated and any revisions to the existing hours budget result in cumulative adjustments to the amount of revenue recognized in the period in which the revisions are identified.</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Fixed-fee contracts provide for pricing modifications upon scope of work changes. The Company recognizes revenue related to work performed in connection with scope changes when the underlying services are performed, a binding contractual commitment has been executed with the customer and collectability is reasonably assured. Costs are not deferred in anticipation of contracts being awarded or amendments being finalized, but are expensed as incurred.</w:t>
      </w:r>
    </w:p>
    <w:p>
      <w:pPr>
        <w:spacing w:after="0" w:line="14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For unit-of-service arrangements, the Company recognizes revenue in the period in which the unit is delivered. Service unit elements largely consist of various project management, consulting and analytical testing services.</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 based on the relative selling price of each unit of account. The best evidence of selling price of a unit of account is vendor specific objective evidence (“VSOE”), which is the price charged when the deliverable is sold separately. When VSOE is not available to determine selling price, management uses relative third party evidence, if available. When neither VSOE nor third party evidence of selling price exists, management uses its best estimate of selling price considering all relevant information that is available.</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the Company for services rendered through the date of termination and may require payment for subsequent services necessary to conclude the study or close out the contract. Final settlement amounts are typically subject to negotiation with the customer. These amounts are included in Service revenue, net when realization is reasonably assured.</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occasionally enters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 Service revenue is presented net of rebates of $0.1 million, $0.4 million, $0.1 million and $0.7 million in the consolidated statements of operations during the Successor year ended December 31, 2015, the Successor Period ended December 31, 2014, the Predecessor Period ended March 31, 2014 and the Predecessor year ended December 31, 2013.</w:t>
      </w:r>
    </w:p>
    <w:p>
      <w:pPr>
        <w:spacing w:after="0" w:line="150"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The Company records revenue net of any tax assessments by governmental authorities that are imposed and concurrent with specific revenue generating transactions.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48"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The Company generally does not require collateral or other securities to support customer receivables. In the Successor year ended December 31, 2015, the Successor Period ended December 31, 2014, the Predecessor Period ended March 31, 2014 and the Predecessor year ended December 31, 2013, credit losses have been immaterial and within management’s expectations. At December 31, 2015 and 2014, there were no customers accounting for more than 10% of the Company’s accounts receivable.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Direct costs, excluding depreciation and amortization, include direct labor and related employee benefits, laboratory supplies, and other expenses contributing to service delivery. Direct costs, excluding depreciation and amortization,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Direct costs, excluding depreciation and amortization,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Advertising expenses are recorded as a component of Selling, general and administrative in the accompanying consolidated statements of operations. Total advertising expenses of $0.4 million, $0.2 million, $0.1 million, and $0.3 million were incurred during the Successor year ended December 31, 2015, the Successor Period ended December 31, 2014, the Predecessor Period ended March 31, 2014, and the Predecessor year ended December 31, 2013,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Expenses</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incurs on behalf of its clients various out-of-pocket expenditures including, but not limited to, travel, meetings, printing, and shipping and handling fees, which are reflected as a separate component of operating expenses and recorded in Reimbursed out-of-pocket expenses in the accompanying consolidated statements of operations. Reimbursements received are reflected in Reimbursed out-of-pocket revenue without mark-up or profit in the consolidated statements of operations.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Fees paid to investigators and other disbursements in which the Company acts as an agent on behalf of the client are recorded net in the consolidated statements of operations with no impact on the Company’s revenue or expenses. Funds received in advance of study expenditures are recorded as Pre-funded study cost liabilities on the consolidated balance sheets. Any pre-funded amounts remaining at the conclusion of a study are returned to the client. Pre-funded study cost disbursements of $114.4 million, $92.5 million, $30.9 million, and $104.6 million were made during the Successor year ended December 31, 2015, the Successor Period ended December 31, 2014, the Predecessor Period ended March 31, 2014, and the Predecessor year ended December 31, 2013,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Company’s consolidated U.S. federal income tax return is comprised of its U.S. subsidiaries and a small number of its foreign subsidiaries. All foreign subsidiaries of the Company file tax returns in their local jurisdictions.</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5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 provision has not been made for U.S. or additional foreign taxes on the undistributed portion of earnings of foreign subsidiaries as those earnings of $10.4 million as of December 31, 2015, have been permanently reinvested.</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Company follows accounting guidance related to accounting for uncertainty in income taxes which requires significant judgment in determining what constitutes an individual tax position as well as assessing the possible outcome of each tax 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 (benefit).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Credits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Research and development credits are available to the Company under tax laws in certain jurisdictions, based on qualifying research and development spend as defined under those tax laws. Certain tax jurisdictions provide refundable credits that are not wholly dependent on the Company’s income tax status or income tax position. In these circumstances the benefit of the credits is recorded as a reduction of operating expense. When they are wholly dependent upon the Company’s income tax position, research and development credits are recognized as a reduction of income tax expense.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stock-based employee compensation plans for which it incurs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Equity Awards</w:t>
      </w:r>
    </w:p>
    <w:p>
      <w:pPr>
        <w:spacing w:after="0" w:line="3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Successor, coinciding with the Transaction, created an equity incentive plan for employees (the “Successor Plan”), providing for the future issuance of vested shares, stock options, restricted stock awards (“RSAs”) and restricted stock units (“RSUs”) in Medpace Holdings, Inc.’s common stock (the “Successor Awards”). The Successor Awards are subject to either equity or liability-classification pursuant to the terms of the participant’s award agreement and the Successor Plan based on accounting guidance which governs such transactions.</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Stock-based compensation expense is calculated using the fair value method on the grant date. The Successor expenses stock-based compensation using a graded vesting schedule. For liability-classified awards, the Company records fair value adjustments up to and including the settlement date. Changes in the fair value of the stock compensation liability that occur during the requisite service period are recognized as compensation cost over the vesting period. Changes in the fair value of the stock compensation liability that occur after the end of the requisite service period but before settlement, are compensation cost of the period in which the change occurs.</w:t>
      </w:r>
    </w:p>
    <w:p>
      <w:pPr>
        <w:spacing w:after="0" w:line="15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Stock-based compensation expense is allocated between Direct costs, excluding depreciation and amortization, and Selling, general and administrative in the consolidated statements of operations based on the underlying classification and scope of work for the employees receiving the Successor Awards. The stock-based compensation expense represents awards ultimately expected to vest and, as such, has been reduced for estimated forfeitures.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Equity Awards</w:t>
      </w:r>
    </w:p>
    <w:p>
      <w:pPr>
        <w:spacing w:after="0" w:line="52"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The Predecessor awards, consisting of stock options and restricted share awards, are equity-classified instruments based on the terms of the Predecessor’s equity incentive plans and on accounting guidance which governs such transactions.</w:t>
      </w:r>
    </w:p>
    <w:p>
      <w:pPr>
        <w:spacing w:after="0" w:line="14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Predecessor determined the fair value of stock options and restricted shares on the grant date and recognized the associated compensation expense, net of assumed forfeitures, according to a graded vesting schedule as the requisite services were rendered. Restricted shares and stock options vested ratably over three and four years, respectively, from the date of grant.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Successor Company’s RSAs are considered participating securities because they are legally issued at the date of grant and holders are entitled to receive non-forfeitable dividends during the vesting term. Basic EPS is computed by dividing the Company’s net income or loss available to common shareholders by the weighted average number of common shares outstanding and, if appropriate, participating securities outstanding during the period. Participating securities are included in the basic EPS denominator during periods when there is consolidated net income but excluded from the denominator during periods of a consolidated net loss as the shares have no contractual obligation to share in the Company’s losses. The computation of diluted EPS includes additional common shares, such as unvested RSUs and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following table provides a reconciliation of the denominators for the EPS calculations as well as additional share data that was excluded from the denominators when the additional shares had an anti-dilutive effect caused by the consolidated net loss during the Successor year ended December 31, 2015, the Successor Period ended December 31, 2014 and the Predecessor Period ended March 31,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80" w:type="dxa"/>
            <w:vAlign w:val="bottom"/>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3000" w:type="dxa"/>
            <w:vAlign w:val="bottom"/>
            <w:gridSpan w:val="4"/>
          </w:tcPr>
          <w:p>
            <w:pPr>
              <w:ind w:left="9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6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tcBorders>
              <w:top w:val="single" w:sz="8" w:color="auto"/>
            </w:tcBorders>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right w:val="single" w:sz="8" w:color="auto"/>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weighted average shares: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Common Shares</w:t>
            </w: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42,317</w:t>
            </w:r>
          </w:p>
        </w:tc>
        <w:tc>
          <w:tcPr>
            <w:tcW w:w="1480" w:type="dxa"/>
            <w:vAlign w:val="bottom"/>
            <w:tcBorders>
              <w:right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color w:val="auto"/>
              </w:rPr>
              <w:t>41,673</w:t>
            </w:r>
          </w:p>
        </w:tc>
        <w:tc>
          <w:tcPr>
            <w:tcW w:w="740" w:type="dxa"/>
            <w:vAlign w:val="bottom"/>
          </w:tcPr>
          <w:p>
            <w:pPr>
              <w:spacing w:after="0"/>
              <w:rPr>
                <w:sz w:val="16"/>
                <w:szCs w:val="16"/>
                <w:color w:val="auto"/>
              </w:rPr>
            </w:pPr>
          </w:p>
        </w:tc>
        <w:tc>
          <w:tcPr>
            <w:tcW w:w="182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24,987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RSAs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Weighted average shares—basic</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42,317</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41,673</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25,204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weighted average shares:</w:t>
            </w:r>
          </w:p>
        </w:tc>
        <w:tc>
          <w:tcPr>
            <w:tcW w:w="10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RSUs, unvested</w:t>
            </w: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spacing w:after="0"/>
              <w:rPr>
                <w:sz w:val="16"/>
                <w:szCs w:val="16"/>
                <w:color w:val="auto"/>
              </w:rPr>
            </w:pPr>
          </w:p>
        </w:tc>
        <w:tc>
          <w:tcPr>
            <w:tcW w:w="182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In-the-money options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Weighted average shares—diluted</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42,317</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41,673</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26,150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Exclusions from EPS denominator:</w:t>
            </w: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Exclusions from basic, weighted average shares: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RSAs (no obligation to share in losses)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775</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338</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237</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tcPr>
          <w:p>
            <w:pPr>
              <w:ind w:left="240"/>
              <w:spacing w:after="0" w:line="190" w:lineRule="exact"/>
              <w:rPr>
                <w:sz w:val="20"/>
                <w:szCs w:val="20"/>
                <w:color w:val="auto"/>
              </w:rPr>
            </w:pPr>
            <w:r>
              <w:rPr>
                <w:rFonts w:ascii="Arial" w:cs="Arial" w:eastAsia="Arial" w:hAnsi="Arial"/>
                <w:sz w:val="17"/>
                <w:szCs w:val="17"/>
                <w:color w:val="auto"/>
              </w:rPr>
              <w:t>Additional exclusions from diluted, weighted</w:t>
            </w:r>
          </w:p>
        </w:tc>
        <w:tc>
          <w:tcPr>
            <w:tcW w:w="10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average shares: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RSUs, unvested</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116</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70</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Total anti-dilutive shares</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116</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70</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 shares excluded from diluted EPS</w:t>
            </w:r>
          </w:p>
        </w:tc>
        <w:tc>
          <w:tcPr>
            <w:tcW w:w="106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denominator</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891</w:t>
            </w:r>
          </w:p>
        </w:tc>
        <w:tc>
          <w:tcPr>
            <w:tcW w:w="14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408</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237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For the Successor year ended December 31, 2015 and Successor Period ended December 31, 2014, the computation of diluted EPS also excludes the effect of 2,423,205 and 1,473,130 stock options, respectively, due to the Company’s net loss positions as well as the respective period’s average fair value of the Company’s common stock exceeded the exercise prices. During the Predecessor Period ended March 31, 2014, there are no additional dilutive shares as all stock options and restricted shares were vested, exercised, or terminated, as applicable, at period end.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56" w:lineRule="exact"/>
        <w:rPr>
          <w:sz w:val="20"/>
          <w:szCs w:val="20"/>
          <w:color w:val="auto"/>
        </w:rPr>
      </w:pPr>
    </w:p>
    <w:p>
      <w:pPr>
        <w:ind w:left="360" w:right="900"/>
        <w:spacing w:after="0" w:line="243"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fair value of financial instruments such as cash and cash equivalents, billed accounts receivable, net, unbilled services, accounts payable, accrued expenses, and advanced billings approximate their carrying amounts due to their short term maturities.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Company does not have any recurring fair value measurements as of December 31, 2015. There were no transfers between Level 1, Level 2, or Level 3 during the Successor year ended December 31, 2015, the Successor Period ended December 31, 2014, the Predecessor Period ended March 31, 2014, or the Predecessor year ended 2013.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assets are measured on the accompanying consolidated balance sheets at cost and are not remeasured to fair value on a recurring basis.</w:t>
      </w:r>
    </w:p>
    <w:p>
      <w:pPr>
        <w:spacing w:after="0" w:line="232" w:lineRule="auto"/>
        <w:rPr>
          <w:sz w:val="20"/>
          <w:szCs w:val="20"/>
          <w:color w:val="auto"/>
        </w:rPr>
      </w:pPr>
      <w:r>
        <w:rPr>
          <w:rFonts w:ascii="Arial" w:cs="Arial" w:eastAsia="Arial" w:hAnsi="Arial"/>
          <w:sz w:val="17"/>
          <w:szCs w:val="17"/>
          <w:color w:val="auto"/>
        </w:rPr>
        <w:t>Total assets carried on the balance sheet and not remeasured to fair value on a recurring basis, identified as Level 3 measurements, as of</w:t>
      </w:r>
    </w:p>
    <w:p>
      <w:pPr>
        <w:spacing w:after="0" w:line="232" w:lineRule="auto"/>
        <w:rPr>
          <w:sz w:val="20"/>
          <w:szCs w:val="20"/>
          <w:color w:val="auto"/>
        </w:rPr>
      </w:pPr>
      <w:r>
        <w:rPr>
          <w:rFonts w:ascii="Arial" w:cs="Arial" w:eastAsia="Arial" w:hAnsi="Arial"/>
          <w:sz w:val="17"/>
          <w:szCs w:val="17"/>
          <w:color w:val="auto"/>
        </w:rPr>
        <w:t>December 31, 2015 are $693 million, comprised of $661 million of goodwill and $32 million of identified indefinite-lived intangible assets. During 2015,</w:t>
      </w:r>
    </w:p>
    <w:p>
      <w:pPr>
        <w:spacing w:after="0"/>
        <w:rPr>
          <w:sz w:val="20"/>
          <w:szCs w:val="20"/>
          <w:color w:val="auto"/>
        </w:rPr>
      </w:pPr>
      <w:r>
        <w:rPr>
          <w:rFonts w:ascii="Arial" w:cs="Arial" w:eastAsia="Arial" w:hAnsi="Arial"/>
          <w:sz w:val="17"/>
          <w:szCs w:val="17"/>
          <w:color w:val="auto"/>
        </w:rPr>
        <w:t>the Company recognized approximately $9.3 million of impairment related to goodwill.</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including Restricted Cash</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Cash and cash equivalents, including restricted cash, are invested in demand deposits,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 The Company includes changes in restricted cash balances as part of operating activities in the consolidated statements of cash flows.</w:t>
      </w:r>
    </w:p>
    <w:p>
      <w:pPr>
        <w:spacing w:after="0" w:line="14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In addition, Prepaid expenses and other current assets and Other assets in the consolidated balance sheets include $0.7 million and $0.8 million of cash held as collateral in support of a property mortgage in Leuven, Belgium at December 31, 2015 and 2014, respectively. The property mortgage was fully repaid during 2015 and the Company received a full refund during the first quarter of 2016.</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Unbilled Services</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Accounts receivable represent amounts due from the Company’s customers who are concentrated primarily in the pharmaceutical, biotechnology, and medical device industries. Unbilled services represent service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4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and deemed assets from landlord building construction are capitalized and amortized on a straight-line basis over the shorter of the estimated useful life of the improvement or the associated remaining lease term. Repairs and maintenance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4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 leases facilities and equipment to be used in its operations, some of which require capitalization in accordance with US GAAP. Upon the execution of new leases, the Company determines the appropriate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classification of the lease as operating or capital and reflects the impact of this classification in its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4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II-IV clinical research services, Laboratories, and Clinics as of December 31, 2015.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Company performs its annual impairment tests during the fourth quarter each year, utilizing the quantitative two step model defined by accounting guidance which governs such assessments. The first step involves the Company comparing each of its reporting unit carrying values, inclusive of assigned goodwill, to their respective estimated fair values. Fair value is estimated using a combination of the income approach, a discounted cash flow analysis, and the market approach, utilizing the guideline company method.</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the calculation in the first step results in any of the reporting units’ carrying values exceeding their respective estimated fair values, a second step is performed. The second step requires the Company to allocate the fair value of the reporting unit derived in the first step to the fair value of the reporting unit’s net assets. Any fair value in excess of amounts allocated to such net assets represent the implied fair value of goodwill for that reporting unit. Any excess of reporting unit carrying value of goodwill over the implied fair value of goodwill results in an impairment. The annual impairment test of goodwill performed in the fourth quarter of 2015 resulted in an impairment charge of $9.3 million related to the Company’s Clinics reporting unit.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2015 assessment.</w:t>
      </w:r>
    </w:p>
    <w:p>
      <w:pPr>
        <w:spacing w:after="0" w:line="150"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seventeen months to fifteen years.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Advanced Billings</w:t>
      </w:r>
    </w:p>
    <w:p>
      <w:pPr>
        <w:spacing w:after="0" w:line="54"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Advanced billings represents cash received from customers or billed amounts per an agreed upon payment schedule where cash has not been received in advance of services being performed or revenue being recognized.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5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Deemed landlord liabilities are recorded at their net present value when the Company enters into qualifying leases and are reduced as the Company makes periodic lease payments on the properties.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Liabilities and Other Long-Term Liabilities</w:t>
      </w:r>
    </w:p>
    <w:p>
      <w:pPr>
        <w:spacing w:after="0" w:line="54"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Deferred rent represents the cumulative additional portion of rent expense recognized on a straight line basis in conjunction with the Company’s current leases at the balance sheet date. The Company defers incentives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from landlords for the purpose of making leasehold improvements. These liabilities are amortized as a component of rent expense over the term of the respective lease.</w:t>
      </w:r>
    </w:p>
    <w:p>
      <w:pPr>
        <w:spacing w:after="0" w:line="14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Exit liabilities, if any exist, are recorded at their net present value to the extent the Company no longer receives any benefit from the related property and when the Company has ceased all use of the property.</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Asset retirement obligations, to the extent they exist, are recorded at their net present value and accreted to the Company’s estimate of liability at the time the obligation would be required to be satisfied.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April 2015, the Financial Accounting Standards Board (“FASB”) issued an Accounting Standards Update (“ASU”), ASU No. 2015-03,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r>
        <w:rPr>
          <w:rFonts w:ascii="Arial" w:cs="Arial" w:eastAsia="Arial" w:hAnsi="Arial"/>
          <w:sz w:val="17"/>
          <w:szCs w:val="17"/>
          <w:color w:val="auto"/>
        </w:rPr>
        <w:t>.” ASU No. 2015-03 requires debt issuance costs to be presented in the balance sheet as a direct deduction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at December 31, 2014. There was no impact to the Company’s consolidated statements of operations, comprehensive (loss) income, shareholders’ equity or cash flows.</w:t>
      </w:r>
    </w:p>
    <w:p>
      <w:pPr>
        <w:spacing w:after="0" w:line="13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 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at December 31, 2014. There was no impact to the Company’s consolidated statements of operations, comprehensive (loss) income, shareholders’ equity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 common revenue recognition guidance between GAAP and International Financial Reporting Standards. In July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delayed the effective date of ASU 2014-09 by one year and modified the standard to allow early adoption. For public entities, the standard is now effective for reporting periods beginning after December 15, 2017. Earlier application is permitted only as of annual reporting periods beginning after December 15, 2016, including interim reporting periods within that reporting period. Entities can transition to the standard either retrospectively or as a cumulative-effect adjustment as of the date of adoption. The Company is currently assessing the potential impact of ASU No. 2014-09 on the Company’s consolidated financial statements.</w:t>
      </w:r>
    </w:p>
    <w:p>
      <w:pPr>
        <w:spacing w:after="0" w:line="13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The Company does not anticipate that this ASU will have any impact on the consolidated financial statements.</w:t>
      </w:r>
    </w:p>
    <w:p>
      <w:pPr>
        <w:spacing w:after="0" w:line="13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ASU 2015-05 is effective for fiscal years, and interim periods within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those fiscal years, beginning after December 15, 2015, and early adoption is permitted. The Company is currently evaluating the impact of the adoption of this standard on its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BILLED,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billed, net of allowance for doubtful accounts,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7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Accounts receivable, billed</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$40,721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$52,733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Reimbursable out-of-pocket expenses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4"/>
              <w:spacing w:after="0" w:line="189" w:lineRule="exact"/>
              <w:rPr>
                <w:sz w:val="20"/>
                <w:szCs w:val="20"/>
                <w:color w:val="auto"/>
              </w:rPr>
            </w:pPr>
            <w:r>
              <w:rPr>
                <w:rFonts w:ascii="Arial" w:cs="Arial" w:eastAsia="Arial" w:hAnsi="Arial"/>
                <w:sz w:val="17"/>
                <w:szCs w:val="17"/>
                <w:color w:val="auto"/>
              </w:rPr>
              <w:t>7,355</w:t>
            </w: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allowance for doubtful accounts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(1,724)</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(5,855)</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60"/>
              <w:spacing w:after="0"/>
              <w:rPr>
                <w:sz w:val="20"/>
                <w:szCs w:val="20"/>
                <w:color w:val="auto"/>
              </w:rPr>
            </w:pPr>
            <w:r>
              <w:rPr>
                <w:rFonts w:ascii="Arial" w:cs="Arial" w:eastAsia="Arial" w:hAnsi="Arial"/>
                <w:sz w:val="17"/>
                <w:szCs w:val="17"/>
                <w:color w:val="auto"/>
              </w:rPr>
              <w:t>Accounts receivable billed, net</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46,352</w:t>
            </w:r>
          </w:p>
        </w:tc>
        <w:tc>
          <w:tcPr>
            <w:tcW w:w="10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460" w:type="dxa"/>
            <w:vAlign w:val="bottom"/>
          </w:tcPr>
          <w:p>
            <w:pPr>
              <w:spacing w:after="0"/>
              <w:rPr>
                <w:sz w:val="20"/>
                <w:szCs w:val="20"/>
                <w:color w:val="auto"/>
              </w:rPr>
            </w:pPr>
            <w:r>
              <w:rPr>
                <w:rFonts w:ascii="Arial" w:cs="Arial" w:eastAsia="Arial" w:hAnsi="Arial"/>
                <w:sz w:val="17"/>
                <w:szCs w:val="17"/>
                <w:color w:val="auto"/>
              </w:rPr>
              <w:t>A rollforward of allowance for doubtful account activity is as follows: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4"/>
          </w:tcPr>
          <w:p>
            <w:pPr>
              <w:ind w:left="600"/>
              <w:spacing w:after="0"/>
              <w:rPr>
                <w:sz w:val="20"/>
                <w:szCs w:val="20"/>
                <w:color w:val="auto"/>
              </w:rPr>
            </w:pPr>
            <w:r>
              <w:rPr>
                <w:rFonts w:ascii="Arial" w:cs="Arial" w:eastAsia="Arial" w:hAnsi="Arial"/>
                <w:sz w:val="14"/>
                <w:szCs w:val="14"/>
                <w:b w:val="1"/>
                <w:bCs w:val="1"/>
                <w:color w:val="auto"/>
              </w:rPr>
              <w:t>SUCCESSOR</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4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w w:val="99"/>
              </w:rPr>
              <w:t>PERIOD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Allowance for doubtful accounts—beginning balance</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(5,855)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(5,595)</w:t>
            </w:r>
          </w:p>
        </w:tc>
        <w:tc>
          <w:tcPr>
            <w:tcW w:w="4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(5,573)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Current year provision</w:t>
            </w:r>
          </w:p>
        </w:tc>
        <w:tc>
          <w:tcPr>
            <w:tcW w:w="240" w:type="dxa"/>
            <w:vAlign w:val="bottom"/>
          </w:tcPr>
          <w:p>
            <w:pPr>
              <w:spacing w:after="0"/>
              <w:rPr>
                <w:sz w:val="16"/>
                <w:szCs w:val="16"/>
                <w:color w:val="auto"/>
              </w:rPr>
            </w:pPr>
          </w:p>
        </w:tc>
        <w:tc>
          <w:tcPr>
            <w:tcW w:w="10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(642)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360"/>
              <w:spacing w:after="0" w:line="189" w:lineRule="exact"/>
              <w:rPr>
                <w:sz w:val="20"/>
                <w:szCs w:val="20"/>
                <w:color w:val="auto"/>
              </w:rPr>
            </w:pPr>
            <w:r>
              <w:rPr>
                <w:rFonts w:ascii="Arial" w:cs="Arial" w:eastAsia="Arial" w:hAnsi="Arial"/>
                <w:sz w:val="17"/>
                <w:szCs w:val="17"/>
                <w:color w:val="auto"/>
              </w:rPr>
              <w:t>(624)</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Write-offs and recoveries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4,773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tcBorders>
              <w:right w:val="single" w:sz="8" w:color="auto"/>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364</w:t>
            </w: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Allowance for doubtful accounts—ending balance</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(1,724)</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(5,855)</w:t>
            </w:r>
          </w:p>
        </w:tc>
        <w:tc>
          <w:tcPr>
            <w:tcW w:w="140" w:type="dxa"/>
            <w:vAlign w:val="bottom"/>
          </w:tcPr>
          <w:p>
            <w:pPr>
              <w:spacing w:after="0"/>
              <w:rPr>
                <w:sz w:val="17"/>
                <w:szCs w:val="17"/>
                <w:color w:val="auto"/>
              </w:rPr>
            </w:pPr>
          </w:p>
        </w:tc>
        <w:tc>
          <w:tcPr>
            <w:tcW w:w="7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9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9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Land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940</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1,036</w:t>
            </w:r>
          </w:p>
        </w:tc>
        <w:tc>
          <w:tcPr>
            <w:tcW w:w="100" w:type="dxa"/>
            <w:vAlign w:val="bottom"/>
            <w:shd w:val="clear" w:color="auto" w:fill="CCEEFF"/>
          </w:tcPr>
          <w:p>
            <w:pPr>
              <w:spacing w:after="0"/>
              <w:rPr>
                <w:sz w:val="15"/>
                <w:szCs w:val="15"/>
                <w:color w:val="auto"/>
              </w:rPr>
            </w:pP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Equipment</w:t>
            </w:r>
          </w:p>
        </w:tc>
        <w:tc>
          <w:tcPr>
            <w:tcW w:w="100" w:type="dxa"/>
            <w:vAlign w:val="bottom"/>
          </w:tcPr>
          <w:p>
            <w:pPr>
              <w:spacing w:after="0"/>
              <w:rPr>
                <w:sz w:val="16"/>
                <w:szCs w:val="16"/>
                <w:color w:val="auto"/>
              </w:rPr>
            </w:pPr>
          </w:p>
        </w:tc>
        <w:tc>
          <w:tcPr>
            <w:tcW w:w="104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8,218</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6,773</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fixtures, and leasehold improvements</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8,563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6,515</w:t>
            </w: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Computer hardware, software, and phone equipment</w:t>
            </w:r>
          </w:p>
        </w:tc>
        <w:tc>
          <w:tcPr>
            <w:tcW w:w="100" w:type="dxa"/>
            <w:vAlign w:val="bottom"/>
          </w:tcPr>
          <w:p>
            <w:pPr>
              <w:spacing w:after="0"/>
              <w:rPr>
                <w:sz w:val="16"/>
                <w:szCs w:val="16"/>
                <w:color w:val="auto"/>
              </w:rPr>
            </w:pPr>
          </w:p>
        </w:tc>
        <w:tc>
          <w:tcPr>
            <w:tcW w:w="104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4,569</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2,090</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2,839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3,147</w:t>
            </w: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Deemed assets from landlord building construction</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22,752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9"/>
              </w:rPr>
              <w:t>22,752</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Construction-in-progress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304</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6"/>
                <w:szCs w:val="16"/>
                <w:color w:val="auto"/>
              </w:rPr>
            </w:pPr>
          </w:p>
        </w:tc>
      </w:tr>
      <w:tr>
        <w:trPr>
          <w:trHeight w:val="196"/>
        </w:trPr>
        <w:tc>
          <w:tcPr>
            <w:tcW w:w="9540" w:type="dxa"/>
            <w:vAlign w:val="bottom"/>
          </w:tcPr>
          <w:p>
            <w:pPr>
              <w:ind w:left="260"/>
              <w:spacing w:after="0"/>
              <w:rPr>
                <w:sz w:val="20"/>
                <w:szCs w:val="20"/>
                <w:color w:val="auto"/>
              </w:rPr>
            </w:pPr>
            <w:r>
              <w:rPr>
                <w:rFonts w:ascii="Arial" w:cs="Arial" w:eastAsia="Arial" w:hAnsi="Arial"/>
                <w:sz w:val="17"/>
                <w:szCs w:val="17"/>
                <w:color w:val="auto"/>
              </w:rPr>
              <w:t>Property and equipment at cost</w:t>
            </w: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48,185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42,605</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w w:val="97"/>
              </w:rPr>
              <w:t>(10,673)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(4,521)</w:t>
            </w:r>
          </w:p>
        </w:tc>
      </w:tr>
      <w:tr>
        <w:trPr>
          <w:trHeight w:val="196"/>
        </w:trPr>
        <w:tc>
          <w:tcPr>
            <w:tcW w:w="954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37,512</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38,084</w:t>
            </w:r>
          </w:p>
        </w:tc>
        <w:tc>
          <w:tcPr>
            <w:tcW w:w="100" w:type="dxa"/>
            <w:vAlign w:val="bottom"/>
          </w:tcPr>
          <w:p>
            <w:pPr>
              <w:spacing w:after="0"/>
              <w:rPr>
                <w:sz w:val="17"/>
                <w:szCs w:val="17"/>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Depreciation expense, which includes amortization from capital leases, was $6.4 million for the year ended 2015, $4.6 million for Successor Period ended December 31, 2014, $1.8 million for the Predecessor Period ended March 31, 2014, and $6.7 million for the Predecessor year ended December 31, 2013.</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2011, Medpace, Inc. entered into two multi-year lease agreements governing the future occupancy of additional office space in Cincinnati, Ohio. The Company assumed occupancy of both spaces during 2012 and began making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lease payments at that time. The leases expire in 2027 and the Company has one 10-year option to extend the term of the leases.</w:t>
      </w:r>
    </w:p>
    <w:p>
      <w:pPr>
        <w:spacing w:after="0" w:line="15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accordance with the accounting guidance related to leases, the Company was deemed in substance to be the owner of the property during the construction phase. The accounting guidance requires that a lessee be considered the owner of a real estate project during the construction period if a related party of the lessee is an owner of the real estate. Given that a related party of Medpace made an equity investment in the lessor, Medpace was considered the owner of the property for accounting purposes during the buildings’ construction. Accordingly, the Company reflected the building and related liabilities as Deemed assets from landlord building construction (“Deemed Assets”) and Deemed landlord liabilities, respectively in the consolidated balance sheets. The Deemed Assets are being fully depreciated, on a straight line basis, over the 15-year term of the 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2013—Predecessor</w:t>
            </w:r>
          </w:p>
        </w:tc>
        <w:tc>
          <w:tcPr>
            <w:tcW w:w="34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$ 322,692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7"/>
                <w:szCs w:val="17"/>
                <w:color w:val="auto"/>
              </w:rPr>
              <w:t>Balance as of March 31, 2014—Predecessor</w:t>
            </w: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gridSpan w:val="2"/>
            <w:vMerge w:val="continue"/>
          </w:tcPr>
          <w:p>
            <w:pPr>
              <w:spacing w:after="0"/>
              <w:rPr>
                <w:sz w:val="15"/>
                <w:szCs w:val="15"/>
                <w:color w:val="auto"/>
              </w:rPr>
            </w:pPr>
          </w:p>
        </w:tc>
        <w:tc>
          <w:tcPr>
            <w:tcW w:w="4300" w:type="dxa"/>
            <w:vAlign w:val="bottom"/>
            <w:gridSpan w:val="3"/>
          </w:tcPr>
          <w:p>
            <w:pPr>
              <w:jc w:val="right"/>
              <w:ind w:right="100"/>
              <w:spacing w:after="0" w:line="183"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Elimination of Predecessor Goodwill</w:t>
            </w:r>
          </w:p>
        </w:tc>
        <w:tc>
          <w:tcPr>
            <w:tcW w:w="43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spacing w:after="0" w:line="189" w:lineRule="exact"/>
              <w:rPr>
                <w:sz w:val="20"/>
                <w:szCs w:val="20"/>
                <w:color w:val="auto"/>
              </w:rPr>
            </w:pPr>
            <w:r>
              <w:rPr>
                <w:rFonts w:ascii="Arial" w:cs="Arial" w:eastAsia="Arial" w:hAnsi="Arial"/>
                <w:sz w:val="17"/>
                <w:szCs w:val="17"/>
                <w:color w:val="auto"/>
              </w:rPr>
              <w:t>Goodwill from Transaction</w:t>
            </w:r>
          </w:p>
        </w:tc>
        <w:tc>
          <w:tcPr>
            <w:tcW w:w="34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670,294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2014—Successor</w:t>
            </w:r>
          </w:p>
        </w:tc>
        <w:tc>
          <w:tcPr>
            <w:tcW w:w="34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670,294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40"/>
              <w:spacing w:after="0"/>
              <w:rPr>
                <w:sz w:val="20"/>
                <w:szCs w:val="20"/>
                <w:color w:val="auto"/>
              </w:rPr>
            </w:pPr>
            <w:r>
              <w:rPr>
                <w:rFonts w:ascii="Arial" w:cs="Arial" w:eastAsia="Arial" w:hAnsi="Arial"/>
                <w:sz w:val="17"/>
                <w:szCs w:val="17"/>
                <w:color w:val="auto"/>
              </w:rPr>
              <w:t>Impairment of Goodwill</w:t>
            </w:r>
          </w:p>
        </w:tc>
        <w:tc>
          <w:tcPr>
            <w:tcW w:w="34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(9,313)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2015—Successor</w:t>
            </w:r>
          </w:p>
        </w:tc>
        <w:tc>
          <w:tcPr>
            <w:tcW w:w="34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$ 660,981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annual impairment test performed in the fourth quarter of 2015 resulted in an impairment charge of $9.3 million related to the Company’s Clinics reporting unit. The current year goodwill impairment charge represents the total accumulated goodwill impairment losses as of December 31, 2015.</w:t>
      </w:r>
    </w:p>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In 2014, the Company eliminated its Predecessor goodwill and recorded $670.3 million of Successor goodwill based on the purchase price allocation resulting from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Accumulated impairment charges for the Predecessor as of December 31, 2013 were $0.3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9"/>
              </w:rPr>
              <w:t>CARRYING</w:t>
            </w:r>
          </w:p>
        </w:tc>
        <w:tc>
          <w:tcPr>
            <w:tcW w:w="5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9"/>
        </w:trPr>
        <w:tc>
          <w:tcPr>
            <w:tcW w:w="7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Balances as of December 31, 2015—Successor:</w:t>
            </w: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260"/>
              <w:spacing w:after="0" w:line="189" w:lineRule="exact"/>
              <w:rPr>
                <w:sz w:val="20"/>
                <w:szCs w:val="20"/>
                <w:color w:val="auto"/>
              </w:rPr>
            </w:pPr>
            <w:r>
              <w:rPr>
                <w:rFonts w:ascii="Arial" w:cs="Arial" w:eastAsia="Arial" w:hAnsi="Arial"/>
                <w:sz w:val="17"/>
                <w:szCs w:val="17"/>
                <w:color w:val="auto"/>
              </w:rPr>
              <w:t>Backlog</w:t>
            </w:r>
          </w:p>
        </w:tc>
        <w:tc>
          <w:tcPr>
            <w:tcW w:w="100" w:type="dxa"/>
            <w:vAlign w:val="bottom"/>
          </w:tcPr>
          <w:p>
            <w:pPr>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72,630</w:t>
            </w:r>
          </w:p>
        </w:tc>
        <w:tc>
          <w:tcPr>
            <w:tcW w:w="84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72,630</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145,051</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26,991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118,060</w:t>
            </w:r>
          </w:p>
        </w:tc>
        <w:tc>
          <w:tcPr>
            <w:tcW w:w="0" w:type="dxa"/>
            <w:vAlign w:val="bottom"/>
          </w:tcPr>
          <w:p>
            <w:pPr>
              <w:spacing w:after="0"/>
              <w:rPr>
                <w:sz w:val="1"/>
                <w:szCs w:val="1"/>
                <w:color w:val="auto"/>
              </w:rPr>
            </w:pPr>
          </w:p>
        </w:tc>
      </w:tr>
      <w:tr>
        <w:trPr>
          <w:trHeight w:val="189"/>
        </w:trPr>
        <w:tc>
          <w:tcPr>
            <w:tcW w:w="7620" w:type="dxa"/>
            <w:vAlign w:val="bottom"/>
          </w:tcPr>
          <w:p>
            <w:pPr>
              <w:ind w:left="260"/>
              <w:spacing w:after="0" w:line="189" w:lineRule="exact"/>
              <w:rPr>
                <w:sz w:val="20"/>
                <w:szCs w:val="20"/>
                <w:color w:val="auto"/>
              </w:rPr>
            </w:pPr>
            <w:r>
              <w:rPr>
                <w:rFonts w:ascii="Arial" w:cs="Arial" w:eastAsia="Arial" w:hAnsi="Arial"/>
                <w:sz w:val="17"/>
                <w:szCs w:val="17"/>
                <w:color w:val="auto"/>
              </w:rPr>
              <w:t>Developed technologies</w:t>
            </w: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54,475</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19,066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35,409</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Trade name (indefinite-lived)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31,646</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89"/>
        </w:trPr>
        <w:tc>
          <w:tcPr>
            <w:tcW w:w="762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2,505</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877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1,628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306,307</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119,564</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7"/>
                <w:szCs w:val="17"/>
                <w:color w:val="auto"/>
              </w:rPr>
              <w:t>Balances as of December 31, 2014—Successor: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Backlog</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72,630</w:t>
            </w:r>
          </w:p>
        </w:tc>
        <w:tc>
          <w:tcPr>
            <w:tcW w:w="84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39,777</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32,853</w:t>
            </w:r>
          </w:p>
        </w:tc>
        <w:tc>
          <w:tcPr>
            <w:tcW w:w="0" w:type="dxa"/>
            <w:vAlign w:val="bottom"/>
          </w:tcPr>
          <w:p>
            <w:pPr>
              <w:spacing w:after="0"/>
              <w:rPr>
                <w:sz w:val="1"/>
                <w:szCs w:val="1"/>
                <w:color w:val="auto"/>
              </w:rPr>
            </w:pPr>
          </w:p>
        </w:tc>
      </w:tr>
      <w:tr>
        <w:trPr>
          <w:trHeight w:val="189"/>
        </w:trPr>
        <w:tc>
          <w:tcPr>
            <w:tcW w:w="7620" w:type="dxa"/>
            <w:vAlign w:val="bottom"/>
          </w:tcPr>
          <w:p>
            <w:pPr>
              <w:ind w:left="260"/>
              <w:spacing w:after="0" w:line="189" w:lineRule="exact"/>
              <w:rPr>
                <w:sz w:val="20"/>
                <w:szCs w:val="20"/>
                <w:color w:val="auto"/>
              </w:rPr>
            </w:pPr>
            <w:r>
              <w:rPr>
                <w:rFonts w:ascii="Arial" w:cs="Arial" w:eastAsia="Arial" w:hAnsi="Arial"/>
                <w:sz w:val="17"/>
                <w:szCs w:val="17"/>
                <w:color w:val="auto"/>
              </w:rPr>
              <w:t>Customer relationships</w:t>
            </w: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145,051</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8,099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136,952</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Developed technologies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54,475</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8,171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46,304</w:t>
            </w:r>
          </w:p>
        </w:tc>
        <w:tc>
          <w:tcPr>
            <w:tcW w:w="0" w:type="dxa"/>
            <w:vAlign w:val="bottom"/>
          </w:tcPr>
          <w:p>
            <w:pPr>
              <w:spacing w:after="0"/>
              <w:rPr>
                <w:sz w:val="1"/>
                <w:szCs w:val="1"/>
                <w:color w:val="auto"/>
              </w:rPr>
            </w:pPr>
          </w:p>
        </w:tc>
      </w:tr>
      <w:tr>
        <w:trPr>
          <w:trHeight w:val="189"/>
        </w:trPr>
        <w:tc>
          <w:tcPr>
            <w:tcW w:w="7620" w:type="dxa"/>
            <w:vAlign w:val="bottom"/>
          </w:tcPr>
          <w:p>
            <w:pPr>
              <w:ind w:left="260"/>
              <w:spacing w:after="0" w:line="189" w:lineRule="exact"/>
              <w:rPr>
                <w:sz w:val="20"/>
                <w:szCs w:val="20"/>
                <w:color w:val="auto"/>
              </w:rPr>
            </w:pPr>
            <w:r>
              <w:rPr>
                <w:rFonts w:ascii="Arial" w:cs="Arial" w:eastAsia="Arial" w:hAnsi="Arial"/>
                <w:sz w:val="17"/>
                <w:szCs w:val="17"/>
                <w:color w:val="auto"/>
              </w:rPr>
              <w:t>Trade name (indefinite-lived)</w:t>
            </w: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31,646</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2,505</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375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306,307</w:t>
            </w:r>
          </w:p>
        </w:tc>
        <w:tc>
          <w:tcPr>
            <w:tcW w:w="5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56,422</w:t>
            </w: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249,885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As of December 31, 2015,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50,672</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37,790</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29,371</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14,639</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7,797</w:t>
            </w:r>
          </w:p>
        </w:tc>
      </w:tr>
      <w:tr>
        <w:trPr>
          <w:trHeight w:val="196"/>
        </w:trPr>
        <w:tc>
          <w:tcPr>
            <w:tcW w:w="20" w:type="dxa"/>
            <w:vAlign w:val="bottom"/>
          </w:tcPr>
          <w:p>
            <w:pPr>
              <w:spacing w:after="0"/>
              <w:rPr>
                <w:sz w:val="17"/>
                <w:szCs w:val="17"/>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future amortization expense</w:t>
            </w:r>
          </w:p>
        </w:tc>
        <w:tc>
          <w:tcPr>
            <w:tcW w:w="4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155,097</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82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4200" w:type="dxa"/>
            <w:vAlign w:val="bottom"/>
            <w:tcBorders>
              <w:bottom w:val="single" w:sz="8" w:color="CCEEFF"/>
            </w:tcBorders>
          </w:tcPr>
          <w:p>
            <w:pPr>
              <w:spacing w:after="0"/>
              <w:rPr>
                <w:sz w:val="13"/>
                <w:szCs w:val="13"/>
                <w:color w:val="auto"/>
              </w:rPr>
            </w:pPr>
          </w:p>
        </w:tc>
        <w:tc>
          <w:tcPr>
            <w:tcW w:w="54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Employee compensation and benefits</w:t>
            </w:r>
          </w:p>
        </w:tc>
        <w:tc>
          <w:tcPr>
            <w:tcW w:w="54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$17,195</w:t>
            </w: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$18,216</w:t>
            </w:r>
          </w:p>
        </w:tc>
        <w:tc>
          <w:tcPr>
            <w:tcW w:w="100" w:type="dxa"/>
            <w:vAlign w:val="bottom"/>
            <w:shd w:val="clear" w:color="auto" w:fill="CCEEFF"/>
          </w:tcPr>
          <w:p>
            <w:pPr>
              <w:spacing w:after="0"/>
              <w:rPr>
                <w:sz w:val="15"/>
                <w:szCs w:val="15"/>
                <w:color w:val="auto"/>
              </w:rPr>
            </w:pPr>
          </w:p>
        </w:tc>
      </w:tr>
      <w:tr>
        <w:trPr>
          <w:trHeight w:val="196"/>
        </w:trPr>
        <w:tc>
          <w:tcPr>
            <w:tcW w:w="420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540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2,916</w:t>
            </w:r>
          </w:p>
        </w:tc>
        <w:tc>
          <w:tcPr>
            <w:tcW w:w="44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2,091</w:t>
            </w:r>
          </w:p>
        </w:tc>
        <w:tc>
          <w:tcPr>
            <w:tcW w:w="100" w:type="dxa"/>
            <w:vAlign w:val="bottom"/>
          </w:tcPr>
          <w:p>
            <w:pPr>
              <w:spacing w:after="0"/>
              <w:rPr>
                <w:sz w:val="17"/>
                <w:szCs w:val="17"/>
                <w:color w:val="auto"/>
              </w:rPr>
            </w:pPr>
          </w:p>
        </w:tc>
      </w:tr>
      <w:tr>
        <w:trPr>
          <w:trHeight w:val="189"/>
        </w:trPr>
        <w:tc>
          <w:tcPr>
            <w:tcW w:w="42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accrued expenses</w:t>
            </w:r>
          </w:p>
        </w:tc>
        <w:tc>
          <w:tcPr>
            <w:tcW w:w="648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20,111</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20,307</w:t>
            </w:r>
          </w:p>
        </w:tc>
      </w:tr>
      <w:tr>
        <w:trPr>
          <w:trHeight w:val="20"/>
        </w:trPr>
        <w:tc>
          <w:tcPr>
            <w:tcW w:w="4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gridSpan w:val="3"/>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79"/>
        </w:trPr>
        <w:tc>
          <w:tcPr>
            <w:tcW w:w="4200" w:type="dxa"/>
            <w:vAlign w:val="bottom"/>
          </w:tcPr>
          <w:p>
            <w:pPr>
              <w:spacing w:after="0"/>
              <w:rPr>
                <w:sz w:val="24"/>
                <w:szCs w:val="24"/>
                <w:color w:val="auto"/>
              </w:rPr>
            </w:pPr>
          </w:p>
        </w:tc>
        <w:tc>
          <w:tcPr>
            <w:tcW w:w="6480" w:type="dxa"/>
            <w:vAlign w:val="bottom"/>
            <w:gridSpan w:val="3"/>
          </w:tcPr>
          <w:p>
            <w:pPr>
              <w:ind w:left="1340"/>
              <w:spacing w:after="0"/>
              <w:rPr>
                <w:sz w:val="20"/>
                <w:szCs w:val="20"/>
                <w:color w:val="auto"/>
              </w:rPr>
            </w:pPr>
            <w:r>
              <w:rPr>
                <w:rFonts w:ascii="Arial" w:cs="Arial" w:eastAsia="Arial" w:hAnsi="Arial"/>
                <w:sz w:val="16"/>
                <w:szCs w:val="16"/>
                <w:color w:val="auto"/>
              </w:rPr>
              <w:t>F-22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Borders>
              <w:bottom w:val="single" w:sz="8" w:color="CCEEFF"/>
            </w:tcBorders>
          </w:tcPr>
          <w:p>
            <w:pPr>
              <w:spacing w:after="0"/>
              <w:rPr>
                <w:sz w:val="13"/>
                <w:szCs w:val="13"/>
                <w:color w:val="auto"/>
              </w:rPr>
            </w:pPr>
          </w:p>
        </w:tc>
        <w:tc>
          <w:tcPr>
            <w:tcW w:w="23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Term loan</w:t>
            </w:r>
          </w:p>
        </w:tc>
        <w:tc>
          <w:tcPr>
            <w:tcW w:w="2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spacing w:after="0" w:line="189" w:lineRule="exact"/>
              <w:rPr>
                <w:sz w:val="20"/>
                <w:szCs w:val="20"/>
                <w:color w:val="auto"/>
              </w:rPr>
            </w:pPr>
            <w:r>
              <w:rPr>
                <w:rFonts w:ascii="Arial" w:cs="Arial" w:eastAsia="Arial" w:hAnsi="Arial"/>
                <w:sz w:val="17"/>
                <w:szCs w:val="17"/>
                <w:color w:val="auto"/>
              </w:rPr>
              <w:t>Mortgage notes payable</w:t>
            </w:r>
          </w:p>
        </w:tc>
        <w:tc>
          <w:tcPr>
            <w:tcW w:w="236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 lease</w:t>
            </w:r>
          </w:p>
        </w:tc>
        <w:tc>
          <w:tcPr>
            <w:tcW w:w="23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340" w:type="dxa"/>
            <w:vAlign w:val="bottom"/>
            <w:gridSpan w:val="3"/>
          </w:tcPr>
          <w:p>
            <w:pPr>
              <w:jc w:val="right"/>
              <w:ind w:right="240"/>
              <w:spacing w:after="0"/>
              <w:rPr>
                <w:sz w:val="20"/>
                <w:szCs w:val="20"/>
                <w:color w:val="auto"/>
              </w:rPr>
            </w:pPr>
            <w:r>
              <w:rPr>
                <w:rFonts w:ascii="Arial" w:cs="Arial" w:eastAsia="Arial" w:hAnsi="Arial"/>
                <w:sz w:val="17"/>
                <w:szCs w:val="17"/>
                <w:color w:val="auto"/>
              </w:rPr>
              <w:t>390,059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506,189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discount</w:t>
            </w:r>
          </w:p>
        </w:tc>
        <w:tc>
          <w:tcPr>
            <w:tcW w:w="3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spacing w:after="0" w:line="189" w:lineRule="exact"/>
              <w:rPr>
                <w:sz w:val="20"/>
                <w:szCs w:val="20"/>
                <w:color w:val="auto"/>
              </w:rPr>
            </w:pPr>
            <w:r>
              <w:rPr>
                <w:rFonts w:ascii="Arial" w:cs="Arial" w:eastAsia="Arial" w:hAnsi="Arial"/>
                <w:sz w:val="17"/>
                <w:szCs w:val="17"/>
                <w:color w:val="auto"/>
              </w:rPr>
              <w:t>Less unamortized debt issuance costs</w:t>
            </w:r>
          </w:p>
        </w:tc>
        <w:tc>
          <w:tcPr>
            <w:tcW w:w="3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(10,134)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(12,056)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 of long-term debt</w:t>
            </w:r>
          </w:p>
        </w:tc>
        <w:tc>
          <w:tcPr>
            <w:tcW w:w="2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7"/>
                <w:szCs w:val="17"/>
                <w:color w:val="auto"/>
              </w:rPr>
              <w:t>Long-term debt, net, less current portion</w:t>
            </w:r>
          </w:p>
        </w:tc>
        <w:tc>
          <w:tcPr>
            <w:tcW w:w="23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377,882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7040" w:type="dxa"/>
            <w:vAlign w:val="bottom"/>
            <w:gridSpan w:val="2"/>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40" w:type="dxa"/>
            <w:vAlign w:val="bottom"/>
            <w:tcBorders>
              <w:bottom w:val="single" w:sz="8" w:color="auto"/>
            </w:tcBorders>
            <w:gridSpan w:val="2"/>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7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w:t>
            </w:r>
          </w:p>
        </w:tc>
        <w:tc>
          <w:tcPr>
            <w:tcW w:w="2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2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2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2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2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2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Company Credit Facilities</w:t>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April 1, 2014, in connection with the Transaction, the Successor entered into a $530.0 million credit agreement (the “Credit Agreement”), consisting of a $530.0 million term loan issued at 99.50% and a $60.0 million revolving credit facility (“Revolver”) issued at 99.00%. The term loan portion of the Credit Agreement has a seven year term and the Revolver has a five year term.</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Credit Agreement provides for the Company’s option, interest at the Eurocurrency rate or Base rate for term loan and Revolver borrowings. Base rate is the higher of several published customary market rates, including Federal Funds rate or Prime at time of borrowing. The Company, at its discretion, may choose interest periods of 1, 2, 3 or 6 months, which determines the interest rate to be applied. Interest on Eurocurrency loans continues to be payable at the end of the selected Eurocurrency term and interest on Base rate loans are payable quarterly in conjunction with any required principal payments.</w:t>
      </w:r>
    </w:p>
    <w:p>
      <w:pPr>
        <w:spacing w:after="0" w:line="150"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Credit Agreement initially provided for Eurocurrency loans at interest rates of 4.00% and 3.75% and interest rates of 3.00% and 2.75% with respect to Base rate for term loans and Revolver borrowings, respectively. Upon expiration of initial interest periods, term loan and Revolver borrowings under the Credit Agreement bear interest at a rate per annum equal to an applicable spread, with pricing levels providing for an interest rate reduction of 25 basis points upon achievement of a defined financial net debt leverage ratio, plus a Eurocurrency or Base rate. The defined net debt leverage ratio required for the reduced interest level was achieved in the second quarter of 2015 and has subsequently maintained. Term loan Eurocurrency rates are subject to a minimum floor of 1.00% or a Base rate which is subject to a floor of 2.00%. However, Revolver borrowings are not subject to minimum floor rates. The applicable spread for the term loan is 3.75% or 4.00% for the Eurocurrency rate and 2.75% or 3.00% with respect to the Base rate. The applicable spread for the Revolver is 3.50% or 3.75% for the Eurocurrency rate and 2.50% or 2.75% with respect to the Base rate.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Medpace pays commitment fees on a quarterly basis at an annual rate of 0.50% of the unused borrowings under the Revolver, which is recorded as a component of Interest expense, net in the consolidated statements of operations. The commitment fee is subject to a pricing level reduction to 0.375% upon achievement of a defined financial net debt leverage. As of December 31, 2015, the Company had met the requirements for the pricing level reduction.</w:t>
      </w:r>
    </w:p>
    <w:p>
      <w:pPr>
        <w:spacing w:after="0" w:line="14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original issue discount of $2.7 million related to the issuance of the term loan was recorded as a reduction of the underlying debt issuances and is being amortized over the life of the debt using the effective-interest method. Per the terms of the Credit Agreement, principal is scheduled to be paid quarterly on the last business day of March, June, September and December of each year, beginning September 2014. However, the Company is no longer subject to the quarterly term loan amortization as a result of voluntary prepayments in term loan principal during 2015 and 2014.</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Origination fees of $15.5 million were originally capitalized related to the issuance of the Credit Agreement and are being amortized over the life of the debt using the effective-interest method. The unamortized portion of these fees related to the term loan were $10.1 million and $12.1 million at December 31, 2015 and 2014, respectively, and are recorded within Long-term debt, net, less current portion. The unamortized portion of the origination fees attributable to the Revolver were $1.3 million and $1.7 million at December 31, 2015 and 2014, respectively, and were recorded as a component of Other assets in the consolidated balance sheets.</w:t>
      </w:r>
    </w:p>
    <w:p>
      <w:pPr>
        <w:spacing w:after="0" w:line="15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Successor was in compliance with all financial covenants as of December 31, 2015 and 2014.</w:t>
      </w:r>
    </w:p>
    <w:p>
      <w:pPr>
        <w:spacing w:after="0" w:line="14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December 31, 2015 the Company did not have any outstanding letters of credit under the Credit Agreement resulting in $60.0 million in undrawn capacity available under the Revolver. As of December 31, 2014, the Company had $2.2 million in outstanding letters of credit under the Credit Agreement resulting in $57.8 million in undrawn capacity available under the Revolver. The gross term loan balance as of December 31, 2015 and 2014 was $390.0 million and $505.0 million, respectively, and is currently at the Eurocurrency minimum floor interest rate of 4.75%.</w:t>
      </w:r>
    </w:p>
    <w:p>
      <w:pPr>
        <w:spacing w:after="0" w:line="95"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estimated fair value of the Successor’s term loan at December 31, 2015 and 2014, based on Level 1 quoted market prices, approximates $386.3 million and $500.9 million compared to the carrying value of $388.0 million and $502.6 million.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 Credit Facilities</w:t>
      </w:r>
    </w:p>
    <w:p>
      <w:pPr>
        <w:spacing w:after="0" w:line="4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On June 17, 2011, the Predecessor Company entered into a $335.0 million credit agreement (the “Predecessor Credit Agreement”), consisting of a $285.0 million term loan issued at 98.50% and a $50.0 million revolving credit facility (“Predecessor Revolver”). The Predecessor Credit Agreement, which was terminated in 2014 in connection with the Transaction, was guaranteed by the Company and its subsidiaries and was subject to covenants relating to financial ratios and restrictions on certain types of transactions. The Predecessor was in compliance with all financial covenants as of December 31, 2013.</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Predecessor Credit Agreement initially provided borrowings at interest rates based on a EuroDollar rate plus a margin of 5.00%, or a base rate plus a margin of 4.00%. Prior to the amendment discussed below, the EuroDollar rate was subject to a minimum floor of 1.50% and the base rate was subject to a minimum floor of 2.50%. Interest on the EuroDollar margin tranche of the loan was payable at the end of the selected EuroDollar term, which was typically a 30-day term or a 60-day term. Interest on the base rate tranche of the loan was payable quarterly in conjunction with any required principal payments. The Predecessor paid commitment fees on a quarterly basis at an annual rate of 0.50% of the unused amount of borrowings, which was recorded as a component of Interest expense, net in the consolidated statements of operations. The term loan portion of the Predecessor Credit Agreement had a six year term and the Predecessor Revolver had a five year term.</w:t>
      </w:r>
    </w:p>
    <w:p>
      <w:pPr>
        <w:spacing w:after="0" w:line="15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The original issue discount of $4.3 million from the issuance of the term loan was recorded as a reduction of the underlying debt balance and was being amortized over the life of the debt using a method which approximated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effective-interest method. Per the terms of the Predecessor Credit Agreement, principal was scheduled to be paid quarterly on the last business day of March, June, September and December of each year. However, as a result of voluntary prepayments in term loan principal during 2013, the Predecessor was not subject to the quarterly term loan amortization from that point forward.</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total of $5.9 million in loan origination fees were initially capitalized in conjunction with the issuance of the Predecessor Credit Agreement and those fees, net of the adjustment discussed below, were amortized over the life of the debt using a method which approximated the effective-interest method.</w:t>
      </w:r>
    </w:p>
    <w:p>
      <w:pPr>
        <w:spacing w:after="0" w:line="144" w:lineRule="exact"/>
        <w:rPr>
          <w:sz w:val="20"/>
          <w:szCs w:val="20"/>
          <w:color w:val="auto"/>
        </w:rPr>
      </w:pPr>
    </w:p>
    <w:p>
      <w:pPr>
        <w:ind w:right="400"/>
        <w:spacing w:after="0" w:line="298" w:lineRule="auto"/>
        <w:rPr>
          <w:sz w:val="20"/>
          <w:szCs w:val="20"/>
          <w:color w:val="auto"/>
        </w:rPr>
      </w:pPr>
      <w:r>
        <w:rPr>
          <w:rFonts w:ascii="Arial" w:cs="Arial" w:eastAsia="Arial" w:hAnsi="Arial"/>
          <w:sz w:val="17"/>
          <w:szCs w:val="17"/>
          <w:color w:val="auto"/>
        </w:rPr>
        <w:t xml:space="preserve">The gross term loan balance was $166.7 million at December 31, 2013 and was subject to interest at the EuroDollar minimum floor rate of 5.25%. </w:t>
      </w:r>
      <w:r>
        <w:rPr>
          <w:rFonts w:ascii="Arial" w:cs="Arial" w:eastAsia="Arial" w:hAnsi="Arial"/>
          <w:sz w:val="17"/>
          <w:szCs w:val="17"/>
          <w:b w:val="1"/>
          <w:bCs w:val="1"/>
          <w:i w:val="1"/>
          <w:iCs w:val="1"/>
          <w:color w:val="auto"/>
        </w:rPr>
        <w:t>Amendment of the Predecessor Company Credit Facilities</w:t>
      </w:r>
    </w:p>
    <w:p>
      <w:pPr>
        <w:spacing w:after="0" w:line="1" w:lineRule="exact"/>
        <w:rPr>
          <w:sz w:val="20"/>
          <w:szCs w:val="20"/>
          <w:color w:val="auto"/>
        </w:rPr>
      </w:pPr>
    </w:p>
    <w:p>
      <w:pPr>
        <w:ind w:right="520"/>
        <w:spacing w:after="0" w:line="238" w:lineRule="auto"/>
        <w:rPr>
          <w:sz w:val="20"/>
          <w:szCs w:val="20"/>
          <w:color w:val="auto"/>
        </w:rPr>
      </w:pPr>
      <w:r>
        <w:rPr>
          <w:rFonts w:ascii="Arial" w:cs="Arial" w:eastAsia="Arial" w:hAnsi="Arial"/>
          <w:sz w:val="17"/>
          <w:szCs w:val="17"/>
          <w:color w:val="auto"/>
        </w:rPr>
        <w:t>On April 11, 2013, the Predecessor amended its credit facilities, primarily to modify the borrowing rate. The Predecessor Credit Agreement, as amended, provided for borrowings at interest rates that were based on a EuroDollar rate plus a margin of 4.25%, or a base rate plus a margin of 3.25%. The EuroDollar rate was subject to a minimum floor of 1.25% and the base rate was subject to a minimum floor of 2.25%.</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connection with amendment of the Predecessor Credit Agreement, three of the Predecessor’s previous lenders exited the credit facility. Pursuant to the accounting guidance governing such transactions, the Predecessor recorded a $1.5 million loss on the extinguishment of debt for the pro-rata share of unamortized debt issuance costs and original issue discount associated with those lenders. The loss on extinguishment was recorded in Miscellaneous (expense) income, net on the consolidated statement of operations for the year ended December 31, 2013. The original unamortized costs associated with the remaining lenders, in addition to the $1.1 million in new loan origination fees incurred in connection with the refinancing, were being amortized over the remaining term of the debt using a method which approximated the effective-interest method.</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outstanding term loan balance of $143.7 million as of March 31, 2014 was paid in full in connection with the Transaction and the Predecessor Credit Agreement was terminated.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Notes Payable</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Medpace entered into a mortgage contract with a European bank in 2006 related to the purchase of a laboratory facility in Leuven, Belgium. The Euro-denominated mortgage bears a fixed annual interest rate of 4.90%, requires monthly payments of principal and interest, and has a final maturity of December 2021. The mortgage is secured by building and land and also requires that Medpace maintain a cash balance held as collateral with the bank. During 2015, the mortgage was fully repaid and the Company received a full refund of cash collateral during the first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41"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color w:val="auto"/>
        </w:rPr>
        <w:t>The Company has payment obligations under non-cancellable operating and capital leases, primarily for office space and furniture and fixtures to support its global operations. These leases often contain customary scheduled rent increases or escalation clauses and renewal options. Rent expense is recorded on a straight line basis. As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minimum future lease payments required under these leases are as follows for the 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NON-RELATED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RELATED PARTY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RELATED PARTY</w:t>
            </w:r>
          </w:p>
        </w:tc>
        <w:tc>
          <w:tcPr>
            <w:tcW w:w="400" w:type="dxa"/>
            <w:vAlign w:val="bottom"/>
          </w:tcPr>
          <w:p>
            <w:pPr>
              <w:spacing w:after="0"/>
              <w:rPr>
                <w:sz w:val="14"/>
                <w:szCs w:val="14"/>
                <w:color w:val="auto"/>
              </w:rPr>
            </w:pPr>
          </w:p>
        </w:tc>
        <w:tc>
          <w:tcPr>
            <w:tcW w:w="1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PARTIES OPERATING</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 LEASE</w:t>
            </w:r>
          </w:p>
        </w:tc>
        <w:tc>
          <w:tcPr>
            <w:tcW w:w="38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LEASES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2016</w:t>
            </w: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2,112</w:t>
            </w: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4,048</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6,160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2,786</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2,650</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1,482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1,134</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3,872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3,759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minimum lease payments</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w:t>
            </w: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14,432</w:t>
            </w:r>
          </w:p>
        </w:tc>
        <w:tc>
          <w:tcPr>
            <w:tcW w:w="56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15,859</w:t>
            </w:r>
          </w:p>
        </w:tc>
        <w:tc>
          <w:tcPr>
            <w:tcW w:w="50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30,291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color w:val="auto"/>
              </w:rPr>
              <w:t>Less amounts representing interest</w:t>
            </w: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Present value of net minimum lease</w:t>
            </w:r>
          </w:p>
        </w:tc>
        <w:tc>
          <w:tcPr>
            <w:tcW w:w="5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payments (including $59 classified to</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current liabilities)</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related party capital lease relates to assets utilized in the Company’s medical device operations. The related party operating lease is for one of the Company’s three buildings within its corporate headquarters. The non-related party operating leases are for the Company’s remaining leases throughout the world consisting primarily of office space, fixtures and vehicles.</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Rental expense under operating leases totaled $5.8 million, $4.3 million, $1.4 million and $7.4 million for the Successor year ended December 31, 2015, the Successor Period ended December 31, 2014, the Predecessor Period ended March 31, 2014 and for the Predecessor year ended December 31, 2013, respectively, and is allocated between Direct costs, excluding depreciation and amortization, and Selling, general and administrative in the consolidated statements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minimum annual payments required in conjunction with the Deemed landlord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RELATED PARTY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LEASE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PAYMENTS</w:t>
            </w:r>
          </w:p>
        </w:tc>
        <w:tc>
          <w:tcPr>
            <w:tcW w:w="3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36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AMOUNTS DUE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2016</w:t>
            </w: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3,757</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2,207</w:t>
            </w: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1,550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160" w:type="dxa"/>
            <w:vAlign w:val="bottom"/>
          </w:tcPr>
          <w:p>
            <w:pPr>
              <w:spacing w:after="0"/>
              <w:rPr>
                <w:sz w:val="16"/>
                <w:szCs w:val="16"/>
                <w:color w:val="auto"/>
              </w:rPr>
            </w:pPr>
          </w:p>
        </w:tc>
        <w:tc>
          <w:tcPr>
            <w:tcW w:w="13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3,837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2,091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3,886</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1,961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160" w:type="dxa"/>
            <w:vAlign w:val="bottom"/>
          </w:tcPr>
          <w:p>
            <w:pPr>
              <w:spacing w:after="0"/>
              <w:rPr>
                <w:sz w:val="16"/>
                <w:szCs w:val="16"/>
                <w:color w:val="auto"/>
              </w:rPr>
            </w:pPr>
          </w:p>
        </w:tc>
        <w:tc>
          <w:tcPr>
            <w:tcW w:w="13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3,937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1,819</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3,988</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1,662</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27,973</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5,815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22,158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47,378</w:t>
            </w:r>
          </w:p>
        </w:tc>
        <w:tc>
          <w:tcPr>
            <w:tcW w:w="3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15,555</w:t>
            </w:r>
          </w:p>
        </w:tc>
        <w:tc>
          <w:tcPr>
            <w:tcW w:w="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54"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In May 2013, Medpace committed to the aggregate purchase of $2.0 million of software services from a vendor during the period from June 1, 2013 through May 31, 2016. In return for the commitment, Medpace receives preferential fixed rate pricing and a 5% discount on all purchases made pursuant to this agreement during its three-year term. As of December 31, 2014, the Company had met the aggregate purchase commitment.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5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w:t>
      </w:r>
    </w:p>
    <w:p>
      <w:pPr>
        <w:spacing w:after="0" w:line="148"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In March 2012, the Company filed a legal claim against one of its customers, citing as a basis for its claim the customer’s non-payment of more than $6.5 million in outstanding invoices. In response, the customer filed a counterclaim against the Company for compensatory damages, asserting that the Company had willfully and wrongly withheld clinical study data alleged to be owned by the customer. The Company objected to these allegations and believed it had meritorious defenses against these claims and also believed that it would ultimately prevail in this matter. During 2015, a Settlement and Mutual Release Agreement (the “Agreement”) was entered into whereas the Company agreed to settle all outstanding claims for payment of $2.0 million from the customer and both parties waived the right to file any future suits. The customer paid the $2.0 million settlement during 2015 and the Company recorded a bad debt recovery of $2.0 million in Selling, general and administrative in the consolidated statements of operations.</w:t>
      </w:r>
    </w:p>
    <w:p>
      <w:pPr>
        <w:spacing w:after="0" w:line="187"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59" w:lineRule="exact"/>
        <w:rPr>
          <w:rFonts w:ascii="Arial" w:cs="Arial" w:eastAsia="Arial" w:hAnsi="Arial"/>
          <w:sz w:val="18"/>
          <w:szCs w:val="18"/>
          <w:b w:val="1"/>
          <w:bCs w:val="1"/>
          <w:color w:val="auto"/>
        </w:rPr>
      </w:pPr>
    </w:p>
    <w:p>
      <w:pPr>
        <w:ind w:right="9700"/>
        <w:spacing w:after="0" w:line="294"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Successor Company </w:t>
      </w:r>
      <w:r>
        <w:rPr>
          <w:rFonts w:ascii="Arial" w:cs="Arial" w:eastAsia="Arial" w:hAnsi="Arial"/>
          <w:sz w:val="17"/>
          <w:szCs w:val="17"/>
          <w:i w:val="1"/>
          <w:iCs w:val="1"/>
          <w:color w:val="auto"/>
        </w:rPr>
        <w:t>Successor Awards</w:t>
      </w:r>
    </w:p>
    <w:p>
      <w:pPr>
        <w:jc w:val="both"/>
        <w:ind w:right="220"/>
        <w:spacing w:after="0" w:line="236" w:lineRule="auto"/>
        <w:rPr>
          <w:sz w:val="20"/>
          <w:szCs w:val="20"/>
          <w:color w:val="auto"/>
        </w:rPr>
      </w:pPr>
      <w:r>
        <w:rPr>
          <w:rFonts w:ascii="Arial" w:cs="Arial" w:eastAsia="Arial" w:hAnsi="Arial"/>
          <w:sz w:val="17"/>
          <w:szCs w:val="17"/>
          <w:color w:val="auto"/>
        </w:rPr>
        <w:t>The Successor Plan for employees and directors provides for the issuance of vested shares, stock options, RSAs and RSUs in Medpace Holdings, Inc.’s common stock. The Successor Plan has reserved 5,116,854 shares for issuance of restricted awards or stock options, of which approximately 573,000 awards were available for future grants as of December 31, 2015. The Successor Plan expires in 2024, except for awards then outstanding and is administered by the Board of Directors.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Awards are granted to key employees as additional compensation for services rendered and as a means of retention over the vesting period, typically three to four years. RSAs awarded under the plan are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Successor Plan also allows for the issuance of non-qualified stock options to employees, officers, and directors under this plan (collectively, “the Participants”). Under the Successor Plan, options may be granted with an exercise price equal to or greater than the fair value of common stock at the grant date as determined by the Board of Directors. The stock options, if unexercised, expire seven years from the date of grant.</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a condition to exercising stock options and acceptance of certain restricted shares, employees must execute a Contribution and Subscription Agreement (the “Subscription Agreement”) that provides for the exchange of the shares issued for incentive units (the “Incentive Units”) in Medpace Investors upon the occurrence of certain events. The Incentive Units are tied directly to common stock ownership in Medpace Holdings, Inc. and entitle the Incentive Unit holder to participate in the risks and rewards of owning the Successor Company’s stock through ownership in Medpace Investors. The Successor Awards containing this condition are liability-classified instruments as they are inevitably settled in the equity of a non-consolidated related party. Restricted share awards excluding the requirement to execute a Contribution and Subscription Agreement and settlement in common shares of Medpace Holdings, Inc. are equity-classified instruments.</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At the grant date for RSAs that are liability-classified, restricted shares are legally issued and exchanged for MPI Incentive Units on behalf of the employee. If the RSAs are not yet vested and an employee leaves the Successor Company’s employment, the restricted shares of Medpace Holdings, Inc. revert back to the Successor Company and are available for re-issuance under the Successor Plan. Upon the vesting of RSAs and RSUs and upon the exercise of stock options, the stock-based compensation liability is settled by exchanging the Successor Company’s stock for MPI Incentive Units. If an employee leaves the Successor Company’s employment after they vest in the Awards and the exchange for Incentive Units has been made, Medpace Investors may exercise a call option to repurchase 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employee’s Incentive Units at a price determined by the manager and majority unit holder of Medpace Investors, who is also the chief executive officer of Medpace. If Medpace Investors exercises the call right, it may do so up to the later of twelve months following the employee’s departure date or six months following the determination that the former employee is directly or indirectly engaged in competitive business activities.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the Successor Company’s Shareholder Agreement (the “Successor Shareholder Agreement”), in the event Medpace Investors dissolves or distributes any common stock of Medpace Holdings, Inc. to the Medpace Investors’ members prior to a public offering, the Successor Company has a call right to repurchase the common stock at a price equal to the fair market value of the stock as determined by the Board of Directors, provided that in no case shall any shares held by the chief executive officer or his affiliates be subject to the call rights.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Awards Modification</w:t>
      </w:r>
    </w:p>
    <w:p>
      <w:pPr>
        <w:spacing w:after="0" w:line="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December 17, 2015, the Board of Directors approved a resolution to accelerate the vesting period for all issued, outstanding and unvested RSAs and RSUs to vest on December 31, 2015, so long as the recipient of each restricted share or unit is in good standing, has not provided notice of resignation and continues to be employed by the Company as of December 31, 2015. In total, 929,956 unvested restricted awards held by 158 current employees were modified resulting in settlement of 929,956 shares.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According to the authoritative guidance for stock-based compensation, under these circumstances a company should recognize additional stock-based compensation expense in the amount of the incremental fair value of the modified award. Because the restricted awards that were modified are liability-classified, the awards are at fair value at the time of the modification and no incremental cost was recognized. While there is no incremental cost related to fair value of the awards, $5.7 million of stock-based compensation expense was recorded in 2015 related to previously unrecognized stock-based compensation cost for awards expected to vest in 2016, 2017 and 2018.</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Awards</w:t>
      </w:r>
    </w:p>
    <w:p>
      <w:pPr>
        <w:spacing w:after="0" w:line="4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2011, the Predecessor Company adopted a stock option plan (the “2011 Stock Option Plan”) and was authorized to issue non-qualified stock options to employees, officers, and directors under this plan (collectively “the Participants”). Under the 2011 Stock Option Plan, options may be granted with an exercise price equal to or greater than the fair value of common stock at the date of the grant as determined by the Board of Directors. In April 2012, the Board of Directors amended the 2011 Stock Option Plan to increase the maximum number of shares available for issuance as options to the Participants. Options granted under the plans may be exercised at certain times subsequent to certain events, as set forth in the grant. The stock options, if unexercised, expire ten years from the date of grant.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December 2012, the Predecessor Company’s Board of Directors established a restricted stock plan (the “2012 Restricted Stock Plan”) and approved the issuance of RSAs and RSUs (collectively, the “Restricted Shares”) up to an authorized amount of 350,000 total Restricted Shares. These shares are subject to certain restrictions, and are issued to key employees of the Company as a means of retention. RSAs awarded under the plan entitle the shareholder to all rights of common stock ownership except that they may not be sold, transferred, pledged, exchanged or otherwise disposed of during the restriction period.</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terms of the 2011 Stock Option Plan and the 2012 Restricted Stock Plan (collectively, the “Predecessor Equity Plans”) permitted, but did not require, the acceleration of vesting for awards upon a change in control. On March 24, 2014, the Predecessor’s Board of Directors approved the acceleration of vesting for outstanding Restricted Share awards and stock options, the effect of which took place immediately prior to the April 1, 2014 Transaction. The Predecessor’s Board of Directors, at the same time, also approved the cancellation of any remaining unvested equity awards and terminated the Predecessor Equity Plans. The acceleration of vesting was determined to be a modification of the Predecessor Equity Plans and, pursuant to accounting guidance governing such transactions, the Predecessor Company recorded incremental stock-based compensation expense of $7.1 million. The modification of the Predecessor Equity Plans resulted in accelerated vesting for 172,492 Restricted Shares and 992,412 stock options. This change impacted 266 employees. In connection with the Transaction, all Participants exercised their options, resulting in exercise proceeds aggregating $15.2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5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Predecessor Company’s Shareholder Agreement (the “Predecessor Shareholder Agreement”) permitted the Company to directly purchase the shares of employee shareholders that separated from the Company. The Predecessor Company did not exercise its option to repurchase shares from separated employees during any Predecessor period covered by the Predecessor’s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and Predecessor Equity Awards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Assumptions</w:t>
      </w:r>
    </w:p>
    <w:p>
      <w:pPr>
        <w:spacing w:after="0" w:line="5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determines the fair value of stock options using the Black-Scholes-Merten option pricing model (the “BSM Model”). The BSM Model is primarily affected by the fair value of the Successor’s common stock (see restricted share valuation discussion below), the expected holding period for the option, expected stock price volatility over the term of the awards, the risk-free interest rate, and expected dividends.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key weighted-average assumptions used in the BSM Model to calculate the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4100" w:type="dxa"/>
            <w:vAlign w:val="bottom"/>
            <w:gridSpan w:val="5"/>
          </w:tcPr>
          <w:p>
            <w:pPr>
              <w:ind w:left="960"/>
              <w:spacing w:after="0"/>
              <w:rPr>
                <w:sz w:val="20"/>
                <w:szCs w:val="20"/>
                <w:color w:val="auto"/>
              </w:rPr>
            </w:pPr>
            <w:r>
              <w:rPr>
                <w:rFonts w:ascii="Arial" w:cs="Arial" w:eastAsia="Arial" w:hAnsi="Arial"/>
                <w:sz w:val="14"/>
                <w:szCs w:val="14"/>
                <w:b w:val="1"/>
                <w:bCs w:val="1"/>
                <w:color w:val="auto"/>
              </w:rPr>
              <w:t>SUCCESSOR</w:t>
            </w:r>
          </w:p>
        </w:tc>
        <w:tc>
          <w:tcPr>
            <w:tcW w:w="2940" w:type="dxa"/>
            <w:vAlign w:val="bottom"/>
            <w:gridSpan w:val="4"/>
          </w:tcPr>
          <w:p>
            <w:pPr>
              <w:ind w:left="86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438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7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tcBorders>
              <w:top w:val="single" w:sz="8" w:color="auto"/>
            </w:tcBorders>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38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3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holding period—years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w:t>
            </w:r>
          </w:p>
        </w:tc>
        <w:tc>
          <w:tcPr>
            <w:tcW w:w="7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N/A</w:t>
            </w: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5"/>
                <w:szCs w:val="15"/>
                <w:color w:val="auto"/>
              </w:rPr>
            </w:pP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72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36.4%</w:t>
            </w:r>
          </w:p>
        </w:tc>
        <w:tc>
          <w:tcPr>
            <w:tcW w:w="186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41.8%</w:t>
            </w:r>
          </w:p>
        </w:tc>
        <w:tc>
          <w:tcPr>
            <w:tcW w:w="520" w:type="dxa"/>
            <w:vAlign w:val="bottom"/>
          </w:tcPr>
          <w:p>
            <w:pPr>
              <w:spacing w:after="0"/>
              <w:rPr>
                <w:sz w:val="16"/>
                <w:szCs w:val="16"/>
                <w:color w:val="auto"/>
              </w:rPr>
            </w:pPr>
          </w:p>
        </w:tc>
        <w:tc>
          <w:tcPr>
            <w:tcW w:w="17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37.4%</w:t>
            </w: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7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1.2%</w:t>
            </w:r>
          </w:p>
        </w:tc>
        <w:tc>
          <w:tcPr>
            <w:tcW w:w="1860" w:type="dxa"/>
            <w:vAlign w:val="bottom"/>
            <w:tcBorders>
              <w:right w:val="single" w:sz="8" w:color="auto"/>
            </w:tcBorders>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w:t>
            </w: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0.0%</w:t>
            </w:r>
          </w:p>
        </w:tc>
        <w:tc>
          <w:tcPr>
            <w:tcW w:w="186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0.0%</w:t>
            </w:r>
          </w:p>
        </w:tc>
        <w:tc>
          <w:tcPr>
            <w:tcW w:w="520" w:type="dxa"/>
            <w:vAlign w:val="bottom"/>
          </w:tcPr>
          <w:p>
            <w:pPr>
              <w:spacing w:after="0"/>
              <w:rPr>
                <w:sz w:val="16"/>
                <w:szCs w:val="16"/>
                <w:color w:val="auto"/>
              </w:rPr>
            </w:pPr>
          </w:p>
        </w:tc>
        <w:tc>
          <w:tcPr>
            <w:tcW w:w="17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Successor’s assumptions in the table above represent those used during the Successor year ended December 31, 2015 and the Successor Period ended December 31, 2014, for the fair value calculations of the stock options as required for liability-classified stock compensation accounting. The assumptions used by the Predecessor reflect grant date inputs used to arrive at the grant date fair values as the Predecessor awards are subject to equity-classified stock compensation accounting.</w:t>
      </w:r>
    </w:p>
    <w:p>
      <w:pPr>
        <w:spacing w:after="0" w:line="14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valued by the Successor for the year ended December 31, 2015 and the Successor Period ended December 31, 2014, the expected holding period is based on an average between the midpoint of the vesting date and the expiration date of the options and the estimated time expected until a change in control. For options issued during the Predecessor year ended December 31, 2013, the expected holding period was based on a probability-weighted assessment of an anticipated liquidity event.</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Company estimates expected volatility primarily by using the historical volatility of a publicly traded peer group that operates in the clinical research and development industry. The Company does not have adequate data to calculate its own volatility and believes the Company’s expected volatility will approximate the historical experience of the peer group. The risk-free interest rate is based on the yield on U.S. Treasury obligations with remaining durations equal to the expected holding period of the options. The expected dividend yield is assumed to be zero based on recent and anticipated dividend activity.</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determines the fair value of restricted shares by obtaining an independent valuation of the fair value of the Company’s equity, applying a discount for lack of marketability, and then calculating the implied share price. The fair value of the Company is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are not observable in the market and are thus considered Level 3 measurements by authoritative guidance (see discussion of fair value measurements).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51"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The following table summarizes the grant date fair values of stock options and restricted shares issued during the period as well as the allocation of stock-based compensation expense to Direct costs, excluding depreciation and amortization, and Selling, general and administrative reported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8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right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Weighted average, grant date fair value</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40"/>
              <w:spacing w:after="0" w:line="189" w:lineRule="exact"/>
              <w:rPr>
                <w:sz w:val="20"/>
                <w:szCs w:val="20"/>
                <w:color w:val="auto"/>
              </w:rPr>
            </w:pPr>
            <w:r>
              <w:rPr>
                <w:rFonts w:ascii="Arial" w:cs="Arial" w:eastAsia="Arial" w:hAnsi="Arial"/>
                <w:sz w:val="17"/>
                <w:szCs w:val="17"/>
                <w:color w:val="auto"/>
              </w:rPr>
              <w:t>Stock options</w:t>
            </w:r>
          </w:p>
        </w:tc>
        <w:tc>
          <w:tcPr>
            <w:tcW w:w="680" w:type="dxa"/>
            <w:vAlign w:val="bottom"/>
            <w:gridSpan w:val="2"/>
          </w:tcPr>
          <w:p>
            <w:pPr>
              <w:ind w:left="44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2.82</w:t>
            </w:r>
          </w:p>
        </w:tc>
        <w:tc>
          <w:tcPr>
            <w:tcW w:w="5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3.21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N/A</w:t>
            </w:r>
          </w:p>
        </w:tc>
        <w:tc>
          <w:tcPr>
            <w:tcW w:w="60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Restricted shares (RSAs and RSUs)</w:t>
            </w:r>
          </w:p>
        </w:tc>
        <w:tc>
          <w:tcPr>
            <w:tcW w:w="680" w:type="dxa"/>
            <w:vAlign w:val="bottom"/>
            <w:gridSpan w:val="2"/>
            <w:shd w:val="clear" w:color="auto" w:fill="CCEEFF"/>
          </w:tcPr>
          <w:p>
            <w:pPr>
              <w:ind w:left="440"/>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9.28</w:t>
            </w:r>
          </w:p>
        </w:tc>
        <w:tc>
          <w:tcPr>
            <w:tcW w:w="58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line="183" w:lineRule="exact"/>
              <w:rPr>
                <w:sz w:val="20"/>
                <w:szCs w:val="20"/>
                <w:color w:val="auto"/>
              </w:rPr>
            </w:pPr>
            <w:r>
              <w:rPr>
                <w:rFonts w:ascii="Arial" w:cs="Arial" w:eastAsia="Arial" w:hAnsi="Arial"/>
                <w:sz w:val="17"/>
                <w:szCs w:val="17"/>
                <w:color w:val="auto"/>
              </w:rPr>
              <w:t>8.00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N/A</w:t>
            </w:r>
          </w:p>
        </w:tc>
        <w:tc>
          <w:tcPr>
            <w:tcW w:w="60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7"/>
                <w:szCs w:val="17"/>
                <w:color w:val="auto"/>
              </w:rPr>
              <w:t>Stock-based compensation expense allocated to:</w:t>
            </w: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Direct costs, excluding depreciation and</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9,243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4,399</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5,422</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40"/>
              <w:spacing w:after="0" w:line="189" w:lineRule="exact"/>
              <w:rPr>
                <w:sz w:val="20"/>
                <w:szCs w:val="20"/>
                <w:color w:val="auto"/>
              </w:rPr>
            </w:pPr>
            <w:r>
              <w:rPr>
                <w:rFonts w:ascii="Arial" w:cs="Arial" w:eastAsia="Arial" w:hAnsi="Arial"/>
                <w:sz w:val="17"/>
                <w:szCs w:val="17"/>
                <w:color w:val="auto"/>
              </w:rPr>
              <w:t>Selling, general and administrative</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13,081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1,024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1,918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22,324</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5,423</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7,340</w:t>
            </w:r>
          </w:p>
        </w:tc>
        <w:tc>
          <w:tcPr>
            <w:tcW w:w="60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Activity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Successor’s and Predecessor’s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1960" w:type="dxa"/>
            <w:vAlign w:val="bottom"/>
            <w:gridSpan w:val="6"/>
          </w:tcPr>
          <w:p>
            <w:pPr>
              <w:jc w:val="right"/>
              <w:ind w:right="600"/>
              <w:spacing w:after="0" w:line="143" w:lineRule="exact"/>
              <w:rPr>
                <w:sz w:val="20"/>
                <w:szCs w:val="20"/>
                <w:color w:val="auto"/>
              </w:rPr>
            </w:pPr>
            <w:r>
              <w:rPr>
                <w:rFonts w:ascii="Arial" w:cs="Arial" w:eastAsia="Arial" w:hAnsi="Arial"/>
                <w:sz w:val="14"/>
                <w:szCs w:val="14"/>
                <w:b w:val="1"/>
                <w:bCs w:val="1"/>
                <w:color w:val="auto"/>
              </w:rPr>
              <w:t>YEAR ENDED</w:t>
            </w:r>
          </w:p>
        </w:tc>
        <w:tc>
          <w:tcPr>
            <w:tcW w:w="1760" w:type="dxa"/>
            <w:vAlign w:val="bottom"/>
            <w:gridSpan w:val="4"/>
          </w:tcPr>
          <w:p>
            <w:pPr>
              <w:jc w:val="right"/>
              <w:ind w:right="26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6"/>
          </w:tcPr>
          <w:p>
            <w:pPr>
              <w:jc w:val="right"/>
              <w:ind w:right="560"/>
              <w:spacing w:after="0" w:line="143" w:lineRule="exact"/>
              <w:rPr>
                <w:sz w:val="20"/>
                <w:szCs w:val="20"/>
                <w:color w:val="auto"/>
              </w:rPr>
            </w:pPr>
            <w:r>
              <w:rPr>
                <w:rFonts w:ascii="Arial" w:cs="Arial" w:eastAsia="Arial" w:hAnsi="Arial"/>
                <w:sz w:val="14"/>
                <w:szCs w:val="14"/>
                <w:b w:val="1"/>
                <w:bCs w:val="1"/>
                <w:color w:val="auto"/>
              </w:rPr>
              <w:t>PERIOD ENDED</w:t>
            </w:r>
          </w:p>
        </w:tc>
        <w:tc>
          <w:tcPr>
            <w:tcW w:w="1760" w:type="dxa"/>
            <w:vAlign w:val="bottom"/>
            <w:gridSpan w:val="4"/>
          </w:tcPr>
          <w:p>
            <w:pPr>
              <w:jc w:val="right"/>
              <w:ind w:right="320"/>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75"/>
        </w:trPr>
        <w:tc>
          <w:tcPr>
            <w:tcW w:w="3440" w:type="dxa"/>
            <w:vAlign w:val="bottom"/>
          </w:tcPr>
          <w:p>
            <w:pPr>
              <w:spacing w:after="0"/>
              <w:rPr>
                <w:sz w:val="15"/>
                <w:szCs w:val="15"/>
                <w:color w:val="auto"/>
              </w:rPr>
            </w:pPr>
          </w:p>
        </w:tc>
        <w:tc>
          <w:tcPr>
            <w:tcW w:w="19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DECEMBER 31, 2015</w:t>
            </w:r>
          </w:p>
        </w:tc>
        <w:tc>
          <w:tcPr>
            <w:tcW w:w="206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5"/>
                <w:szCs w:val="15"/>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MARCH 31, 2014</w:t>
            </w:r>
          </w:p>
        </w:tc>
        <w:tc>
          <w:tcPr>
            <w:tcW w:w="18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 2013</w:t>
            </w:r>
          </w:p>
        </w:tc>
      </w:tr>
      <w:tr>
        <w:trPr>
          <w:trHeight w:val="142"/>
        </w:trPr>
        <w:tc>
          <w:tcPr>
            <w:tcW w:w="34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AVERAGE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AVERAGE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3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PRICE</w:t>
            </w:r>
          </w:p>
        </w:tc>
        <w:tc>
          <w:tcPr>
            <w:tcW w:w="3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r>
      <w:tr>
        <w:trPr>
          <w:trHeight w:val="183"/>
        </w:trPr>
        <w:tc>
          <w:tcPr>
            <w:tcW w:w="34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Outstanding—Beginning of period</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1,473,130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10.67</w:t>
            </w:r>
          </w:p>
        </w:tc>
        <w:tc>
          <w:tcPr>
            <w:tcW w:w="98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1,438,800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11.03</w:t>
            </w:r>
          </w:p>
        </w:tc>
        <w:tc>
          <w:tcPr>
            <w:tcW w:w="98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1,267,900</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10.00</w:t>
            </w:r>
          </w:p>
        </w:tc>
      </w:tr>
      <w:tr>
        <w:trPr>
          <w:trHeight w:val="189"/>
        </w:trPr>
        <w:tc>
          <w:tcPr>
            <w:tcW w:w="3440" w:type="dxa"/>
            <w:vAlign w:val="bottom"/>
          </w:tcPr>
          <w:p>
            <w:pPr>
              <w:ind w:left="260"/>
              <w:spacing w:after="0"/>
              <w:rPr>
                <w:sz w:val="20"/>
                <w:szCs w:val="20"/>
                <w:color w:val="auto"/>
              </w:rPr>
            </w:pPr>
            <w:r>
              <w:rPr>
                <w:rFonts w:ascii="Arial" w:cs="Arial" w:eastAsia="Arial" w:hAnsi="Arial"/>
                <w:sz w:val="16"/>
                <w:szCs w:val="16"/>
                <w:color w:val="auto"/>
              </w:rPr>
              <w:t>Granted</w:t>
            </w:r>
          </w:p>
        </w:tc>
        <w:tc>
          <w:tcPr>
            <w:tcW w:w="780" w:type="dxa"/>
            <w:vAlign w:val="bottom"/>
          </w:tcPr>
          <w:p>
            <w:pPr>
              <w:jc w:val="right"/>
              <w:spacing w:after="0"/>
              <w:rPr>
                <w:sz w:val="20"/>
                <w:szCs w:val="20"/>
                <w:color w:val="auto"/>
              </w:rPr>
            </w:pPr>
            <w:r>
              <w:rPr>
                <w:rFonts w:ascii="Arial" w:cs="Arial" w:eastAsia="Arial" w:hAnsi="Arial"/>
                <w:sz w:val="16"/>
                <w:szCs w:val="16"/>
                <w:color w:val="auto"/>
              </w:rPr>
              <w:t>1,201,450</w:t>
            </w:r>
          </w:p>
        </w:tc>
        <w:tc>
          <w:tcPr>
            <w:tcW w:w="120" w:type="dxa"/>
            <w:vAlign w:val="bottom"/>
          </w:tcPr>
          <w:p>
            <w:pPr>
              <w:spacing w:after="0"/>
              <w:rPr>
                <w:sz w:val="16"/>
                <w:szCs w:val="16"/>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12.35</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1,528,280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10.67</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378,300</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14.00</w:t>
            </w:r>
          </w:p>
        </w:tc>
      </w:tr>
      <w:tr>
        <w:trPr>
          <w:trHeight w:val="189"/>
        </w:trPr>
        <w:tc>
          <w:tcPr>
            <w:tcW w:w="3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Exercised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(1,388,000)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10.97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(45,200)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189"/>
        </w:trPr>
        <w:tc>
          <w:tcPr>
            <w:tcW w:w="3440" w:type="dxa"/>
            <w:vAlign w:val="bottom"/>
          </w:tcPr>
          <w:p>
            <w:pPr>
              <w:ind w:left="260"/>
              <w:spacing w:after="0"/>
              <w:rPr>
                <w:sz w:val="20"/>
                <w:szCs w:val="20"/>
                <w:color w:val="auto"/>
              </w:rPr>
            </w:pPr>
            <w:r>
              <w:rPr>
                <w:rFonts w:ascii="Arial" w:cs="Arial" w:eastAsia="Arial" w:hAnsi="Arial"/>
                <w:sz w:val="16"/>
                <w:szCs w:val="16"/>
                <w:color w:val="auto"/>
              </w:rPr>
              <w:t>Forfeited</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(227,875)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11.50</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(55,150)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10.67</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(32,200)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12.53</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(162,200)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10.18</w:t>
            </w:r>
          </w:p>
        </w:tc>
      </w:tr>
      <w:tr>
        <w:trPr>
          <w:trHeight w:val="189"/>
        </w:trPr>
        <w:tc>
          <w:tcPr>
            <w:tcW w:w="3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Expired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6"/>
                <w:szCs w:val="16"/>
                <w:color w:val="auto"/>
              </w:rPr>
              <w:t>Outstanding—end of period</w:t>
            </w:r>
          </w:p>
        </w:tc>
        <w:tc>
          <w:tcPr>
            <w:tcW w:w="780" w:type="dxa"/>
            <w:vAlign w:val="bottom"/>
          </w:tcPr>
          <w:p>
            <w:pPr>
              <w:jc w:val="right"/>
              <w:spacing w:after="0"/>
              <w:rPr>
                <w:sz w:val="20"/>
                <w:szCs w:val="20"/>
                <w:color w:val="auto"/>
              </w:rPr>
            </w:pPr>
            <w:r>
              <w:rPr>
                <w:rFonts w:ascii="Arial" w:cs="Arial" w:eastAsia="Arial" w:hAnsi="Arial"/>
                <w:sz w:val="16"/>
                <w:szCs w:val="16"/>
                <w:color w:val="auto"/>
              </w:rPr>
              <w:t>2,423,205</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11.42</w:t>
            </w:r>
          </w:p>
        </w:tc>
        <w:tc>
          <w:tcPr>
            <w:tcW w:w="780" w:type="dxa"/>
            <w:vAlign w:val="bottom"/>
          </w:tcPr>
          <w:p>
            <w:pPr>
              <w:jc w:val="right"/>
              <w:spacing w:after="0"/>
              <w:rPr>
                <w:sz w:val="20"/>
                <w:szCs w:val="20"/>
                <w:color w:val="auto"/>
              </w:rPr>
            </w:pPr>
            <w:r>
              <w:rPr>
                <w:rFonts w:ascii="Arial" w:cs="Arial" w:eastAsia="Arial" w:hAnsi="Arial"/>
                <w:sz w:val="16"/>
                <w:szCs w:val="16"/>
                <w:color w:val="auto"/>
              </w:rPr>
              <w:t>1,473,130</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10.67</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1,438,800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11.03</w:t>
            </w:r>
          </w:p>
        </w:tc>
      </w:tr>
      <w:tr>
        <w:trPr>
          <w:trHeight w:val="20"/>
        </w:trPr>
        <w:tc>
          <w:tcPr>
            <w:tcW w:w="3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Exercisable—end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327,970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395,588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20"/>
        </w:trPr>
        <w:tc>
          <w:tcPr>
            <w:tcW w:w="3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568"/>
        </w:trPr>
        <w:tc>
          <w:tcPr>
            <w:tcW w:w="3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color w:val="auto"/>
              </w:rPr>
              <w:t>F-30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 and Predecessor’s Restricted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380" w:type="dxa"/>
            <w:vAlign w:val="bottom"/>
            <w:gridSpan w:val="5"/>
          </w:tcPr>
          <w:p>
            <w:pPr>
              <w:ind w:left="840"/>
              <w:spacing w:after="0"/>
              <w:rPr>
                <w:sz w:val="20"/>
                <w:szCs w:val="20"/>
                <w:color w:val="auto"/>
              </w:rPr>
            </w:pPr>
            <w:r>
              <w:rPr>
                <w:rFonts w:ascii="Arial" w:cs="Arial" w:eastAsia="Arial" w:hAnsi="Arial"/>
                <w:sz w:val="14"/>
                <w:szCs w:val="14"/>
                <w:b w:val="1"/>
                <w:bCs w:val="1"/>
                <w:color w:val="auto"/>
              </w:rPr>
              <w:t>SUCCESSOR</w:t>
            </w:r>
          </w:p>
        </w:tc>
        <w:tc>
          <w:tcPr>
            <w:tcW w:w="26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6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YEAR ENDED</w:t>
            </w: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5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CCEEFF"/>
              <w:right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 and unvested—beginning of period</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549,654</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176,643</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216,898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40"/>
              <w:spacing w:after="0" w:line="189" w:lineRule="exact"/>
              <w:rPr>
                <w:sz w:val="20"/>
                <w:szCs w:val="20"/>
                <w:color w:val="auto"/>
              </w:rPr>
            </w:pPr>
            <w:r>
              <w:rPr>
                <w:rFonts w:ascii="Arial" w:cs="Arial" w:eastAsia="Arial" w:hAnsi="Arial"/>
                <w:sz w:val="17"/>
                <w:szCs w:val="17"/>
                <w:color w:val="auto"/>
              </w:rPr>
              <w:t>Granted</w:t>
            </w: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1,692,900</w:t>
            </w:r>
          </w:p>
        </w:tc>
        <w:tc>
          <w:tcPr>
            <w:tcW w:w="1620" w:type="dxa"/>
            <w:vAlign w:val="bottom"/>
            <w:tcBorders>
              <w:right w:val="single" w:sz="8" w:color="auto"/>
            </w:tcBorders>
            <w:gridSpan w:val="2"/>
          </w:tcPr>
          <w:p>
            <w:pPr>
              <w:jc w:val="right"/>
              <w:ind w:right="500"/>
              <w:spacing w:after="0" w:line="189" w:lineRule="exact"/>
              <w:rPr>
                <w:sz w:val="20"/>
                <w:szCs w:val="20"/>
                <w:color w:val="auto"/>
              </w:rPr>
            </w:pPr>
            <w:r>
              <w:rPr>
                <w:rFonts w:ascii="Arial" w:cs="Arial" w:eastAsia="Arial" w:hAnsi="Arial"/>
                <w:sz w:val="17"/>
                <w:szCs w:val="17"/>
                <w:color w:val="auto"/>
              </w:rPr>
              <w:t>955,490</w:t>
            </w:r>
          </w:p>
        </w:tc>
        <w:tc>
          <w:tcPr>
            <w:tcW w:w="300" w:type="dxa"/>
            <w:vAlign w:val="bottom"/>
          </w:tcPr>
          <w:p>
            <w:pPr>
              <w:spacing w:after="0"/>
              <w:rPr>
                <w:sz w:val="16"/>
                <w:szCs w:val="16"/>
                <w:color w:val="auto"/>
              </w:rPr>
            </w:pPr>
          </w:p>
        </w:tc>
        <w:tc>
          <w:tcPr>
            <w:tcW w:w="15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59,990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Vested</w:t>
            </w:r>
          </w:p>
        </w:tc>
        <w:tc>
          <w:tcPr>
            <w:tcW w:w="14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(2,066,734)</w:t>
            </w:r>
          </w:p>
        </w:tc>
        <w:tc>
          <w:tcPr>
            <w:tcW w:w="1620" w:type="dxa"/>
            <w:vAlign w:val="bottom"/>
            <w:tcBorders>
              <w:right w:val="single" w:sz="8" w:color="auto"/>
            </w:tcBorders>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(382,196)</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(172,492)</w:t>
            </w:r>
          </w:p>
        </w:tc>
        <w:tc>
          <w:tcPr>
            <w:tcW w:w="11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40"/>
              <w:spacing w:after="0" w:line="189" w:lineRule="exact"/>
              <w:rPr>
                <w:sz w:val="20"/>
                <w:szCs w:val="20"/>
                <w:color w:val="auto"/>
              </w:rPr>
            </w:pPr>
            <w:r>
              <w:rPr>
                <w:rFonts w:ascii="Arial" w:cs="Arial" w:eastAsia="Arial" w:hAnsi="Arial"/>
                <w:sz w:val="17"/>
                <w:szCs w:val="17"/>
                <w:color w:val="auto"/>
              </w:rPr>
              <w:t>Forfeited</w:t>
            </w:r>
          </w:p>
        </w:tc>
        <w:tc>
          <w:tcPr>
            <w:tcW w:w="14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(53,820)</w:t>
            </w:r>
          </w:p>
        </w:tc>
        <w:tc>
          <w:tcPr>
            <w:tcW w:w="1620" w:type="dxa"/>
            <w:vAlign w:val="bottom"/>
            <w:tcBorders>
              <w:right w:val="single" w:sz="8" w:color="auto"/>
            </w:tcBorders>
            <w:gridSpan w:val="2"/>
          </w:tcPr>
          <w:p>
            <w:pPr>
              <w:jc w:val="right"/>
              <w:ind w:right="440"/>
              <w:spacing w:after="0" w:line="189" w:lineRule="exact"/>
              <w:rPr>
                <w:sz w:val="20"/>
                <w:szCs w:val="20"/>
                <w:color w:val="auto"/>
              </w:rPr>
            </w:pPr>
            <w:r>
              <w:rPr>
                <w:rFonts w:ascii="Arial" w:cs="Arial" w:eastAsia="Arial" w:hAnsi="Arial"/>
                <w:sz w:val="17"/>
                <w:szCs w:val="17"/>
                <w:color w:val="auto"/>
              </w:rPr>
              <w:t>(23,640)</w:t>
            </w:r>
          </w:p>
        </w:tc>
        <w:tc>
          <w:tcPr>
            <w:tcW w:w="300" w:type="dxa"/>
            <w:vAlign w:val="bottom"/>
          </w:tcPr>
          <w:p>
            <w:pPr>
              <w:spacing w:after="0"/>
              <w:rPr>
                <w:sz w:val="16"/>
                <w:szCs w:val="16"/>
                <w:color w:val="auto"/>
              </w:rPr>
            </w:pPr>
          </w:p>
        </w:tc>
        <w:tc>
          <w:tcPr>
            <w:tcW w:w="15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(4,151)</w:t>
            </w: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and unvested—end of period</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122,000</w:t>
            </w:r>
          </w:p>
        </w:tc>
        <w:tc>
          <w:tcPr>
            <w:tcW w:w="1620" w:type="dxa"/>
            <w:vAlign w:val="bottom"/>
            <w:tcBorders>
              <w:right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549,654</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176,643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Cumulative vested shares—end of period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gridSpan w:val="2"/>
            <w:vMerge w:val="continue"/>
          </w:tcPr>
          <w:p>
            <w:pPr>
              <w:spacing w:after="0"/>
              <w:rPr>
                <w:sz w:val="15"/>
                <w:szCs w:val="15"/>
                <w:color w:val="auto"/>
              </w:rPr>
            </w:pPr>
          </w:p>
        </w:tc>
        <w:tc>
          <w:tcPr>
            <w:tcW w:w="146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2,448,930</w:t>
            </w:r>
          </w:p>
        </w:tc>
        <w:tc>
          <w:tcPr>
            <w:tcW w:w="1620" w:type="dxa"/>
            <w:vAlign w:val="bottom"/>
            <w:tcBorders>
              <w:right w:val="single" w:sz="8" w:color="auto"/>
            </w:tcBorders>
            <w:gridSpan w:val="2"/>
          </w:tcPr>
          <w:p>
            <w:pPr>
              <w:jc w:val="right"/>
              <w:ind w:right="500"/>
              <w:spacing w:after="0" w:line="183" w:lineRule="exact"/>
              <w:rPr>
                <w:sz w:val="20"/>
                <w:szCs w:val="20"/>
                <w:color w:val="auto"/>
              </w:rPr>
            </w:pPr>
            <w:r>
              <w:rPr>
                <w:rFonts w:ascii="Arial" w:cs="Arial" w:eastAsia="Arial" w:hAnsi="Arial"/>
                <w:sz w:val="17"/>
                <w:szCs w:val="17"/>
                <w:color w:val="auto"/>
              </w:rPr>
              <w:t>382,196</w:t>
            </w:r>
          </w:p>
        </w:tc>
        <w:tc>
          <w:tcPr>
            <w:tcW w:w="300" w:type="dxa"/>
            <w:vAlign w:val="bottom"/>
          </w:tcPr>
          <w:p>
            <w:pPr>
              <w:spacing w:after="0"/>
              <w:rPr>
                <w:sz w:val="15"/>
                <w:szCs w:val="15"/>
                <w:color w:val="auto"/>
              </w:rPr>
            </w:pPr>
          </w:p>
        </w:tc>
        <w:tc>
          <w:tcPr>
            <w:tcW w:w="150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263,490</w:t>
            </w:r>
          </w:p>
        </w:tc>
        <w:tc>
          <w:tcPr>
            <w:tcW w:w="11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During the Successor year ended December 31, 2015 and the Successor Period ended December 31, 2014, 787,160 and 382,196 Restricted Shares were granted and immediately vested upon issuance (the “Vested Shares”), respectively. The stock-based compensation liability related to 312,160 and 382,196 Vested Shares granted during the Successor year ended December 31, 2015 and the Successor Period ended December 31, 2014, respectively, were settled by exchanging the awards for Medpace Investors’ Incentive Units. The stock-based liability related to the residual 475,000 Vested Shares granted during the Successor year ended December 31, 2015 were settled by exchanging the awards for the Company’s common stock.</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information about stock options expected to vest, stock options exercisable, and unvested restricted share awards expected to vest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SUCCESSOR YEAR ENDED</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2"/>
        </w:trPr>
        <w:tc>
          <w:tcPr>
            <w:tcW w:w="6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163"/>
        </w:trPr>
        <w:tc>
          <w:tcPr>
            <w:tcW w:w="250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7"/>
                <w:szCs w:val="17"/>
                <w:color w:val="auto"/>
              </w:rPr>
              <w:t>December 31, 2015</w:t>
            </w:r>
          </w:p>
        </w:tc>
        <w:tc>
          <w:tcPr>
            <w:tcW w:w="3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Number of stock options expected to vest</w:t>
            </w:r>
          </w:p>
        </w:tc>
        <w:tc>
          <w:tcPr>
            <w:tcW w:w="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11.54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1,989,761</w:t>
            </w:r>
          </w:p>
        </w:tc>
        <w:tc>
          <w:tcPr>
            <w:tcW w:w="14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Number of Restricted Shares expected to vest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115,900</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7"/>
                <w:szCs w:val="17"/>
                <w:color w:val="auto"/>
              </w:rPr>
              <w:t>Total expected to vest—December 31, 2015</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1,989,761</w:t>
            </w:r>
          </w:p>
        </w:tc>
        <w:tc>
          <w:tcPr>
            <w:tcW w:w="14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7"/>
                <w:szCs w:val="17"/>
                <w:color w:val="auto"/>
              </w:rPr>
              <w:t>115,900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Total stock options exercisable—December 31, 2015</w:t>
            </w:r>
          </w:p>
        </w:tc>
        <w:tc>
          <w:tcPr>
            <w:tcW w:w="28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10.67</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520"/>
              <w:spacing w:after="0" w:line="183" w:lineRule="exact"/>
              <w:rPr>
                <w:sz w:val="20"/>
                <w:szCs w:val="20"/>
                <w:color w:val="auto"/>
              </w:rPr>
            </w:pPr>
            <w:r>
              <w:rPr>
                <w:rFonts w:ascii="Arial" w:cs="Arial" w:eastAsia="Arial" w:hAnsi="Arial"/>
                <w:sz w:val="17"/>
                <w:szCs w:val="17"/>
                <w:color w:val="auto"/>
              </w:rPr>
              <w:t>327,970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7"/>
                <w:szCs w:val="17"/>
                <w:color w:val="auto"/>
              </w:rPr>
              <w:t>Unrecognized compensation cost—December 31, 2015 (in thousands)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7"/>
                <w:szCs w:val="17"/>
                <w:color w:val="auto"/>
              </w:rPr>
              <w:t>1,254</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20"/>
              <w:spacing w:after="0" w:line="183" w:lineRule="exact"/>
              <w:rPr>
                <w:sz w:val="20"/>
                <w:szCs w:val="20"/>
                <w:color w:val="auto"/>
              </w:rPr>
            </w:pPr>
            <w:r>
              <w:rPr>
                <w:rFonts w:ascii="Arial" w:cs="Arial" w:eastAsia="Arial" w:hAnsi="Arial"/>
                <w:sz w:val="17"/>
                <w:szCs w:val="17"/>
                <w:color w:val="auto"/>
              </w:rPr>
              <w:t>3,653</w:t>
            </w:r>
          </w:p>
        </w:tc>
        <w:tc>
          <w:tcPr>
            <w:tcW w:w="1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rPr>
              <w:t>Weighted average years over which unrecognized compensation cost will</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be recognized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500" w:type="dxa"/>
            <w:vAlign w:val="bottom"/>
          </w:tcPr>
          <w:p>
            <w:pPr>
              <w:spacing w:after="0"/>
              <w:rPr>
                <w:sz w:val="24"/>
                <w:szCs w:val="24"/>
                <w:color w:val="auto"/>
              </w:rPr>
            </w:pPr>
          </w:p>
        </w:tc>
        <w:tc>
          <w:tcPr>
            <w:tcW w:w="3540" w:type="dxa"/>
            <w:vAlign w:val="bottom"/>
          </w:tcPr>
          <w:p>
            <w:pPr>
              <w:ind w:left="3040"/>
              <w:spacing w:after="0"/>
              <w:rPr>
                <w:sz w:val="20"/>
                <w:szCs w:val="20"/>
                <w:color w:val="auto"/>
              </w:rPr>
            </w:pPr>
            <w:r>
              <w:rPr>
                <w:rFonts w:ascii="Arial" w:cs="Arial" w:eastAsia="Arial" w:hAnsi="Arial"/>
                <w:sz w:val="16"/>
                <w:szCs w:val="16"/>
                <w:color w:val="auto"/>
              </w:rPr>
              <w:t>F-31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The following table sets forth the aggregate intrinsic value of stock options exercised, the fair values of awards vested, and share based liabilities settled during the respective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14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8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5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right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intrinsic value of stock options exercised</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25,378</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5"/>
                <w:szCs w:val="15"/>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7"/>
                <w:szCs w:val="17"/>
                <w:color w:val="auto"/>
              </w:rPr>
              <w:t>Total grant-date fair value of stock options vested</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1,168</w:t>
            </w:r>
          </w:p>
        </w:tc>
        <w:tc>
          <w:tcPr>
            <w:tcW w:w="54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ind w:left="4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3,446</w:t>
            </w:r>
          </w:p>
        </w:tc>
        <w:tc>
          <w:tcPr>
            <w:tcW w:w="60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1,034</w:t>
            </w:r>
          </w:p>
        </w:tc>
      </w:tr>
      <w:tr>
        <w:trPr>
          <w:trHeight w:val="189"/>
        </w:trPr>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grant-date fair value of restricted shares vested</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18,284</w:t>
            </w:r>
          </w:p>
        </w:tc>
        <w:tc>
          <w:tcPr>
            <w:tcW w:w="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3,057</w:t>
            </w:r>
          </w:p>
        </w:tc>
        <w:tc>
          <w:tcPr>
            <w:tcW w:w="62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1,466</w:t>
            </w:r>
          </w:p>
        </w:tc>
        <w:tc>
          <w:tcPr>
            <w:tcW w:w="60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773</w:t>
            </w:r>
          </w:p>
        </w:tc>
      </w:tr>
      <w:tr>
        <w:trPr>
          <w:trHeight w:val="183"/>
        </w:trPr>
        <w:tc>
          <w:tcPr>
            <w:tcW w:w="4560" w:type="dxa"/>
            <w:vAlign w:val="bottom"/>
          </w:tcPr>
          <w:p>
            <w:pPr>
              <w:spacing w:after="0" w:line="183" w:lineRule="exact"/>
              <w:rPr>
                <w:sz w:val="20"/>
                <w:szCs w:val="20"/>
                <w:color w:val="auto"/>
              </w:rPr>
            </w:pPr>
            <w:r>
              <w:rPr>
                <w:rFonts w:ascii="Arial" w:cs="Arial" w:eastAsia="Arial" w:hAnsi="Arial"/>
                <w:sz w:val="17"/>
                <w:szCs w:val="17"/>
                <w:color w:val="auto"/>
              </w:rPr>
              <w:t>Total settlement date fair value of restricted shares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4560" w:type="dxa"/>
            <w:vAlign w:val="bottom"/>
          </w:tcPr>
          <w:p>
            <w:pPr>
              <w:ind w:left="260"/>
              <w:spacing w:after="0"/>
              <w:rPr>
                <w:sz w:val="20"/>
                <w:szCs w:val="20"/>
                <w:color w:val="auto"/>
              </w:rPr>
            </w:pPr>
            <w:r>
              <w:rPr>
                <w:rFonts w:ascii="Arial" w:cs="Arial" w:eastAsia="Arial" w:hAnsi="Arial"/>
                <w:sz w:val="17"/>
                <w:szCs w:val="17"/>
                <w:color w:val="auto"/>
              </w:rPr>
              <w:t>vested</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21,134</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7"/>
                <w:szCs w:val="17"/>
                <w:color w:val="auto"/>
              </w:rPr>
              <w:t>3,057</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70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ind w:left="480"/>
              <w:spacing w:after="0"/>
              <w:rPr>
                <w:sz w:val="20"/>
                <w:szCs w:val="20"/>
                <w:color w:val="auto"/>
              </w:rPr>
            </w:pPr>
            <w:r>
              <w:rPr>
                <w:rFonts w:ascii="Arial" w:cs="Arial" w:eastAsia="Arial" w:hAnsi="Arial"/>
                <w:sz w:val="17"/>
                <w:szCs w:val="17"/>
                <w:color w:val="auto"/>
              </w:rPr>
              <w:t>N/A</w:t>
            </w:r>
          </w:p>
        </w:tc>
      </w:tr>
      <w:tr>
        <w:trPr>
          <w:trHeight w:val="189"/>
        </w:trPr>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liabilities settled</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16,858</w:t>
            </w:r>
          </w:p>
        </w:tc>
        <w:tc>
          <w:tcPr>
            <w:tcW w:w="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3,057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700"/>
              <w:spacing w:after="0" w:line="189" w:lineRule="exact"/>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stock-based compensation liability of $3.6 million at December 31, 2015 is related to outstanding stock options. The stock-based compensation liability of $2.4 million at December 31, 2014 is related to outstanding stock options and unvested Restricted Awards. Further, $1.7 million and $1.3 million is included in Other current liabilities and $1.9 million and $1.1 million is included in Other long-term liabilities in the consolidated balance sheets at December 31, 2015 and 2014, respectively.</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actual tax benefits recognized related to stock-based compensation totaled $4.6 million, $3.3 million, $8.2 million, and $0.1 million for the Successor year ended December 31, 2015, the Successor Period ended December 31, 2014, the Predecessor Period ended March 31, 2014, and the Predecessor year ended December 31, 2013,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80"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$1.7 million, $1.1 million, $0.3 million, and $1.2 million during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3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various defined contribution arrangements for eligible employees of non-U.S. entities. These defined contribution arrangements provide employees with retirement savings and life insurance benefits. The Company incurred expenses related to these arrangements of $0.7 million, $0.5 million, $0.2 million, and $0.5 million in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15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income before income taxes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36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2"/>
                <w:szCs w:val="12"/>
                <w:color w:val="auto"/>
              </w:rPr>
            </w:pPr>
          </w:p>
        </w:tc>
        <w:tc>
          <w:tcPr>
            <w:tcW w:w="11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6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24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8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7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right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Domestic</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(12,294)</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(23,893)</w:t>
            </w:r>
          </w:p>
        </w:tc>
        <w:tc>
          <w:tcPr>
            <w:tcW w:w="640" w:type="dxa"/>
            <w:vAlign w:val="bottom"/>
            <w:tcBorders>
              <w:right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(1,069)</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37,046</w:t>
            </w:r>
          </w:p>
        </w:tc>
        <w:tc>
          <w:tcPr>
            <w:tcW w:w="100" w:type="dxa"/>
            <w:vAlign w:val="bottom"/>
            <w:shd w:val="clear" w:color="auto" w:fill="CCEEFF"/>
          </w:tcPr>
          <w:p>
            <w:pPr>
              <w:spacing w:after="0"/>
              <w:rPr>
                <w:sz w:val="15"/>
                <w:szCs w:val="15"/>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7"/>
                <w:szCs w:val="17"/>
                <w:color w:val="auto"/>
              </w:rPr>
              <w:t>Foreign jurisdictions</w:t>
            </w:r>
          </w:p>
        </w:tc>
        <w:tc>
          <w:tcPr>
            <w:tcW w:w="240" w:type="dxa"/>
            <w:vAlign w:val="bottom"/>
          </w:tcPr>
          <w:p>
            <w:pPr>
              <w:spacing w:after="0"/>
              <w:rPr>
                <w:sz w:val="16"/>
                <w:szCs w:val="16"/>
                <w:color w:val="auto"/>
              </w:rPr>
            </w:pPr>
          </w:p>
        </w:tc>
        <w:tc>
          <w:tcPr>
            <w:tcW w:w="11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4,464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Borders>
              <w:right w:val="single" w:sz="8" w:color="auto"/>
            </w:tcBorders>
            <w:gridSpan w:val="2"/>
          </w:tcPr>
          <w:p>
            <w:pPr>
              <w:jc w:val="right"/>
              <w:ind w:right="640"/>
              <w:spacing w:after="0" w:line="189" w:lineRule="exact"/>
              <w:rPr>
                <w:sz w:val="20"/>
                <w:szCs w:val="20"/>
                <w:color w:val="auto"/>
              </w:rPr>
            </w:pPr>
            <w:r>
              <w:rPr>
                <w:rFonts w:ascii="Arial" w:cs="Arial" w:eastAsia="Arial" w:hAnsi="Arial"/>
                <w:sz w:val="17"/>
                <w:szCs w:val="17"/>
                <w:color w:val="auto"/>
              </w:rPr>
              <w:t>2,854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847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2,099</w:t>
            </w:r>
          </w:p>
        </w:tc>
      </w:tr>
      <w:tr>
        <w:trPr>
          <w:trHeight w:val="27"/>
        </w:trPr>
        <w:tc>
          <w:tcPr>
            <w:tcW w:w="4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8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(Loss) income before income taxes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(7,830)</w:t>
            </w:r>
          </w:p>
        </w:tc>
        <w:tc>
          <w:tcPr>
            <w:tcW w:w="54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1460" w:type="dxa"/>
            <w:vAlign w:val="bottom"/>
            <w:tcBorders>
              <w:right w:val="single" w:sz="8" w:color="auto"/>
            </w:tcBorders>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(21,039)</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(222)</w:t>
            </w:r>
          </w:p>
        </w:tc>
        <w:tc>
          <w:tcPr>
            <w:tcW w:w="5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39,145</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(benefit)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DEFERRED</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5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Successor Year ended December 31, 2015:</w:t>
            </w:r>
          </w:p>
        </w:tc>
        <w:tc>
          <w:tcPr>
            <w:tcW w:w="3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11,067</w:t>
            </w:r>
          </w:p>
        </w:tc>
        <w:tc>
          <w:tcPr>
            <w:tcW w:w="3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(11,995)</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1,372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1,413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13,558</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Successor Period ended December 31, 2014:</w:t>
            </w: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1,817</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(8,941)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(7,124)</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245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(606)</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853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3900" w:type="dxa"/>
            <w:vAlign w:val="bottom"/>
            <w:gridSpan w:val="2"/>
          </w:tcPr>
          <w:p>
            <w:pPr>
              <w:ind w:left="37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2,915</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(9,618)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(6,703)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Predecessor Period ended March 31, 2014:</w:t>
            </w:r>
          </w:p>
        </w:tc>
        <w:tc>
          <w:tcPr>
            <w:tcW w:w="3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342</w:t>
            </w:r>
          </w:p>
        </w:tc>
        <w:tc>
          <w:tcPr>
            <w:tcW w:w="3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659</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1,001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(321)</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714</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Predecessor Year ended December 31, 2013:</w:t>
            </w: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6,165</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6,352</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12,517</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784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1,795</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860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3900" w:type="dxa"/>
            <w:vAlign w:val="bottom"/>
            <w:gridSpan w:val="2"/>
          </w:tcPr>
          <w:p>
            <w:pPr>
              <w:ind w:left="37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8,036</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6,265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14,301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520" w:type="dxa"/>
            <w:vAlign w:val="bottom"/>
          </w:tcPr>
          <w:p>
            <w:pPr>
              <w:spacing w:after="0"/>
              <w:rPr>
                <w:sz w:val="24"/>
                <w:szCs w:val="24"/>
                <w:color w:val="auto"/>
              </w:rPr>
            </w:pPr>
          </w:p>
        </w:tc>
        <w:tc>
          <w:tcPr>
            <w:tcW w:w="3900" w:type="dxa"/>
            <w:vAlign w:val="bottom"/>
            <w:gridSpan w:val="2"/>
          </w:tcPr>
          <w:p>
            <w:pPr>
              <w:ind w:left="1020"/>
              <w:spacing w:after="0"/>
              <w:rPr>
                <w:sz w:val="20"/>
                <w:szCs w:val="20"/>
                <w:color w:val="auto"/>
              </w:rPr>
            </w:pPr>
            <w:r>
              <w:rPr>
                <w:rFonts w:ascii="Arial" w:cs="Arial" w:eastAsia="Arial" w:hAnsi="Arial"/>
                <w:sz w:val="16"/>
                <w:szCs w:val="16"/>
                <w:color w:val="auto"/>
              </w:rPr>
              <w:t>F-33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statutory rate for federal income tax and the effective income tax rate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SUCCESSOR</w:t>
            </w:r>
          </w:p>
        </w:tc>
        <w:tc>
          <w:tcPr>
            <w:tcW w:w="500" w:type="dxa"/>
            <w:vAlign w:val="bottom"/>
            <w:tcBorders>
              <w:bottom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320"/>
              <w:spacing w:after="0" w:line="143" w:lineRule="exact"/>
              <w:rPr>
                <w:sz w:val="20"/>
                <w:szCs w:val="20"/>
                <w:color w:val="auto"/>
              </w:rPr>
            </w:pPr>
            <w:r>
              <w:rPr>
                <w:rFonts w:ascii="Arial" w:cs="Arial" w:eastAsia="Arial" w:hAnsi="Arial"/>
                <w:sz w:val="14"/>
                <w:szCs w:val="14"/>
                <w:b w:val="1"/>
                <w:bCs w:val="1"/>
                <w:color w:val="auto"/>
              </w:rPr>
              <w:t>YEAR ENDED</w:t>
            </w:r>
          </w:p>
        </w:tc>
        <w:tc>
          <w:tcPr>
            <w:tcW w:w="134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PERIOD ENDED</w:t>
            </w:r>
          </w:p>
        </w:tc>
        <w:tc>
          <w:tcPr>
            <w:tcW w:w="80" w:type="dxa"/>
            <w:vAlign w:val="bottom"/>
          </w:tcPr>
          <w:p>
            <w:pPr>
              <w:spacing w:after="0"/>
              <w:rPr>
                <w:sz w:val="12"/>
                <w:szCs w:val="12"/>
                <w:color w:val="auto"/>
              </w:rPr>
            </w:pPr>
          </w:p>
        </w:tc>
        <w:tc>
          <w:tcPr>
            <w:tcW w:w="14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tcBorders>
              <w:right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96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Income tax expense calculated at the federal statutory rate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right w:val="single" w:sz="8" w:color="CCEEFF"/>
            </w:tcBorders>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w w:val="96"/>
              </w:rPr>
              <w:t>(2,740)</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w w:val="97"/>
              </w:rPr>
              <w:t>$(7,363)</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35.0%</w:t>
            </w:r>
          </w:p>
        </w:tc>
        <w:tc>
          <w:tcPr>
            <w:tcW w:w="3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(78)</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gridSpan w:val="2"/>
            <w:shd w:val="clear" w:color="auto" w:fill="CCEEFF"/>
          </w:tcPr>
          <w:p>
            <w:pPr>
              <w:jc w:val="right"/>
              <w:ind w:right="240"/>
              <w:spacing w:after="0" w:line="183" w:lineRule="exact"/>
              <w:rPr>
                <w:sz w:val="20"/>
                <w:szCs w:val="20"/>
                <w:color w:val="auto"/>
              </w:rPr>
            </w:pPr>
            <w:r>
              <w:rPr>
                <w:rFonts w:ascii="Arial" w:cs="Arial" w:eastAsia="Arial" w:hAnsi="Arial"/>
                <w:sz w:val="17"/>
                <w:szCs w:val="17"/>
                <w:color w:val="auto"/>
              </w:rPr>
              <w:t>$13,701</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720" w:type="dxa"/>
            <w:vAlign w:val="bottom"/>
          </w:tcPr>
          <w:p>
            <w:pPr>
              <w:spacing w:after="0" w:line="189" w:lineRule="exact"/>
              <w:rPr>
                <w:sz w:val="20"/>
                <w:szCs w:val="20"/>
                <w:color w:val="auto"/>
              </w:rPr>
            </w:pPr>
            <w:r>
              <w:rPr>
                <w:rFonts w:ascii="Arial" w:cs="Arial" w:eastAsia="Arial" w:hAnsi="Arial"/>
                <w:sz w:val="17"/>
                <w:szCs w:val="17"/>
                <w:color w:val="auto"/>
              </w:rPr>
              <w:t>Effect of:</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State and local taxes, net of federal benefit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487</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(6.2)</w:t>
            </w:r>
          </w:p>
        </w:tc>
        <w:tc>
          <w:tcPr>
            <w:tcW w:w="84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219</w:t>
            </w:r>
          </w:p>
        </w:tc>
        <w:tc>
          <w:tcPr>
            <w:tcW w:w="820" w:type="dxa"/>
            <w:vAlign w:val="bottom"/>
            <w:tcBorders>
              <w:right w:val="single" w:sz="8" w:color="auto"/>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208</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(93.8)</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1,189</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w:t>
            </w: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Tax on foreign earnings, net of tax credits and deductions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(330)</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4.2</w:t>
            </w:r>
          </w:p>
        </w:tc>
        <w:tc>
          <w:tcPr>
            <w:tcW w:w="220" w:type="dxa"/>
            <w:vAlign w:val="bottom"/>
          </w:tcPr>
          <w:p>
            <w:pPr>
              <w:spacing w:after="0"/>
              <w:rPr>
                <w:sz w:val="16"/>
                <w:szCs w:val="16"/>
                <w:color w:val="auto"/>
              </w:rPr>
            </w:pP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(261)</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3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(440)</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197.8</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(746)</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w:t>
            </w: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 in valuation allowance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789</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(354.3)</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Permanent items: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Goodwill impairment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2,106</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(26.9)</w:t>
            </w:r>
          </w:p>
        </w:tc>
        <w:tc>
          <w:tcPr>
            <w:tcW w:w="84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tcPr>
          <w:p>
            <w:pPr>
              <w:ind w:left="520"/>
              <w:spacing w:after="0" w:line="189" w:lineRule="exact"/>
              <w:rPr>
                <w:sz w:val="20"/>
                <w:szCs w:val="20"/>
                <w:color w:val="auto"/>
              </w:rPr>
            </w:pPr>
            <w:r>
              <w:rPr>
                <w:rFonts w:ascii="Arial" w:cs="Arial" w:eastAsia="Arial" w:hAnsi="Arial"/>
                <w:sz w:val="17"/>
                <w:szCs w:val="17"/>
                <w:color w:val="auto"/>
              </w:rPr>
              <w:t>Stock-based awards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778</w:t>
            </w:r>
          </w:p>
        </w:tc>
        <w:tc>
          <w:tcPr>
            <w:tcW w:w="7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(9.9)</w:t>
            </w: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332</w:t>
            </w:r>
          </w:p>
        </w:tc>
        <w:tc>
          <w:tcPr>
            <w:tcW w:w="820" w:type="dxa"/>
            <w:vAlign w:val="bottom"/>
            <w:tcBorders>
              <w:right w:val="single" w:sz="8" w:color="auto"/>
            </w:tcBorders>
            <w:gridSpan w:val="2"/>
          </w:tcPr>
          <w:p>
            <w:pPr>
              <w:jc w:val="right"/>
              <w:ind w:right="260"/>
              <w:spacing w:after="0" w:line="189" w:lineRule="exact"/>
              <w:rPr>
                <w:sz w:val="20"/>
                <w:szCs w:val="20"/>
                <w:color w:val="auto"/>
              </w:rPr>
            </w:pPr>
            <w:r>
              <w:rPr>
                <w:rFonts w:ascii="Arial" w:cs="Arial" w:eastAsia="Arial" w:hAnsi="Arial"/>
                <w:sz w:val="17"/>
                <w:szCs w:val="17"/>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278</w:t>
            </w: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(125.2)</w:t>
            </w:r>
          </w:p>
        </w:tc>
        <w:tc>
          <w:tcPr>
            <w:tcW w:w="8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185</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w:t>
            </w:r>
          </w:p>
        </w:tc>
        <w:tc>
          <w:tcPr>
            <w:tcW w:w="84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730</w:t>
            </w:r>
          </w:p>
        </w:tc>
        <w:tc>
          <w:tcPr>
            <w:tcW w:w="820" w:type="dxa"/>
            <w:vAlign w:val="bottom"/>
            <w:tcBorders>
              <w:right w:val="single" w:sz="8" w:color="auto"/>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296</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(133.1)</w:t>
            </w:r>
          </w:p>
        </w:tc>
        <w:tc>
          <w:tcPr>
            <w:tcW w:w="960" w:type="dxa"/>
            <w:vAlign w:val="bottom"/>
            <w:tcBorders>
              <w:right w:val="single" w:sz="8" w:color="CCEEFF"/>
            </w:tcBorders>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(22)</w:t>
            </w:r>
          </w:p>
        </w:tc>
        <w:tc>
          <w:tcPr>
            <w:tcW w:w="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(0.1)</w:t>
            </w: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State tax credits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(931)</w:t>
            </w: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11.9</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(573)</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3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(208)</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93.6</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(554)</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 in liability for uncertain tax positions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1,250</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(16.0)</w:t>
            </w:r>
          </w:p>
        </w:tc>
        <w:tc>
          <w:tcPr>
            <w:tcW w:w="84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249</w:t>
            </w:r>
          </w:p>
        </w:tc>
        <w:tc>
          <w:tcPr>
            <w:tcW w:w="820" w:type="dxa"/>
            <w:vAlign w:val="bottom"/>
            <w:tcBorders>
              <w:right w:val="single" w:sz="8" w:color="auto"/>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169</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(76.1)</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985</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w:t>
            </w: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(0.5)</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(36)</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0.2</w:t>
            </w:r>
          </w:p>
        </w:tc>
        <w:tc>
          <w:tcPr>
            <w:tcW w:w="3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(252)</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(0.6)</w:t>
            </w:r>
          </w:p>
        </w:tc>
      </w:tr>
      <w:tr>
        <w:trPr>
          <w:trHeight w:val="27"/>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7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843</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(10.8%)</w:t>
            </w:r>
          </w:p>
        </w:tc>
        <w:tc>
          <w:tcPr>
            <w:tcW w:w="84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(6,703)</w:t>
            </w:r>
          </w:p>
        </w:tc>
        <w:tc>
          <w:tcPr>
            <w:tcW w:w="820" w:type="dxa"/>
            <w:vAlign w:val="bottom"/>
            <w:tcBorders>
              <w:right w:val="single" w:sz="8" w:color="auto"/>
            </w:tcBorders>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w w:val="99"/>
              </w:rPr>
              <w:t>31.8%</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3"/>
              </w:rPr>
              <w:t>1,014</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(456.1%)</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14,301</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36.5%</w:t>
            </w: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undistributed earnings of foreign subsidiaries at December 31, 2015 and 2014 were approximately $10.4 million and $8.2 million, respectively, and have been permanently reinvested. It is not practicable to determine the amount of the additional taxes that would result if these earnings were repatriated.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Company’s net deferred tax liability included in the consolidated balance sheets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4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Accrued liabilities</w:t>
            </w:r>
          </w:p>
        </w:tc>
        <w:tc>
          <w:tcPr>
            <w:tcW w:w="4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15,746</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16,802</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Depreciation and amortization</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1,995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2,241</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Foreign operating loss carryforward</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250</w:t>
            </w:r>
          </w:p>
        </w:tc>
        <w:tc>
          <w:tcPr>
            <w:tcW w:w="100" w:type="dxa"/>
            <w:vAlign w:val="bottom"/>
          </w:tcPr>
          <w:p>
            <w:pPr>
              <w:spacing w:after="0"/>
              <w:rPr>
                <w:sz w:val="16"/>
                <w:szCs w:val="16"/>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tax credit carryforward</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 tax credits and carryforward</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w:t>
            </w:r>
          </w:p>
        </w:tc>
        <w:tc>
          <w:tcPr>
            <w:tcW w:w="100" w:type="dxa"/>
            <w:vAlign w:val="bottom"/>
          </w:tcPr>
          <w:p>
            <w:pPr>
              <w:spacing w:after="0"/>
              <w:rPr>
                <w:sz w:val="16"/>
                <w:szCs w:val="16"/>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1,128</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196"/>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Valuation allowance</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(1,021)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deferred tax assets</w:t>
            </w:r>
          </w:p>
        </w:tc>
        <w:tc>
          <w:tcPr>
            <w:tcW w:w="484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18,255</w:t>
            </w: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20,053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Depreciation and amortization</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(38,970)</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(52,791)</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(161)</w:t>
            </w:r>
          </w:p>
        </w:tc>
        <w:tc>
          <w:tcPr>
            <w:tcW w:w="10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520"/>
              <w:spacing w:after="0"/>
              <w:rPr>
                <w:sz w:val="20"/>
                <w:szCs w:val="20"/>
                <w:color w:val="auto"/>
              </w:rPr>
            </w:pPr>
            <w:r>
              <w:rPr>
                <w:rFonts w:ascii="Arial" w:cs="Arial" w:eastAsia="Arial" w:hAnsi="Arial"/>
                <w:sz w:val="17"/>
                <w:szCs w:val="17"/>
                <w:color w:val="auto"/>
              </w:rPr>
              <w:t>Total deferred tax liabilities</w:t>
            </w: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(39,202)</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(53,683)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Net deferred tax liability</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(20,947)</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(33,630)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720" w:type="dxa"/>
            <w:vAlign w:val="bottom"/>
          </w:tcPr>
          <w:p>
            <w:pPr>
              <w:spacing w:after="0"/>
              <w:rPr>
                <w:sz w:val="24"/>
                <w:szCs w:val="24"/>
                <w:color w:val="auto"/>
              </w:rPr>
            </w:pPr>
          </w:p>
        </w:tc>
        <w:tc>
          <w:tcPr>
            <w:tcW w:w="4960" w:type="dxa"/>
            <w:vAlign w:val="bottom"/>
            <w:gridSpan w:val="2"/>
          </w:tcPr>
          <w:p>
            <w:pPr>
              <w:jc w:val="right"/>
              <w:ind w:right="3715"/>
              <w:spacing w:after="0"/>
              <w:rPr>
                <w:sz w:val="20"/>
                <w:szCs w:val="20"/>
                <w:color w:val="auto"/>
              </w:rPr>
            </w:pPr>
            <w:r>
              <w:rPr>
                <w:rFonts w:ascii="Arial" w:cs="Arial" w:eastAsia="Arial" w:hAnsi="Arial"/>
                <w:sz w:val="16"/>
                <w:szCs w:val="16"/>
                <w:color w:val="auto"/>
              </w:rPr>
              <w:t>F-34</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deferred tax asset attributable to U.S. state and local tax credits and carryforwards above includes $0.1 million for U.S. state and local operating loss carryforwards that expire at various times from 2015 to 2029.</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foreign operating loss carryforwards for which a deferred tax asset of $0.3 million has been established. The Company has a valuation allowance of $0.2 million against this deferred tax asset based upon its assessment that it is more likely than not that this amount will not be realized. The ultimate realization of this tax benefit is dependent upon the generation of sufficient operating income in the respective tax jurisdictions. Approximately 92% of the foreign net operating loss carryforwards can be utilized over an indefinite period whereas the remainder will expire in 2020 if not utilized.</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December 2013, the Company recorded an impairment loss of $2.3 million and an associated deferred tax asset of $0.8 million on its cost method investment in a related party. In March 2014, the investment was sold and the company incurred a capital loss. This loss is limited to offset future capital gains which the Company does not anticipate will be generated, thus a valuation allowance of $0.8 million has been recorded as it is more likely than not that realization cannot be assured.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Annual activity related to the Company’s valuation allowance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40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1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7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84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right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Beginning Balance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1,086</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1,103</w:t>
            </w:r>
          </w:p>
        </w:tc>
        <w:tc>
          <w:tcPr>
            <w:tcW w:w="74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305</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7"/>
                <w:szCs w:val="17"/>
                <w:color w:val="auto"/>
              </w:rPr>
              <w:t>Additions charged to expense</w:t>
            </w:r>
          </w:p>
        </w:tc>
        <w:tc>
          <w:tcPr>
            <w:tcW w:w="220" w:type="dxa"/>
            <w:vAlign w:val="bottom"/>
          </w:tcPr>
          <w:p>
            <w:pPr>
              <w:spacing w:after="0"/>
              <w:rPr>
                <w:sz w:val="16"/>
                <w:szCs w:val="16"/>
                <w:color w:val="auto"/>
              </w:rPr>
            </w:pPr>
          </w:p>
        </w:tc>
        <w:tc>
          <w:tcPr>
            <w:tcW w:w="118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4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798</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Reductions from utilization, reassessments and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expirations</w:t>
            </w:r>
          </w:p>
        </w:tc>
        <w:tc>
          <w:tcPr>
            <w:tcW w:w="2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1,021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1,086</w:t>
            </w:r>
          </w:p>
        </w:tc>
        <w:tc>
          <w:tcPr>
            <w:tcW w:w="5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1,103</w:t>
            </w:r>
          </w:p>
        </w:tc>
        <w:tc>
          <w:tcPr>
            <w:tcW w:w="6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20" w:type="dxa"/>
            <w:vAlign w:val="bottom"/>
            <w:gridSpan w:val="3"/>
          </w:tcPr>
          <w:p>
            <w:pPr>
              <w:jc w:val="right"/>
              <w:ind w:right="420"/>
              <w:spacing w:after="0" w:line="143"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1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7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84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right w:val="single" w:sz="8" w:color="auto"/>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Beginning Balance</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1,353</w:t>
            </w: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1,092</w:t>
            </w:r>
          </w:p>
        </w:tc>
        <w:tc>
          <w:tcPr>
            <w:tcW w:w="74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938</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7"/>
                <w:szCs w:val="17"/>
                <w:color w:val="auto"/>
              </w:rPr>
              <w:t>Increases in tax positions for prior years</w:t>
            </w:r>
          </w:p>
        </w:tc>
        <w:tc>
          <w:tcPr>
            <w:tcW w:w="240" w:type="dxa"/>
            <w:vAlign w:val="bottom"/>
          </w:tcPr>
          <w:p>
            <w:pPr>
              <w:spacing w:after="0"/>
              <w:rPr>
                <w:sz w:val="16"/>
                <w:szCs w:val="16"/>
                <w:color w:val="auto"/>
              </w:rPr>
            </w:pP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40"/>
              <w:spacing w:after="0" w:line="189" w:lineRule="exact"/>
              <w:rPr>
                <w:sz w:val="20"/>
                <w:szCs w:val="20"/>
                <w:color w:val="auto"/>
              </w:rPr>
            </w:pPr>
            <w:r>
              <w:rPr>
                <w:rFonts w:ascii="Arial" w:cs="Arial" w:eastAsia="Arial" w:hAnsi="Arial"/>
                <w:sz w:val="17"/>
                <w:szCs w:val="17"/>
                <w:color w:val="auto"/>
              </w:rPr>
              <w:t>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134</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Decreases in tax positions for prior years</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tcBorders>
              <w:right w:val="single" w:sz="8" w:color="auto"/>
            </w:tcBorders>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(8)</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7"/>
                <w:szCs w:val="17"/>
                <w:color w:val="auto"/>
              </w:rPr>
              <w:t>Increases in tax positions for current year</w:t>
            </w:r>
          </w:p>
        </w:tc>
        <w:tc>
          <w:tcPr>
            <w:tcW w:w="240" w:type="dxa"/>
            <w:vAlign w:val="bottom"/>
          </w:tcPr>
          <w:p>
            <w:pPr>
              <w:spacing w:after="0"/>
              <w:rPr>
                <w:sz w:val="16"/>
                <w:szCs w:val="16"/>
                <w:color w:val="auto"/>
              </w:rPr>
            </w:pP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1,265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40"/>
              <w:spacing w:after="0" w:line="189" w:lineRule="exact"/>
              <w:rPr>
                <w:sz w:val="20"/>
                <w:szCs w:val="20"/>
                <w:color w:val="auto"/>
              </w:rPr>
            </w:pPr>
            <w:r>
              <w:rPr>
                <w:rFonts w:ascii="Arial" w:cs="Arial" w:eastAsia="Arial" w:hAnsi="Arial"/>
                <w:sz w:val="17"/>
                <w:szCs w:val="17"/>
                <w:color w:val="auto"/>
              </w:rPr>
              <w:t>238</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Ending Balance</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2,604</w:t>
            </w:r>
          </w:p>
        </w:tc>
        <w:tc>
          <w:tcPr>
            <w:tcW w:w="560" w:type="dxa"/>
            <w:vAlign w:val="bottom"/>
            <w:gridSpan w:val="2"/>
            <w:shd w:val="clear" w:color="auto" w:fill="CCEEFF"/>
          </w:tcPr>
          <w:p>
            <w:pPr>
              <w:jc w:val="right"/>
              <w:ind w:right="107"/>
              <w:spacing w:after="0" w:line="189" w:lineRule="exact"/>
              <w:rPr>
                <w:sz w:val="20"/>
                <w:szCs w:val="20"/>
                <w:color w:val="auto"/>
              </w:rPr>
            </w:pPr>
            <w:r>
              <w:rPr>
                <w:rFonts w:ascii="Arial" w:cs="Arial" w:eastAsia="Arial" w:hAnsi="Arial"/>
                <w:sz w:val="17"/>
                <w:szCs w:val="17"/>
                <w:color w:val="auto"/>
              </w:rPr>
              <w:t>$</w:t>
            </w:r>
          </w:p>
        </w:tc>
        <w:tc>
          <w:tcPr>
            <w:tcW w:w="1580" w:type="dxa"/>
            <w:vAlign w:val="bottom"/>
            <w:tcBorders>
              <w:right w:val="single" w:sz="8" w:color="auto"/>
            </w:tcBorders>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1,353</w:t>
            </w:r>
          </w:p>
        </w:tc>
        <w:tc>
          <w:tcPr>
            <w:tcW w:w="680" w:type="dxa"/>
            <w:vAlign w:val="bottom"/>
            <w:gridSpan w:val="2"/>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1,092</w:t>
            </w:r>
          </w:p>
        </w:tc>
        <w:tc>
          <w:tcPr>
            <w:tcW w:w="6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Interest and penalties associated with uncertain tax positions are recognized as components of Income tax provision (benefit) in the consolidated statements of operations. There was no material change to tax-related interest and penalties during the Successor year ended December 31, 2015, the Successor Period ended December 31, 2014, the Predecessor Period ended March 31, 2014 and the Predecessor year ended December 31, 2013. As of December 31, 2015 and 2014, respectively, the Company has a liability for interest and penalties of $0.6 million and $0.3 million that is associated with related tax liabilities of $1.8 million and $0.8 million for uncertain tax positions.</w:t>
      </w:r>
    </w:p>
    <w:p>
      <w:pPr>
        <w:spacing w:after="0" w:line="15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Company operates in various foreign, state and local jurisdictions. The number of tax years for which the statute of limitations remains open for foreign, state and local jurisdictions varies by jurisdiction and is approximately four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years (2012 through 2015). For federal tax purposes, the Company’s open tax years are 2012, 2013, 2014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(EXPENSE) INCOME,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Miscellaneous (expense) income,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26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78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8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right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on foreign-currency transactions</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(1,307)</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(1,156)</w:t>
            </w:r>
          </w:p>
        </w:tc>
        <w:tc>
          <w:tcPr>
            <w:tcW w:w="68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(338)</w:t>
            </w:r>
          </w:p>
        </w:tc>
        <w:tc>
          <w:tcPr>
            <w:tcW w:w="100" w:type="dxa"/>
            <w:vAlign w:val="bottom"/>
            <w:shd w:val="clear" w:color="auto" w:fill="CCEEFF"/>
          </w:tcPr>
          <w:p>
            <w:pPr>
              <w:spacing w:after="0"/>
              <w:rPr>
                <w:sz w:val="15"/>
                <w:szCs w:val="15"/>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Impairment loss on equity investment</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(2,250)</w:t>
            </w:r>
          </w:p>
        </w:tc>
      </w:tr>
      <w:tr>
        <w:trPr>
          <w:trHeight w:val="189"/>
        </w:trPr>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on extinguishment of debt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tcBorders>
              <w:right w:val="single" w:sz="8" w:color="auto"/>
            </w:tcBorders>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(1,523)</w:t>
            </w: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Other income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174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680"/>
              <w:spacing w:after="0" w:line="189" w:lineRule="exact"/>
              <w:rPr>
                <w:sz w:val="20"/>
                <w:szCs w:val="20"/>
                <w:color w:val="auto"/>
              </w:rPr>
            </w:pPr>
            <w:r>
              <w:rPr>
                <w:rFonts w:ascii="Arial" w:cs="Arial" w:eastAsia="Arial" w:hAnsi="Arial"/>
                <w:sz w:val="17"/>
                <w:szCs w:val="17"/>
                <w:color w:val="auto"/>
              </w:rPr>
              <w:t>855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1,327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2,393</w:t>
            </w:r>
          </w:p>
        </w:tc>
      </w:tr>
      <w:tr>
        <w:trPr>
          <w:trHeight w:val="27"/>
        </w:trPr>
        <w:tc>
          <w:tcPr>
            <w:tcW w:w="3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38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Miscellaneous (expense) income, net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(1,133)</w:t>
            </w:r>
          </w:p>
        </w:tc>
        <w:tc>
          <w:tcPr>
            <w:tcW w:w="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00" w:type="dxa"/>
            <w:vAlign w:val="bottom"/>
            <w:tcBorders>
              <w:right w:val="single" w:sz="8" w:color="auto"/>
            </w:tcBorders>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(301)</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1,213</w:t>
            </w:r>
          </w:p>
        </w:tc>
        <w:tc>
          <w:tcPr>
            <w:tcW w:w="5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(1,718)</w:t>
            </w:r>
          </w:p>
        </w:tc>
      </w:tr>
      <w:tr>
        <w:trPr>
          <w:trHeight w:val="20"/>
        </w:trPr>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4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and $0.3 million existed at December 31, 2015 and December 31, 2014, respectively and are included in the Prepaid expenses and other current assets line item of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During the Successor year ended December 31, 2015 and the Successor Period ended December 31, 2014, the Successor Company incurred management fees to Cinven of $0.3 million and $0.2 million and $0.1 million and $0.1 million in related travel expenses, respectively. As of the Successor year ended December 31, 2015 and the Successor Period ended December 31, 2014, respectively, the Company had outstanding accounts payable to Cinven of $0.1 million and $0.1 million. The Successor and Predecessor paid Transaction-related expenses on behalf of or to Cinven and CCMP.</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Predecessor Company was obligated to pay management fees to a subsidiary of CCMP and incurred $0.1 million and $0.3 million in such fees during the Predecessor Period ended March 31, 2014 and the Predecessor year ended December 31,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Fees</w:t>
      </w:r>
    </w:p>
    <w:p>
      <w:pPr>
        <w:spacing w:after="0" w:line="41"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In 2014, the Successor Company paid $1.7 million in consulting fees to an investment banking firm in connection with the Transaction. A managing member of this firm was previously a Medpace board member.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Capital Lease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Company assumed a capital lease with a former employee associated with the Company’s medical device operations. The capital lease liability is $0.1 million and $0.1 million as of December 31, 2015 and 2014, respectively. The Company made lease payments that were inclusive of interest expense totaling $0.1 million, $0.1 million and $0.1 million during the Successor year ended December 31, 2015, the Successor Period ended December 31, 2014 and the Predecessor year ended December 31, 2013,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Symplmed Pharmaceuticals, LLC (“Symplmed”)</w:t>
      </w:r>
    </w:p>
    <w:p>
      <w:pPr>
        <w:spacing w:after="0" w:line="4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During 2013, the chief executive officer of Medpace acquired a majority ownership interest in Symplmed, a new pharmaceutical development company, and was elected to the board of directors along with two other executives. Also in 2013, Medpace entered into a Master Services Agreement (“MSA”) with Symplmed to perform clinical trials.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In 2013, the Predecessor Company evaluated its relationship with Symplmed and concluded that Symplmed was not a variable interest entity. As the Company has no direct ownership interest or relationship other than the MSA, there were no other factors that required consolidation of Symplmed’s financial results.</w:t>
      </w:r>
    </w:p>
    <w:p>
      <w:pPr>
        <w:spacing w:after="0" w:line="14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During 2014 and 2015, the chief executive officer and other executives of Medpace made equity investments in Symplmed. Also in 2014, Symplmed entered into an Amended Master Services Agreement (the “Amended MSA”) with Medpace. The Amended MSA provides for a revised financing arrangement which allows for Symplmed to defer payments of the services provided by the Company while incurring premium service charges as consideration for the deferred payment concessions.</w:t>
      </w:r>
    </w:p>
    <w:p>
      <w:pPr>
        <w:spacing w:after="0" w:line="149"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equity contributions made by the Medpace executives prompted the Successor Company to reassess whether Symplmed is a variable interest entity. Based on the evaluation performed, Symplmed is not a variable interest entity and no other direct ownership interests exist that would require consolidation of Symplmed’s financial results.</w:t>
      </w:r>
    </w:p>
    <w:p>
      <w:pPr>
        <w:spacing w:after="0" w:line="148"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During the Successor year ended December 31, 2015 and the Successor Period ended December 31, 2014 the Company recognized related party transactions of $1.2 million and $1.2 million as service revenue in the consolidated statements of operations, respectively. As of December 31, 2015 the Company had accounts receivable from Symplmed of $0.3 million recorded in the consolidated balance sheet.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Coherus BioSciences, Inc. (“Coherus”) and MX II Associates, LLC (“MXII”)</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During 2011 a related party of the Company in which the Company’s chief executive officer is the managing member, MXII, made an investment in Coherus. In early 2012 the Company made a $2.5 million investment in Coherus. Concurrent with the initial investment, MXII secured the exclusive rights for Medpace to perform Phase I through Phase III clinical trial work for certain Coherus’ “bio-similar” drug compounds executed through a MSA. In return, Medpace agreed to pay a 10% sales commission to MXII on cash received from Coherus. The commission agreement between the Company and MXII was terminated during 2015 but did not impact the MSA between the Company and Coherus. Accordingly, Medpace paid a $0.3 million sales commission during 2012 pursuant to a $2.5 million advance payment received from Coherus for the aforementioned clinical trial work. In addition, Medpace paid commissions of $1.1 million, $0.6 million and $0.3 million during the Successor year ended December 31, 2015, the Successor Period ended December 31, 2014 and the Predecessor Period ended March 31, 2014, respectively, and were recorded in Selling, general and administrative in the consolidated statements of operations. During the Successor year ended December 31, 2015, the Successor Period ended December 31, 2014, the Predecessor Period ended March 31, 2014 and the Predecessor year ended December 31, 2013, the Company recognized service revenue of $22.1 million, $10.6 million, $2.0 million, and $3.3 million from Coherus in the Company’s consolidated statements of operations, respectively. In addition, the company recognized Reimbursed out-of-pocket revenue and Reimbursed out-of-pocket expenses with Coherus in the consolidated statements of operations of $6.9 million, $2.0 million, $0.1 million and $0.1 million during the Successor year ended December 31, 2015, the Successor Period ended December 31, 2014, the Predecessor Period ended March 31, 2014 and the Predecessor year ended December 31, 2013, respectively. As of December 31, 2015 and December 31, 2014 the Company had accounts receivable from Coherus of $2.0 million and $0.7 million recorded in the consolidated balance sheets, respectively. In addition, the Company had Advanced billings of $8.4 million and $5.3 million and Pre-funded study costs of $3.5 million and $2.4 million with Coherus recorded in the consolidated balance sheets at December 31, 2015 and 2014, respectively.</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of December 31, 2013, the Predecessor Company recorded an impairment loss of $2.3 million on its cost method investment in Coherus in contemplation of the ultimate liquidation of this investment prior to the Transaction. The impairment loss is reflected as a component of Miscellaneous (expense) income, net in the consolidated statements of operations. In March 2014, the investment was sold to Medpace Investors for $0.3 million and was reflected in the other income component of Miscellaneous (expense) income, net in the consolidated statements of operations for the Predecessor Period ended March 31, 2014.</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Xenon Pharmaceuticals, Inc. (“Xenon”)</w:t>
      </w:r>
    </w:p>
    <w:p>
      <w:pPr>
        <w:spacing w:after="0" w:line="39"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provide certain clinical development services. During the Successor year ended December 31, 2015 the Company recognized service revenue of $0.7 million in the Company’s consolidated statements of operations. As of December 31, 2015, the Company had $1.8 million and $0.2 million of Advanced billings and Pre-funded study costs, respectively, in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Medpace Investors, LLC</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Successor Company acts as a paying agent for Medpace Investors with taxing authorities principally in instances when employee tax payments or remittance of withholdings related to equity compensation are required. During the Successor year ended December 31, 2015 and the Successor Period ended December 31, 2014, the Successor Company paid $0.9 million and $1.4 million to various taxing authorities on behalf of Medpace Investors.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45"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Predecessor Company entered into an operating lease with 100 Medpace Way, LLC (“100 MW”), which is wholly owned by the chief executive officer of the Company, for an initial term of twelve years with a renewal option for one 10-year term at prevailing market rates. The Company pays rent, taxes, insurance, and maintenance expenses that arise from the use of the property. Annual base rent in effect at December 31, 2015 under the lease agreement is $2.1 million. The lease allows for adjustments to the rental rate annually for increases in the consumer price index.</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For the Successor year ended December 31, 2015, the Successor Period ended December 31, 2014, the Predecessor Period ended March 31, 2014 and the Predecessor year ended December 31, 2013, lease expense for 100 MW of $2.1 million, $1.6 million, $0.5 million and $2.1 million, respectively, was allocated between Direct costs, excluding depreciation and amortization, and Selling, general and administrative in the consolidated statements of operations. Additionally, the Successor Company prepaid $0.2 million in lease payments to 100 MW which is recorded as a component of Prepaid expenses and other current assets on the consolidated balance sheet at December 31, 2014.</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Predecessor Company entered into two multi-year leases of office space commencing in July 2012 and September 2012 with 200 Medpace Way, LLC (“200 MW”) and 300 Medpace Way, LLC (“300 MW”), respectively. Both 200 MW and 300 MW are wholly owned by the Company’s chief executive officer and certain of his immediate family. The Company recognizes Deemed landlord liabilities according to their term in the consolidated balance sheets. The obligation was initially recorded by the Predecessor Company at its net present value using the notional rates implicit in the lease agreements. The Successor Company revalued the liability by calculating the net present value using the Company’s incremental borrowing rate at the time of the Transaction. Accretion expense is being recorded over the term of the lease as a component of Interest expense, net in the Company’s consolidated statements of operations. During the Successor year ended December 31, 2015, the Successor Period ended December 31, 2014, the Predecessor Period ended March 31, 2014 and the Predecessor year ended December 31, 2013, the Company paid $3.4 million, $3.1 million, $0.9 million and $2.7 million, respectively, in rents, which are accounted for as principal and interest payments on the Deemed landlord liability in accordance with the accounting guidance governing such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ATSB Aviation</w:t>
      </w:r>
    </w:p>
    <w:p>
      <w:pPr>
        <w:spacing w:after="0" w:line="5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any personal travel paid for as part of the executives’ compensation arrangements. The Aircraft Management Company also makes the Private Aviation Charter aircraft available to other third parties. The Company incurred travel expenses of $0.9 million, $0.5 million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$0.1 million during the Successor year ended December 31, 2015, the Successor Period ended December 31, 2014 and the Predecessor Period ended March 31, 2014, respectively, related to these travel services, and are recorded in Selling, general and administrative in the Company’s consolidated statements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Purchases</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During 2015, an employee of the Company entered into a stock purchase agreement (“SPA”) with the Company that permitted the purchase of 50,000 shares of the Company’s common stock at the then-current value for those shares. There was no stock-based compensation expense recognized in relation to the SPA due to no required services to be rendered in exchange for shares. The proceeds from this SPA are reflected as Proceeds from sale of common stock in the consolidated statement of cash flows for the Successor year ended 2015.</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During 2013, the chief executive officer of the Company entered into a SPA with the Company that permitted him to purchase 120,000 shares of the Company’s common stock at the then-current market value for those shares. In exchange, the chief executive officer agreed to forfeit his ownership of 80,000 unvested stock options that were originally scheduled to vest at various dates through 2016. The proceeds from this stock purchase are reflected as Stock issued and Proceeds from sale of common stock, respectively, in the Predecessor Company’s consolidated statement of shareholders’ equity and consolidated statement of cash flows for the Predecessor year ended December 31, 2013.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Obligations Related to Former Owners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the Medpace, Inc. Stock Purchase Agreement dated June 17, 2011 (the “Predecessor Purchase Agreement”), certain tax indemnifications between the sellers (a group led by the former majority shareholder who is the current chief executive officer, the “Former Owners”) and the buyers (led by CCMP) were entered into regarding contingencies that could arise after the June 17, 2011 transaction, as well as tax payments or refunds that were finalized after June 17, 2011 but which relate to periods prior to the Predecessor Purchase Agreement date. In February 2015, a settlement was reached with a local taxing authority regarding the refund of income tax payments made by the Company prior to June 17, 2011. On the consolidated balance sheets at December 31, 2015 and 2014, the Successor has $0.4 million and $0.6 million in Prepaid expenses and other current assets and Other assets related to the tax refund due from the local taxing authority and $0.4 million and $0.6 million in Other current liabilities and Other long-term liabilities representing the obligation to the Former Owners. The Successor has $0.1 million and $0.1 million in Prepaid expenses and other current assets and $0.1 million and $0.3 million in Other current liabilities on the consolidated balance sheets at December 31, 2015 and 2014, associated with refunds from various other taxing authorities that were generated prior to June 17,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AND INTEGRATION EXPENSES</w:t>
      </w:r>
    </w:p>
    <w:p>
      <w:pPr>
        <w:spacing w:after="0" w:line="93"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Successor Company and the Predecessor Company incurred $9.3 million and $12.4 million of one-time Acquisition and integration expenses related to the Transaction during the Successor Period ended December 31, 2014 and the Predecessor Period ended March 31, 2014, respectively, primarily for investment banking, legal, accounting, consulting and other advisory fees.</w:t>
      </w:r>
    </w:p>
    <w:p>
      <w:pPr>
        <w:spacing w:after="0" w:line="185" w:lineRule="exact"/>
        <w:rPr>
          <w:sz w:val="20"/>
          <w:szCs w:val="20"/>
          <w:color w:val="auto"/>
        </w:rPr>
      </w:pPr>
    </w:p>
    <w:p>
      <w:pPr>
        <w:ind w:right="8480" w:firstLine="8"/>
        <w:spacing w:after="0" w:line="299" w:lineRule="auto"/>
        <w:tabs>
          <w:tab w:leader="none" w:pos="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ENTITY WIDE DISCLOSURES </w:t>
      </w:r>
      <w:r>
        <w:rPr>
          <w:rFonts w:ascii="Arial" w:cs="Arial" w:eastAsia="Arial" w:hAnsi="Arial"/>
          <w:sz w:val="17"/>
          <w:szCs w:val="17"/>
          <w:b w:val="1"/>
          <w:bCs w:val="1"/>
          <w:i w:val="1"/>
          <w:iCs w:val="1"/>
          <w:color w:val="auto"/>
        </w:rPr>
        <w:t>Operations By Geographic Location</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conducts operations in North America, Europe, Africa, Asia-Pacific and Latin America through wholly-owned subsidiaries and representative sales offices. The Company attributes service revenue to geographical locations based upon the location of the contracting entity. Service revenue attributable to the U.S. represent approximately 98% of total consolidated service revenue, net. No other country or region represents more than 5% of service revenue, net.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property and equipment, net by geographic region and is further broken down to show countries which account for 10% or more of total as of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tcPr>
          <w:p>
            <w:pPr>
              <w:spacing w:after="0"/>
              <w:rPr>
                <w:sz w:val="15"/>
                <w:szCs w:val="15"/>
                <w:color w:val="auto"/>
              </w:rPr>
            </w:pPr>
          </w:p>
        </w:tc>
        <w:tc>
          <w:tcPr>
            <w:tcW w:w="182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96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69"/>
        </w:trPr>
        <w:tc>
          <w:tcPr>
            <w:tcW w:w="96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Property and equipment, net:</w:t>
            </w: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United States</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$28,152</w:t>
            </w:r>
          </w:p>
        </w:tc>
        <w:tc>
          <w:tcPr>
            <w:tcW w:w="44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$29,928</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Europe:</w:t>
            </w: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600" w:type="dxa"/>
            <w:vAlign w:val="bottom"/>
          </w:tcPr>
          <w:p>
            <w:pPr>
              <w:ind w:left="260"/>
              <w:spacing w:after="0" w:line="189" w:lineRule="exact"/>
              <w:rPr>
                <w:sz w:val="20"/>
                <w:szCs w:val="20"/>
                <w:color w:val="auto"/>
              </w:rPr>
            </w:pPr>
            <w:r>
              <w:rPr>
                <w:rFonts w:ascii="Arial" w:cs="Arial" w:eastAsia="Arial" w:hAnsi="Arial"/>
                <w:sz w:val="17"/>
                <w:szCs w:val="17"/>
                <w:color w:val="auto"/>
              </w:rPr>
              <w:t>Belgium</w:t>
            </w: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3,896</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3,947</w:t>
            </w:r>
          </w:p>
        </w:tc>
      </w:tr>
      <w:tr>
        <w:trPr>
          <w:trHeight w:val="189"/>
        </w:trPr>
        <w:tc>
          <w:tcPr>
            <w:tcW w:w="96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3,968</w:t>
            </w:r>
          </w:p>
        </w:tc>
        <w:tc>
          <w:tcPr>
            <w:tcW w:w="4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2,719</w:t>
            </w:r>
          </w:p>
        </w:tc>
        <w:tc>
          <w:tcPr>
            <w:tcW w:w="100" w:type="dxa"/>
            <w:vAlign w:val="bottom"/>
            <w:shd w:val="clear" w:color="auto" w:fill="CCEEFF"/>
          </w:tcPr>
          <w:p>
            <w:pPr>
              <w:spacing w:after="0"/>
              <w:rPr>
                <w:sz w:val="16"/>
                <w:szCs w:val="16"/>
                <w:color w:val="auto"/>
              </w:rPr>
            </w:pPr>
          </w:p>
        </w:tc>
      </w:tr>
      <w:tr>
        <w:trPr>
          <w:trHeight w:val="196"/>
        </w:trPr>
        <w:tc>
          <w:tcPr>
            <w:tcW w:w="9600" w:type="dxa"/>
            <w:vAlign w:val="bottom"/>
          </w:tcPr>
          <w:p>
            <w:pPr>
              <w:ind w:left="520"/>
              <w:spacing w:after="0"/>
              <w:rPr>
                <w:sz w:val="20"/>
                <w:szCs w:val="20"/>
                <w:color w:val="auto"/>
              </w:rPr>
            </w:pPr>
            <w:r>
              <w:rPr>
                <w:rFonts w:ascii="Arial" w:cs="Arial" w:eastAsia="Arial" w:hAnsi="Arial"/>
                <w:sz w:val="17"/>
                <w:szCs w:val="17"/>
                <w:color w:val="auto"/>
              </w:rPr>
              <w:t>Total Europe</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7,864</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6,666</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1,496</w:t>
            </w:r>
          </w:p>
        </w:tc>
        <w:tc>
          <w:tcPr>
            <w:tcW w:w="4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37,512</w:t>
            </w:r>
          </w:p>
        </w:tc>
        <w:tc>
          <w:tcPr>
            <w:tcW w:w="4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38,084</w:t>
            </w:r>
          </w:p>
        </w:tc>
      </w:tr>
      <w:tr>
        <w:trPr>
          <w:trHeight w:val="20"/>
        </w:trPr>
        <w:tc>
          <w:tcPr>
            <w:tcW w:w="9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 &amp; Services</w:t>
      </w:r>
    </w:p>
    <w:p>
      <w:pPr>
        <w:spacing w:after="0" w:line="81" w:lineRule="exact"/>
        <w:rPr>
          <w:sz w:val="20"/>
          <w:szCs w:val="20"/>
          <w:color w:val="auto"/>
        </w:rPr>
      </w:pPr>
    </w:p>
    <w:p>
      <w:pPr>
        <w:jc w:val="both"/>
        <w:ind w:right="480"/>
        <w:spacing w:after="0" w:line="238" w:lineRule="auto"/>
        <w:rPr>
          <w:sz w:val="20"/>
          <w:szCs w:val="20"/>
          <w:color w:val="auto"/>
        </w:rPr>
      </w:pPr>
      <w:r>
        <w:rPr>
          <w:rFonts w:ascii="Arial" w:cs="Arial" w:eastAsia="Arial" w:hAnsi="Arial"/>
          <w:sz w:val="17"/>
          <w:szCs w:val="17"/>
          <w:color w:val="auto"/>
        </w:rPr>
        <w:t>Clinical research services and laboratory services represented approximately 87% and 13%, 85% and 15%, 85% and 15%, and 86% and 14% of consolidated service revenue, net for the Successor year ended December 31, 2015 and period ended December 31, 2014 and the Predecessor Period ended March 31, 2014 and year ended December 31, 2013,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has evaluated subsequent events through March 1, 2016, the date the consolidated financial statements were available to be issued, to determine if either recognition or disclosure of significant events or transactions was required. No such subsequent events were noted.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9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9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2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24,181</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14,880</w:t>
            </w:r>
          </w:p>
        </w:tc>
        <w:tc>
          <w:tcPr>
            <w:tcW w:w="0" w:type="dxa"/>
            <w:vAlign w:val="bottom"/>
          </w:tcPr>
          <w:p>
            <w:pPr>
              <w:spacing w:after="0"/>
              <w:rPr>
                <w:sz w:val="1"/>
                <w:szCs w:val="1"/>
                <w:color w:val="auto"/>
              </w:rPr>
            </w:pPr>
          </w:p>
        </w:tc>
      </w:tr>
      <w:tr>
        <w:trPr>
          <w:trHeight w:val="189"/>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2,761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2,857</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20" w:type="dxa"/>
            <w:vAlign w:val="bottom"/>
          </w:tcPr>
          <w:p>
            <w:pPr>
              <w:ind w:left="520"/>
              <w:spacing w:after="0" w:line="183" w:lineRule="exact"/>
              <w:rPr>
                <w:sz w:val="20"/>
                <w:szCs w:val="20"/>
                <w:color w:val="auto"/>
              </w:rPr>
            </w:pPr>
            <w:r>
              <w:rPr>
                <w:rFonts w:ascii="Arial" w:cs="Arial" w:eastAsia="Arial" w:hAnsi="Arial"/>
                <w:sz w:val="17"/>
                <w:szCs w:val="17"/>
                <w:color w:val="auto"/>
              </w:rPr>
              <w:t>Billed, net (includes $3.4 million and $2.3 million with related parties at March 31, 2016 and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20" w:type="dxa"/>
            <w:vAlign w:val="bottom"/>
          </w:tcPr>
          <w:p>
            <w:pPr>
              <w:ind w:left="760"/>
              <w:spacing w:after="0"/>
              <w:rPr>
                <w:sz w:val="20"/>
                <w:szCs w:val="20"/>
                <w:color w:val="auto"/>
              </w:rPr>
            </w:pPr>
            <w:r>
              <w:rPr>
                <w:rFonts w:ascii="Arial" w:cs="Arial" w:eastAsia="Arial" w:hAnsi="Arial"/>
                <w:sz w:val="17"/>
                <w:szCs w:val="17"/>
                <w:color w:val="auto"/>
              </w:rPr>
              <w:t>December 31, 2015, respectively)</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46,352</w:t>
            </w: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520"/>
              <w:spacing w:after="0" w:line="183" w:lineRule="exact"/>
              <w:rPr>
                <w:sz w:val="20"/>
                <w:szCs w:val="20"/>
                <w:color w:val="auto"/>
              </w:rPr>
            </w:pPr>
            <w:r>
              <w:rPr>
                <w:rFonts w:ascii="Arial" w:cs="Arial" w:eastAsia="Arial" w:hAnsi="Arial"/>
                <w:sz w:val="17"/>
                <w:szCs w:val="17"/>
                <w:color w:val="auto"/>
              </w:rPr>
              <w:t>Unbilled services (includes $0.7 million and $0.6 million with related parties at March 31, 2016 and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December 31, 2015, respectively)</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18,736</w:t>
            </w:r>
          </w:p>
        </w:tc>
        <w:tc>
          <w:tcPr>
            <w:tcW w:w="0" w:type="dxa"/>
            <w:vAlign w:val="bottom"/>
          </w:tcPr>
          <w:p>
            <w:pPr>
              <w:spacing w:after="0"/>
              <w:rPr>
                <w:sz w:val="1"/>
                <w:szCs w:val="1"/>
                <w:color w:val="auto"/>
              </w:rPr>
            </w:pPr>
          </w:p>
        </w:tc>
      </w:tr>
      <w:tr>
        <w:trPr>
          <w:trHeight w:val="196"/>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13,227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115,175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94,721</w:t>
            </w:r>
          </w:p>
        </w:tc>
        <w:tc>
          <w:tcPr>
            <w:tcW w:w="0" w:type="dxa"/>
            <w:vAlign w:val="bottom"/>
          </w:tcPr>
          <w:p>
            <w:pPr>
              <w:spacing w:after="0"/>
              <w:rPr>
                <w:sz w:val="1"/>
                <w:szCs w:val="1"/>
                <w:color w:val="auto"/>
              </w:rPr>
            </w:pPr>
          </w:p>
        </w:tc>
      </w:tr>
      <w:tr>
        <w:trPr>
          <w:trHeight w:val="189"/>
        </w:trPr>
        <w:tc>
          <w:tcPr>
            <w:tcW w:w="892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39,591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37,512</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660,981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660,981</w:t>
            </w:r>
          </w:p>
        </w:tc>
        <w:tc>
          <w:tcPr>
            <w:tcW w:w="0" w:type="dxa"/>
            <w:vAlign w:val="bottom"/>
          </w:tcPr>
          <w:p>
            <w:pPr>
              <w:spacing w:after="0"/>
              <w:rPr>
                <w:sz w:val="1"/>
                <w:szCs w:val="1"/>
                <w:color w:val="auto"/>
              </w:rPr>
            </w:pPr>
          </w:p>
        </w:tc>
      </w:tr>
      <w:tr>
        <w:trPr>
          <w:trHeight w:val="189"/>
        </w:trPr>
        <w:tc>
          <w:tcPr>
            <w:tcW w:w="8920" w:type="dxa"/>
            <w:vAlign w:val="bottom"/>
          </w:tcPr>
          <w:p>
            <w:pPr>
              <w:spacing w:after="0" w:line="189" w:lineRule="exact"/>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174,075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96"/>
        </w:trPr>
        <w:tc>
          <w:tcPr>
            <w:tcW w:w="892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993,996</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Accounts payable</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6,956</w:t>
            </w:r>
          </w:p>
        </w:tc>
        <w:tc>
          <w:tcPr>
            <w:tcW w:w="120" w:type="dxa"/>
            <w:vAlign w:val="bottom"/>
          </w:tcPr>
          <w:p>
            <w:pPr>
              <w:spacing w:after="0"/>
              <w:rPr>
                <w:sz w:val="16"/>
                <w:szCs w:val="16"/>
                <w:color w:val="auto"/>
              </w:rPr>
            </w:pPr>
          </w:p>
        </w:tc>
        <w:tc>
          <w:tcPr>
            <w:tcW w:w="660" w:type="dxa"/>
            <w:vAlign w:val="bottom"/>
            <w:gridSpan w:val="2"/>
          </w:tcPr>
          <w:p>
            <w:pPr>
              <w:jc w:val="right"/>
              <w:ind w:right="68"/>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8,728</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expenses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15,190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20,111</w:t>
            </w:r>
          </w:p>
        </w:tc>
        <w:tc>
          <w:tcPr>
            <w:tcW w:w="0" w:type="dxa"/>
            <w:vAlign w:val="bottom"/>
          </w:tcPr>
          <w:p>
            <w:pPr>
              <w:spacing w:after="0"/>
              <w:rPr>
                <w:sz w:val="1"/>
                <w:szCs w:val="1"/>
                <w:color w:val="auto"/>
              </w:rPr>
            </w:pPr>
          </w:p>
        </w:tc>
      </w:tr>
      <w:tr>
        <w:trPr>
          <w:trHeight w:val="183"/>
        </w:trPr>
        <w:tc>
          <w:tcPr>
            <w:tcW w:w="8920" w:type="dxa"/>
            <w:vAlign w:val="bottom"/>
          </w:tcPr>
          <w:p>
            <w:pPr>
              <w:ind w:left="260"/>
              <w:spacing w:after="0" w:line="183" w:lineRule="exact"/>
              <w:rPr>
                <w:sz w:val="20"/>
                <w:szCs w:val="20"/>
                <w:color w:val="auto"/>
              </w:rPr>
            </w:pPr>
            <w:r>
              <w:rPr>
                <w:rFonts w:ascii="Arial" w:cs="Arial" w:eastAsia="Arial" w:hAnsi="Arial"/>
                <w:sz w:val="17"/>
                <w:szCs w:val="17"/>
                <w:color w:val="auto"/>
              </w:rPr>
              <w:t>Pre-funded study costs (includes $3.8 million and $3.7 million with related parties at March 31, 2016 and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20" w:type="dxa"/>
            <w:vAlign w:val="bottom"/>
          </w:tcPr>
          <w:p>
            <w:pPr>
              <w:ind w:left="520"/>
              <w:spacing w:after="0"/>
              <w:rPr>
                <w:sz w:val="20"/>
                <w:szCs w:val="20"/>
                <w:color w:val="auto"/>
              </w:rPr>
            </w:pPr>
            <w:r>
              <w:rPr>
                <w:rFonts w:ascii="Arial" w:cs="Arial" w:eastAsia="Arial" w:hAnsi="Arial"/>
                <w:sz w:val="17"/>
                <w:szCs w:val="17"/>
                <w:color w:val="auto"/>
              </w:rPr>
              <w:t>December 31, 2015, respectively)</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47,921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46,599</w:t>
            </w: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Advanced billings (includes $10.4 million and $10.2 million with related parties at March 31, 2016 and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December 31, 2015, respectively)</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51,051</w:t>
            </w:r>
          </w:p>
        </w:tc>
        <w:tc>
          <w:tcPr>
            <w:tcW w:w="0" w:type="dxa"/>
            <w:vAlign w:val="bottom"/>
          </w:tcPr>
          <w:p>
            <w:pPr>
              <w:spacing w:after="0"/>
              <w:rPr>
                <w:sz w:val="1"/>
                <w:szCs w:val="1"/>
                <w:color w:val="auto"/>
              </w:rPr>
            </w:pPr>
          </w:p>
        </w:tc>
      </w:tr>
      <w:tr>
        <w:trPr>
          <w:trHeight w:val="196"/>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8,392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139,242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134,017</w:t>
            </w:r>
          </w:p>
        </w:tc>
        <w:tc>
          <w:tcPr>
            <w:tcW w:w="0" w:type="dxa"/>
            <w:vAlign w:val="bottom"/>
          </w:tcPr>
          <w:p>
            <w:pPr>
              <w:spacing w:after="0"/>
              <w:rPr>
                <w:sz w:val="1"/>
                <w:szCs w:val="1"/>
                <w:color w:val="auto"/>
              </w:rPr>
            </w:pPr>
          </w:p>
        </w:tc>
      </w:tr>
      <w:tr>
        <w:trPr>
          <w:trHeight w:val="189"/>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Long-term debt, net, less current portion</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378,457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377,882</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Deemed landlord liability, less current portion</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29,853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30,273</w:t>
            </w:r>
          </w:p>
        </w:tc>
        <w:tc>
          <w:tcPr>
            <w:tcW w:w="0" w:type="dxa"/>
            <w:vAlign w:val="bottom"/>
          </w:tcPr>
          <w:p>
            <w:pPr>
              <w:spacing w:after="0"/>
              <w:rPr>
                <w:sz w:val="1"/>
                <w:szCs w:val="1"/>
                <w:color w:val="auto"/>
              </w:rPr>
            </w:pPr>
          </w:p>
        </w:tc>
      </w:tr>
      <w:tr>
        <w:trPr>
          <w:trHeight w:val="189"/>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 liability</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20,795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21,104</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7,787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2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576,134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570,567</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(see Note 10)</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2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Common stock—$0.01 par-value; 60,000,000 shares authorized; 44,058,055 and 44,043,030 shares issued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and outstanding at March 31, 2016 and December 31, 2015, respectively</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189"/>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438,969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438,602</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(19,561)</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196"/>
        </w:trPr>
        <w:tc>
          <w:tcPr>
            <w:tcW w:w="8920" w:type="dxa"/>
            <w:vAlign w:val="bottom"/>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(1,987)</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417,862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413,474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20" w:type="dxa"/>
            <w:vAlign w:val="bottom"/>
          </w:tcPr>
          <w:p>
            <w:pPr>
              <w:ind w:left="760"/>
              <w:spacing w:after="0"/>
              <w:rPr>
                <w:sz w:val="20"/>
                <w:szCs w:val="20"/>
                <w:color w:val="auto"/>
              </w:rPr>
            </w:pPr>
            <w:r>
              <w:rPr>
                <w:rFonts w:ascii="Arial" w:cs="Arial" w:eastAsia="Arial" w:hAnsi="Arial"/>
                <w:sz w:val="17"/>
                <w:szCs w:val="17"/>
                <w:color w:val="auto"/>
              </w:rPr>
              <w:t>Total liabilities and shareholders’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993,996</w:t>
            </w:r>
          </w:p>
        </w:tc>
        <w:tc>
          <w:tcPr>
            <w:tcW w:w="12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20" w:type="dxa"/>
            <w:vAlign w:val="bottom"/>
          </w:tcPr>
          <w:p>
            <w:pPr>
              <w:ind w:left="240"/>
              <w:spacing w:after="0" w:line="183" w:lineRule="exact"/>
              <w:rPr>
                <w:sz w:val="20"/>
                <w:szCs w:val="20"/>
                <w:color w:val="auto"/>
              </w:rPr>
            </w:pPr>
            <w:r>
              <w:rPr>
                <w:rFonts w:ascii="Arial" w:cs="Arial" w:eastAsia="Arial" w:hAnsi="Arial"/>
                <w:sz w:val="17"/>
                <w:szCs w:val="17"/>
                <w:color w:val="auto"/>
              </w:rPr>
              <w:t>Service revenue, net (includes $7.8 million and $5.9 million with related parties for the quarters ended March 31,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20" w:type="dxa"/>
            <w:vAlign w:val="bottom"/>
          </w:tcPr>
          <w:p>
            <w:pPr>
              <w:ind w:left="500"/>
              <w:spacing w:after="0"/>
              <w:rPr>
                <w:sz w:val="20"/>
                <w:szCs w:val="20"/>
                <w:color w:val="auto"/>
              </w:rPr>
            </w:pPr>
            <w:r>
              <w:rPr>
                <w:rFonts w:ascii="Arial" w:cs="Arial" w:eastAsia="Arial" w:hAnsi="Arial"/>
                <w:sz w:val="17"/>
                <w:szCs w:val="17"/>
                <w:color w:val="auto"/>
              </w:rPr>
              <w:t>2016 and 2015, respectively)</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87,800</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76,030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Reimbursed out-of-pocket revenue (includes $1.2 million and $0.9 million with related parties for the quarters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ended March 31, 2016 and 2015, respectively)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11,786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500"/>
              <w:spacing w:after="0"/>
              <w:rPr>
                <w:sz w:val="20"/>
                <w:szCs w:val="20"/>
                <w:color w:val="auto"/>
              </w:rPr>
            </w:pPr>
            <w:r>
              <w:rPr>
                <w:rFonts w:ascii="Arial" w:cs="Arial" w:eastAsia="Arial" w:hAnsi="Arial"/>
                <w:sz w:val="17"/>
                <w:szCs w:val="17"/>
                <w:color w:val="auto"/>
              </w:rPr>
              <w:t>Total revenue</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99,586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83,033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46,981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39,125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Reimbursed out-of-pocket expenses (includes $1.2 million and $0.9 million with related parties for the quarters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ended March 31, 2016 and 2015, respectively)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11,786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Selling, general and administrative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13,509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11,742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Depreciation</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1,773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Amortization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12,668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operating expenses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86,717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76,644</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12,869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6,389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Miscellaneous expense, 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(935)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(5,973)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500"/>
              <w:spacing w:after="0"/>
              <w:rPr>
                <w:sz w:val="20"/>
                <w:szCs w:val="20"/>
                <w:color w:val="auto"/>
              </w:rPr>
            </w:pPr>
            <w:r>
              <w:rPr>
                <w:rFonts w:ascii="Arial" w:cs="Arial" w:eastAsia="Arial" w:hAnsi="Arial"/>
                <w:sz w:val="17"/>
                <w:szCs w:val="17"/>
                <w:color w:val="auto"/>
              </w:rPr>
              <w:t>Total other expense, net</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(6,908)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(8,049)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5,961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2,513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3,448</w:t>
            </w:r>
          </w:p>
        </w:tc>
        <w:tc>
          <w:tcPr>
            <w:tcW w:w="4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income (loss) per share attributable to common shareholders: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Basic</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0.08</w:t>
            </w:r>
          </w:p>
        </w:tc>
        <w:tc>
          <w:tcPr>
            <w:tcW w:w="4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Diluted</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0.08</w:t>
            </w:r>
          </w:p>
        </w:tc>
        <w:tc>
          <w:tcPr>
            <w:tcW w:w="4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shares outstanding:</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ind w:left="240"/>
              <w:spacing w:after="0" w:line="189" w:lineRule="exact"/>
              <w:rPr>
                <w:sz w:val="20"/>
                <w:szCs w:val="20"/>
                <w:color w:val="auto"/>
              </w:rPr>
            </w:pPr>
            <w:r>
              <w:rPr>
                <w:rFonts w:ascii="Arial" w:cs="Arial" w:eastAsia="Arial" w:hAnsi="Arial"/>
                <w:sz w:val="17"/>
                <w:szCs w:val="17"/>
                <w:color w:val="auto"/>
              </w:rPr>
              <w:t>Basic</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44,044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41,808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44,044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3,448</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 adjustments, net of taxes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572</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4,020</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spacing w:after="0" w:line="189" w:lineRule="exact"/>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3,448</w:t>
            </w:r>
          </w:p>
        </w:tc>
        <w:tc>
          <w:tcPr>
            <w:tcW w:w="260" w:type="dxa"/>
            <w:vAlign w:val="bottom"/>
          </w:tcPr>
          <w:p>
            <w:pPr>
              <w:spacing w:after="0"/>
              <w:rPr>
                <w:sz w:val="16"/>
                <w:szCs w:val="16"/>
                <w:color w:val="auto"/>
              </w:rPr>
            </w:pPr>
          </w:p>
        </w:tc>
        <w:tc>
          <w:tcPr>
            <w:tcW w:w="4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1,773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Amortization</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12,668</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1,009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Amortization of debt issuance costs and discount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672</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Deferred income tax benefit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(310)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(3,618)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240"/>
              <w:spacing w:after="0" w:line="189" w:lineRule="exact"/>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Accounts receivable, net and unbilled services</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(9,927)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(1,264)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(2,027)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(5,004)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(7,279)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Pre-funded study costs</w:t>
            </w: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1,305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Advanced billings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9,669</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(6,467)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Pr>
          <w:p>
            <w:pPr>
              <w:ind w:left="500"/>
              <w:spacing w:after="0" w:line="189" w:lineRule="exact"/>
              <w:rPr>
                <w:sz w:val="20"/>
                <w:szCs w:val="20"/>
                <w:color w:val="auto"/>
              </w:rPr>
            </w:pPr>
            <w:r>
              <w:rPr>
                <w:rFonts w:ascii="Arial" w:cs="Arial" w:eastAsia="Arial" w:hAnsi="Arial"/>
                <w:sz w:val="17"/>
                <w:szCs w:val="17"/>
                <w:color w:val="auto"/>
              </w:rPr>
              <w:t>Other assets and liabilities, net</w:t>
            </w:r>
          </w:p>
        </w:tc>
        <w:tc>
          <w:tcPr>
            <w:tcW w:w="120" w:type="dxa"/>
            <w:vAlign w:val="bottom"/>
          </w:tcPr>
          <w:p>
            <w:pPr>
              <w:spacing w:after="0"/>
              <w:rPr>
                <w:sz w:val="17"/>
                <w:szCs w:val="17"/>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12,721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20" w:type="dxa"/>
            <w:vAlign w:val="bottom"/>
            <w:gridSpan w:val="2"/>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Property and equipment expenditures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(3,456)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Pr>
          <w:p>
            <w:pPr>
              <w:ind w:left="240"/>
              <w:spacing w:after="0" w:line="189" w:lineRule="exact"/>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(3,424)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196"/>
        </w:trPr>
        <w:tc>
          <w:tcPr>
            <w:tcW w:w="932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Proceeds from stock option exercises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ind w:left="240"/>
              <w:spacing w:after="0" w:line="189" w:lineRule="exact"/>
              <w:rPr>
                <w:sz w:val="20"/>
                <w:szCs w:val="20"/>
                <w:color w:val="auto"/>
              </w:rPr>
            </w:pPr>
            <w:r>
              <w:rPr>
                <w:rFonts w:ascii="Arial" w:cs="Arial" w:eastAsia="Arial" w:hAnsi="Arial"/>
                <w:sz w:val="17"/>
                <w:szCs w:val="17"/>
                <w:color w:val="auto"/>
              </w:rPr>
              <w:t>Payment of debt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(30,064)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Payment of deemed landlord liability</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(369)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74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(380)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(30,293)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EFFECTS OF EXCHANGE RATES ON CASH AND CASH EQUIVALENTS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spacing w:after="0" w:line="189" w:lineRule="exact"/>
              <w:rPr>
                <w:sz w:val="20"/>
                <w:szCs w:val="20"/>
                <w:color w:val="auto"/>
              </w:rPr>
            </w:pPr>
            <w:r>
              <w:rPr>
                <w:rFonts w:ascii="Arial" w:cs="Arial" w:eastAsia="Arial" w:hAnsi="Arial"/>
                <w:sz w:val="17"/>
                <w:szCs w:val="17"/>
                <w:color w:val="auto"/>
              </w:rPr>
              <w:t>INCREASE (DECREASE) IN CASH AND CASH EQUIVALENTS</w:t>
            </w: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9,301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(26,339)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EQUIVALENTS—Beginning of period</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14,880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54,285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20" w:type="dxa"/>
            <w:vAlign w:val="bottom"/>
            <w:gridSpan w:val="2"/>
          </w:tcPr>
          <w:p>
            <w:pPr>
              <w:spacing w:after="0"/>
              <w:rPr>
                <w:sz w:val="20"/>
                <w:szCs w:val="20"/>
                <w:color w:val="auto"/>
              </w:rPr>
            </w:pPr>
            <w:r>
              <w:rPr>
                <w:rFonts w:ascii="Arial" w:cs="Arial" w:eastAsia="Arial" w:hAnsi="Arial"/>
                <w:sz w:val="17"/>
                <w:szCs w:val="17"/>
                <w:color w:val="auto"/>
              </w:rPr>
              <w:t>CASH AND CASH EQUIVALENTS—End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24,181</w:t>
            </w:r>
          </w:p>
        </w:tc>
        <w:tc>
          <w:tcPr>
            <w:tcW w:w="26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27,946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Medpace Holdings, Inc. together with its subsidiaries (“Medpace” or the “Company”)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4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accompanying interim condensed consolidated financial statements and related notes should be read in conjunction with the Company’s consolidated financial statements and related notes included in the Company’s audited financial statements for the year ended December 31, 2015.</w:t>
      </w:r>
    </w:p>
    <w:p>
      <w:pPr>
        <w:spacing w:after="0" w:line="148"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9"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 The new guidance is intended to simplify certain aspects of accounting for share-based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condensed consolidated financial statements.</w:t>
      </w: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Revenue Gross versus Net)</w:t>
      </w:r>
      <w:r>
        <w:rPr>
          <w:rFonts w:ascii="Arial" w:cs="Arial" w:eastAsia="Arial" w:hAnsi="Arial"/>
          <w:sz w:val="17"/>
          <w:szCs w:val="17"/>
          <w:color w:val="auto"/>
        </w:rPr>
        <w:t>. ASU 2016-08 clarifies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specifically related to principal versus agent considerations and adds illustrative examples to assist in the application of the guidance.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date and transition requirements in ASU 2016-08 are the same as the effective date and transition requirements of ASU 2014-09.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which defers the effective date of ASU 2014-09 by one year. The Company will adopt the clarified guidance in ASU 2016-08 by January 1, 2018, as required. The Company is currently evaluating the impact of this new standard on its condensed consolidated financial statements.</w:t>
      </w:r>
    </w:p>
    <w:p>
      <w:pPr>
        <w:spacing w:after="0" w:line="12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(LOSS) PER SHARE</w:t>
      </w:r>
    </w:p>
    <w:p>
      <w:pPr>
        <w:spacing w:after="0" w:line="9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Basic and diluted earnings per share (“EPS”) are computed using the two-class method, which is an earnings allocation that determines EPS for each class of common stock and participating securities according to dividends declared and participation rights in undistributed earnings. Basic net income (loss) per share is calculated by dividing net income (loss) by the weighted average number of common shares outstanding, including outstanding participating securities. Diluted net income (loss) per share is similar to basic net income (loss) per share, but adjusts for the effect of potential issuance of common shares. The Company’s restricted stock awards (“RSAs”) contain non-forfeitable rights or dividend equivalents and participate in periods of net income but are not contractually obligated to share in the Company’s losses. As a result, RSAs are included in the number of shares in our basic and diluted EPS in periods of net income but are excluded in the number of shares in our basic and diluted EPS in periods of net loss.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basic to diluted weighted average shares outstanding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2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36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Basic weighted average common shares outstanding</w:t>
            </w:r>
          </w:p>
        </w:tc>
        <w:tc>
          <w:tcPr>
            <w:tcW w:w="700" w:type="dxa"/>
            <w:vAlign w:val="bottom"/>
            <w:shd w:val="clear" w:color="auto" w:fill="CCEEFF"/>
          </w:tcPr>
          <w:p>
            <w:pPr>
              <w:ind w:left="180"/>
              <w:spacing w:after="0" w:line="183" w:lineRule="exact"/>
              <w:rPr>
                <w:sz w:val="20"/>
                <w:szCs w:val="20"/>
                <w:color w:val="auto"/>
              </w:rPr>
            </w:pPr>
            <w:r>
              <w:rPr>
                <w:rFonts w:ascii="Arial" w:cs="Arial" w:eastAsia="Arial" w:hAnsi="Arial"/>
                <w:sz w:val="17"/>
                <w:szCs w:val="17"/>
                <w:color w:val="auto"/>
                <w:w w:val="96"/>
              </w:rPr>
              <w:t>44,044</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spacing w:after="0" w:line="189" w:lineRule="exact"/>
              <w:rPr>
                <w:sz w:val="20"/>
                <w:szCs w:val="20"/>
                <w:color w:val="auto"/>
              </w:rPr>
            </w:pPr>
            <w:r>
              <w:rPr>
                <w:rFonts w:ascii="Arial" w:cs="Arial" w:eastAsia="Arial" w:hAnsi="Arial"/>
                <w:sz w:val="17"/>
                <w:szCs w:val="17"/>
                <w:color w:val="auto"/>
              </w:rPr>
              <w:t>Effect of dilutive securities</w:t>
            </w:r>
          </w:p>
        </w:tc>
        <w:tc>
          <w:tcPr>
            <w:tcW w:w="1360" w:type="dxa"/>
            <w:vAlign w:val="bottom"/>
            <w:gridSpan w:val="4"/>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weighted average common shares outstanding</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44,044</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41,808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7"/>
                <w:szCs w:val="17"/>
                <w:color w:val="auto"/>
              </w:rPr>
              <w:t>Anti-dilutive shares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0" w:type="dxa"/>
            <w:vAlign w:val="bottom"/>
            <w:gridSpan w:val="2"/>
            <w:vMerge w:val="continue"/>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356</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Exclusions from basic, weighted average shares:</w:t>
            </w: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RSAs (no obligation to share in losses)</w:t>
            </w:r>
          </w:p>
        </w:tc>
        <w:tc>
          <w:tcPr>
            <w:tcW w:w="1360" w:type="dxa"/>
            <w:vAlign w:val="bottom"/>
            <w:gridSpan w:val="4"/>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anti-dilutive shares disclosed above were calculated using the treasury stock method. During the three month period ended March 31, 2016, the Company had stock options that were excluded due to the exercise price exceeding the average fair value of the Company’s common stock during the period. During the three month period ended March 31, 2015, the Company had stock options that were anti-dilutive due to the Company being in a net loss position during the period as well as the exercise price exceeding the average fair value of the Company’s commons stock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56" w:lineRule="exact"/>
        <w:rPr>
          <w:sz w:val="20"/>
          <w:szCs w:val="20"/>
          <w:color w:val="auto"/>
        </w:rPr>
      </w:pPr>
    </w:p>
    <w:p>
      <w:pPr>
        <w:ind w:left="360" w:right="900"/>
        <w:spacing w:after="0" w:line="243"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fair value of financial instruments such as cash and cash equivalents, billed accounts receivable, net, unbilled services, accounts payable, accrued expenses and advanced billings approximate their carrying amounts due to their short term maturities.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Company does not have any recurring fair value measurements as of March 31, 2016. There were no transfers between Level 1, Level 2 or Level 3 during the three month periods ended March 31, 2016 or March 31, 2015.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Certain assets are measured on the accompanying interim condensed consolidated balance sheets at cost and are not remeasured to fair value on a recurring basis. These assets, which include indefinite-lived intangible assets and goodwill, are tested for impairment annually during the fourth quarter or when a triggering event occurs. Total assets carried on the balance sheet that are not remeasured to fair value on a recurring basis, identified as Level 3 measurements, as of March 31, 2016 are $692.6 million, comprised of $661.0 million of goodwill and $31.6 million of identified indefinite-lived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BILLED,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billed, net of allowance for doubtful accounts,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83"/>
        </w:trPr>
        <w:tc>
          <w:tcPr>
            <w:tcW w:w="8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Accounts receivable, billed</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53,709</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40,721</w:t>
            </w:r>
          </w:p>
        </w:tc>
        <w:tc>
          <w:tcPr>
            <w:tcW w:w="100" w:type="dxa"/>
            <w:vAlign w:val="bottom"/>
            <w:shd w:val="clear" w:color="auto" w:fill="CCEEFF"/>
          </w:tcPr>
          <w:p>
            <w:pPr>
              <w:spacing w:after="0"/>
              <w:rPr>
                <w:sz w:val="15"/>
                <w:szCs w:val="15"/>
                <w:color w:val="auto"/>
              </w:rPr>
            </w:pPr>
          </w:p>
        </w:tc>
      </w:tr>
      <w:tr>
        <w:trPr>
          <w:trHeight w:val="189"/>
        </w:trPr>
        <w:tc>
          <w:tcPr>
            <w:tcW w:w="8820" w:type="dxa"/>
            <w:vAlign w:val="bottom"/>
          </w:tcPr>
          <w:p>
            <w:pPr>
              <w:spacing w:after="0" w:line="189" w:lineRule="exact"/>
              <w:rPr>
                <w:sz w:val="20"/>
                <w:szCs w:val="20"/>
                <w:color w:val="auto"/>
              </w:rPr>
            </w:pPr>
            <w:r>
              <w:rPr>
                <w:rFonts w:ascii="Arial" w:cs="Arial" w:eastAsia="Arial" w:hAnsi="Arial"/>
                <w:sz w:val="17"/>
                <w:szCs w:val="17"/>
                <w:color w:val="auto"/>
              </w:rPr>
              <w:t>Reimbursable out-of-pocket expenses</w:t>
            </w:r>
          </w:p>
        </w:tc>
        <w:tc>
          <w:tcPr>
            <w:tcW w:w="180" w:type="dxa"/>
            <w:vAlign w:val="bottom"/>
          </w:tcPr>
          <w:p>
            <w:pPr>
              <w:spacing w:after="0"/>
              <w:rPr>
                <w:sz w:val="16"/>
                <w:szCs w:val="16"/>
                <w:color w:val="auto"/>
              </w:rPr>
            </w:pPr>
          </w:p>
        </w:tc>
        <w:tc>
          <w:tcPr>
            <w:tcW w:w="6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6,096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7,355</w:t>
            </w:r>
          </w:p>
        </w:tc>
      </w:tr>
      <w:tr>
        <w:trPr>
          <w:trHeight w:val="189"/>
        </w:trPr>
        <w:tc>
          <w:tcPr>
            <w:tcW w:w="8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allowance for doubtful accounts</w:t>
            </w: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(1,650)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(1,724)</w:t>
            </w:r>
          </w:p>
        </w:tc>
      </w:tr>
      <w:tr>
        <w:trPr>
          <w:trHeight w:val="196"/>
        </w:trPr>
        <w:tc>
          <w:tcPr>
            <w:tcW w:w="8820" w:type="dxa"/>
            <w:vAlign w:val="bottom"/>
          </w:tcPr>
          <w:p>
            <w:pPr>
              <w:ind w:left="26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58,155</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46,352</w:t>
            </w:r>
          </w:p>
        </w:tc>
        <w:tc>
          <w:tcPr>
            <w:tcW w:w="100" w:type="dxa"/>
            <w:vAlign w:val="bottom"/>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Intangible assets: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ind w:left="240"/>
              <w:spacing w:after="0" w:line="189" w:lineRule="exact"/>
              <w:rPr>
                <w:sz w:val="20"/>
                <w:szCs w:val="20"/>
                <w:color w:val="auto"/>
              </w:rPr>
            </w:pPr>
            <w:r>
              <w:rPr>
                <w:rFonts w:ascii="Arial" w:cs="Arial" w:eastAsia="Arial" w:hAnsi="Arial"/>
                <w:sz w:val="17"/>
                <w:szCs w:val="17"/>
                <w:color w:val="auto"/>
              </w:rPr>
              <w:t>Finite-lived intangible assets:</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Carrying amount:</w:t>
            </w:r>
          </w:p>
        </w:tc>
        <w:tc>
          <w:tcPr>
            <w:tcW w:w="4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ind w:left="740"/>
              <w:spacing w:after="0" w:line="189" w:lineRule="exact"/>
              <w:rPr>
                <w:sz w:val="20"/>
                <w:szCs w:val="20"/>
                <w:color w:val="auto"/>
              </w:rPr>
            </w:pPr>
            <w:r>
              <w:rPr>
                <w:rFonts w:ascii="Arial" w:cs="Arial" w:eastAsia="Arial" w:hAnsi="Arial"/>
                <w:sz w:val="17"/>
                <w:szCs w:val="17"/>
                <w:color w:val="auto"/>
              </w:rPr>
              <w:t>Backlog</w:t>
            </w:r>
          </w:p>
        </w:tc>
        <w:tc>
          <w:tcPr>
            <w:tcW w:w="4480" w:type="dxa"/>
            <w:vAlign w:val="bottom"/>
            <w:gridSpan w:val="2"/>
          </w:tcPr>
          <w:p>
            <w:pPr>
              <w:ind w:left="4380"/>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72,630</w:t>
            </w:r>
          </w:p>
        </w:tc>
        <w:tc>
          <w:tcPr>
            <w:tcW w:w="74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Customer relationships</w:t>
            </w:r>
          </w:p>
        </w:tc>
        <w:tc>
          <w:tcPr>
            <w:tcW w:w="4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145,051</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145,051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ind w:left="740"/>
              <w:spacing w:after="0" w:line="189" w:lineRule="exact"/>
              <w:rPr>
                <w:sz w:val="20"/>
                <w:szCs w:val="20"/>
                <w:color w:val="auto"/>
              </w:rPr>
            </w:pPr>
            <w:r>
              <w:rPr>
                <w:rFonts w:ascii="Arial" w:cs="Arial" w:eastAsia="Arial" w:hAnsi="Arial"/>
                <w:sz w:val="17"/>
                <w:szCs w:val="17"/>
                <w:color w:val="auto"/>
              </w:rPr>
              <w:t>Developed technologies</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54,475</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54,475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Other</w:t>
            </w:r>
          </w:p>
        </w:tc>
        <w:tc>
          <w:tcPr>
            <w:tcW w:w="43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740"/>
              <w:spacing w:after="0"/>
              <w:rPr>
                <w:sz w:val="20"/>
                <w:szCs w:val="20"/>
                <w:color w:val="auto"/>
              </w:rPr>
            </w:pPr>
            <w:r>
              <w:rPr>
                <w:rFonts w:ascii="Arial" w:cs="Arial" w:eastAsia="Arial" w:hAnsi="Arial"/>
                <w:sz w:val="17"/>
                <w:szCs w:val="17"/>
                <w:color w:val="auto"/>
              </w:rPr>
              <w:t>Total finite-lived intangible assets</w:t>
            </w: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274,661</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274,661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amortization:</w:t>
            </w:r>
          </w:p>
        </w:tc>
        <w:tc>
          <w:tcPr>
            <w:tcW w:w="4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ind w:left="740"/>
              <w:spacing w:after="0" w:line="189" w:lineRule="exact"/>
              <w:rPr>
                <w:sz w:val="20"/>
                <w:szCs w:val="20"/>
                <w:color w:val="auto"/>
              </w:rPr>
            </w:pPr>
            <w:r>
              <w:rPr>
                <w:rFonts w:ascii="Arial" w:cs="Arial" w:eastAsia="Arial" w:hAnsi="Arial"/>
                <w:sz w:val="17"/>
                <w:szCs w:val="17"/>
                <w:color w:val="auto"/>
              </w:rPr>
              <w:t>Backlog</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(72,630)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Customer relationships</w:t>
            </w:r>
          </w:p>
        </w:tc>
        <w:tc>
          <w:tcPr>
            <w:tcW w:w="4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(36,810)</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(26,991)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ind w:left="740"/>
              <w:spacing w:after="0" w:line="189" w:lineRule="exact"/>
              <w:rPr>
                <w:sz w:val="20"/>
                <w:szCs w:val="20"/>
                <w:color w:val="auto"/>
              </w:rPr>
            </w:pPr>
            <w:r>
              <w:rPr>
                <w:rFonts w:ascii="Arial" w:cs="Arial" w:eastAsia="Arial" w:hAnsi="Arial"/>
                <w:sz w:val="17"/>
                <w:szCs w:val="17"/>
                <w:color w:val="auto"/>
              </w:rPr>
              <w:t>Developed technologies</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(21,790)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Other</w:t>
            </w:r>
          </w:p>
        </w:tc>
        <w:tc>
          <w:tcPr>
            <w:tcW w:w="4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(1,002)</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740"/>
              <w:spacing w:after="0"/>
              <w:rPr>
                <w:sz w:val="20"/>
                <w:szCs w:val="20"/>
                <w:color w:val="auto"/>
              </w:rPr>
            </w:pPr>
            <w:r>
              <w:rPr>
                <w:rFonts w:ascii="Arial" w:cs="Arial" w:eastAsia="Arial" w:hAnsi="Arial"/>
                <w:sz w:val="17"/>
                <w:szCs w:val="17"/>
                <w:color w:val="auto"/>
              </w:rPr>
              <w:t>Total accumulated amortization</w:t>
            </w: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(132,232)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(119,564)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finite-lived intangible assets, net</w:t>
            </w:r>
          </w:p>
        </w:tc>
        <w:tc>
          <w:tcPr>
            <w:tcW w:w="43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142,429</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155,097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500"/>
              <w:spacing w:after="0"/>
              <w:rPr>
                <w:sz w:val="20"/>
                <w:szCs w:val="20"/>
                <w:color w:val="auto"/>
              </w:rPr>
            </w:pPr>
            <w:r>
              <w:rPr>
                <w:rFonts w:ascii="Arial" w:cs="Arial" w:eastAsia="Arial" w:hAnsi="Arial"/>
                <w:sz w:val="17"/>
                <w:szCs w:val="17"/>
                <w:color w:val="auto"/>
              </w:rPr>
              <w:t>Trade name (indefinite-lived)</w:t>
            </w:r>
          </w:p>
        </w:tc>
        <w:tc>
          <w:tcPr>
            <w:tcW w:w="4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31,646</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intangible assets, net</w:t>
            </w:r>
          </w:p>
        </w:tc>
        <w:tc>
          <w:tcPr>
            <w:tcW w:w="4480" w:type="dxa"/>
            <w:vAlign w:val="bottom"/>
            <w:gridSpan w:val="2"/>
            <w:shd w:val="clear" w:color="auto" w:fill="CCEEFF"/>
          </w:tcPr>
          <w:p>
            <w:pPr>
              <w:ind w:left="4380"/>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174,075</w:t>
            </w:r>
          </w:p>
        </w:tc>
        <w:tc>
          <w:tcPr>
            <w:tcW w:w="74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80" w:type="dxa"/>
            <w:vAlign w:val="bottom"/>
            <w:gridSpan w:val="2"/>
          </w:tcPr>
          <w:p>
            <w:pPr>
              <w:ind w:left="1100"/>
              <w:spacing w:after="0"/>
              <w:rPr>
                <w:sz w:val="20"/>
                <w:szCs w:val="20"/>
                <w:color w:val="auto"/>
              </w:rPr>
            </w:pPr>
            <w:r>
              <w:rPr>
                <w:rFonts w:ascii="Arial" w:cs="Arial" w:eastAsia="Arial" w:hAnsi="Arial"/>
                <w:sz w:val="16"/>
                <w:szCs w:val="16"/>
                <w:color w:val="auto"/>
              </w:rPr>
              <w:t>F-47</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As of March 31, 2016,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2016</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38,004</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37,790</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29,371</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14,639</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7,797</w:t>
            </w:r>
          </w:p>
        </w:tc>
      </w:tr>
      <w:tr>
        <w:trPr>
          <w:trHeight w:val="196"/>
        </w:trPr>
        <w:tc>
          <w:tcPr>
            <w:tcW w:w="20" w:type="dxa"/>
            <w:vAlign w:val="bottom"/>
          </w:tcPr>
          <w:p>
            <w:pPr>
              <w:spacing w:after="0"/>
              <w:rPr>
                <w:sz w:val="17"/>
                <w:szCs w:val="17"/>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future amortization expense</w:t>
            </w:r>
          </w:p>
        </w:tc>
        <w:tc>
          <w:tcPr>
            <w:tcW w:w="4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142,429</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84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83"/>
        </w:trPr>
        <w:tc>
          <w:tcPr>
            <w:tcW w:w="5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Employee compensation and benefits</w:t>
            </w:r>
          </w:p>
        </w:tc>
        <w:tc>
          <w:tcPr>
            <w:tcW w:w="2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11,083</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17,195</w:t>
            </w:r>
          </w:p>
        </w:tc>
        <w:tc>
          <w:tcPr>
            <w:tcW w:w="100" w:type="dxa"/>
            <w:vAlign w:val="bottom"/>
            <w:shd w:val="clear" w:color="auto" w:fill="CCEEFF"/>
          </w:tcPr>
          <w:p>
            <w:pPr>
              <w:spacing w:after="0"/>
              <w:rPr>
                <w:sz w:val="15"/>
                <w:szCs w:val="15"/>
                <w:color w:val="auto"/>
              </w:rPr>
            </w:pPr>
          </w:p>
        </w:tc>
      </w:tr>
      <w:tr>
        <w:trPr>
          <w:trHeight w:val="196"/>
        </w:trPr>
        <w:tc>
          <w:tcPr>
            <w:tcW w:w="584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4,107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2,916</w:t>
            </w:r>
          </w:p>
        </w:tc>
        <w:tc>
          <w:tcPr>
            <w:tcW w:w="100" w:type="dxa"/>
            <w:vAlign w:val="bottom"/>
          </w:tcPr>
          <w:p>
            <w:pPr>
              <w:spacing w:after="0"/>
              <w:rPr>
                <w:sz w:val="17"/>
                <w:szCs w:val="17"/>
                <w:color w:val="auto"/>
              </w:rPr>
            </w:pPr>
          </w:p>
        </w:tc>
      </w:tr>
      <w:tr>
        <w:trPr>
          <w:trHeight w:val="189"/>
        </w:trPr>
        <w:tc>
          <w:tcPr>
            <w:tcW w:w="5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accrued expenses</w:t>
            </w:r>
          </w:p>
        </w:tc>
        <w:tc>
          <w:tcPr>
            <w:tcW w:w="3140" w:type="dxa"/>
            <w:vAlign w:val="bottom"/>
            <w:gridSpan w:val="2"/>
            <w:shd w:val="clear" w:color="auto" w:fill="CCEEFF"/>
          </w:tcPr>
          <w:p>
            <w:pPr>
              <w:ind w:left="29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15,190</w:t>
            </w:r>
          </w:p>
        </w:tc>
        <w:tc>
          <w:tcPr>
            <w:tcW w:w="5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20,111</w:t>
            </w:r>
          </w:p>
        </w:tc>
      </w:tr>
      <w:tr>
        <w:trPr>
          <w:trHeight w:val="20"/>
        </w:trPr>
        <w:tc>
          <w:tcPr>
            <w:tcW w:w="5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2"/>
                <w:szCs w:val="12"/>
                <w:color w:val="auto"/>
              </w:rPr>
            </w:pPr>
          </w:p>
        </w:tc>
        <w:tc>
          <w:tcPr>
            <w:tcW w:w="108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58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150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top w:val="single" w:sz="8" w:color="CCEEFF"/>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Term loan</w:t>
            </w:r>
          </w:p>
        </w:tc>
        <w:tc>
          <w:tcPr>
            <w:tcW w:w="38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$ 390,000</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1"/>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Capital lease</w:t>
            </w:r>
          </w:p>
        </w:tc>
        <w:tc>
          <w:tcPr>
            <w:tcW w:w="380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390,044</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390,059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Less unamortized discount</w:t>
            </w:r>
          </w:p>
        </w:tc>
        <w:tc>
          <w:tcPr>
            <w:tcW w:w="47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(1,890)</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Less unamortized debt issuance costs</w:t>
            </w:r>
          </w:p>
        </w:tc>
        <w:tc>
          <w:tcPr>
            <w:tcW w:w="47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(9,653)</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Less current portion of long-term debt</w:t>
            </w:r>
          </w:p>
        </w:tc>
        <w:tc>
          <w:tcPr>
            <w:tcW w:w="380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 net, less current portion</w:t>
            </w:r>
          </w:p>
        </w:tc>
        <w:tc>
          <w:tcPr>
            <w:tcW w:w="38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$ 378,457</w:t>
            </w:r>
          </w:p>
        </w:tc>
        <w:tc>
          <w:tcPr>
            <w:tcW w:w="760" w:type="dxa"/>
            <w:vAlign w:val="bottom"/>
            <w:gridSpan w:val="2"/>
            <w:shd w:val="clear" w:color="auto" w:fill="CCEEFF"/>
          </w:tcPr>
          <w:p>
            <w:pPr>
              <w:jc w:val="right"/>
              <w:ind w:right="161"/>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377,882</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5120" w:type="dxa"/>
            <w:vAlign w:val="bottom"/>
            <w:gridSpan w:val="2"/>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3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gridSpan w:val="2"/>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 (remaining)</w:t>
            </w:r>
          </w:p>
        </w:tc>
        <w:tc>
          <w:tcPr>
            <w:tcW w:w="3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3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3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3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 and thereafter</w:t>
            </w:r>
          </w:p>
        </w:tc>
        <w:tc>
          <w:tcPr>
            <w:tcW w:w="3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390,044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700" w:type="dxa"/>
            <w:vAlign w:val="bottom"/>
            <w:gridSpan w:val="3"/>
          </w:tcPr>
          <w:p>
            <w:pPr>
              <w:jc w:val="right"/>
              <w:ind w:right="3940"/>
              <w:spacing w:after="0"/>
              <w:rPr>
                <w:sz w:val="20"/>
                <w:szCs w:val="20"/>
                <w:color w:val="auto"/>
              </w:rPr>
            </w:pPr>
            <w:r>
              <w:rPr>
                <w:rFonts w:ascii="Arial" w:cs="Arial" w:eastAsia="Arial" w:hAnsi="Arial"/>
                <w:sz w:val="16"/>
                <w:szCs w:val="16"/>
                <w:color w:val="auto"/>
              </w:rPr>
              <w:t>F-48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estimated fair value of the Company’s term loan based on Level 1 quoted market prices, approximates $385.2 million and $386.3 million as of March 31, 2016 and December 31, 2015, compared to the carrying value of $388.1 million and $388.0 million.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4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On April 1, 2014 the Company entered into a new credit agreement (the “Credit Agreement”), consisting of a $530 million term loan and a $60 million revolving credit facility (“revolver”). The term loan portion of the Credit Agreement expires in April 2021 and the revolver portion expires in April 2019. 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w:t>
      </w:r>
    </w:p>
    <w:p>
      <w:pPr>
        <w:spacing w:after="0" w:line="150"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Borrowings under the Credit Agreement bear interest at a rate equal to, at our option, either (a) a Eurocurency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w:t>
      </w:r>
    </w:p>
    <w:p>
      <w:pPr>
        <w:ind w:right="80"/>
        <w:spacing w:after="0" w:line="234" w:lineRule="auto"/>
        <w:rPr>
          <w:sz w:val="20"/>
          <w:szCs w:val="20"/>
          <w:color w:val="auto"/>
        </w:rPr>
      </w:pPr>
      <w:r>
        <w:rPr>
          <w:rFonts w:ascii="Arial" w:cs="Arial" w:eastAsia="Arial" w:hAnsi="Arial"/>
          <w:sz w:val="17"/>
          <w:szCs w:val="17"/>
          <w:color w:val="auto"/>
        </w:rPr>
        <w:t xml:space="preserve">4.75:1.00, or 3.75% if our total net leverage ratio is less than or equal to 4.75:1.00; provided that the relevant Eurocurrency rate shall be deemed to be no less than 1.00% per annum; (b) a base rate, which is defined as the highest of (i)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leverage ratio is less than or equal to 4.75:1.00; provided that the base rate shall be deemed to be no less than 2.00% per annum. We may voluntarily prepay outstanding loans under the Credit Agreement without premium or penalty. As of March 31, 2016, the interest applicable on the term loan was the Eurocurrency minimum floor interest rate of 4.75%.</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the Company is required to pay to the lenders a commitment fee of 0.5% quarterly for unused commitments on the revolver, subject to a step-down to 0.375% based upon achievement of a certain leverage ratio as defined within the Credit Agreement. At March 31, 2016 the Company had no outstanding borrowings under the revolver resulting in $60.0 million in undrawn capacity available under the Revolver. In addition, the Company did not have any outstanding letters of credit, which are secured by the revolving credit facilities at March 31, 2016.</w:t>
      </w:r>
    </w:p>
    <w:p>
      <w:pPr>
        <w:spacing w:after="0" w:line="149"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Also within the Credit Agreement, if we have drawn greater than 30% of the commitments under the Credit Agreement as of the last date of any quarter, then we are required to report compliance with a financial covenant that is tested at the end of each quarter. This financial covenant requires us to maintain a net debt to consolidated EBITDA leverage ratio (as defined under the Credit Agreement) of less than or equal to 8.00:1.00 for any fiscal quarter ending on or prior to March 31, 2016 and 7.50:1.00, thereafter. As of March 31, 2016, we were in compliance with all covenants under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3"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The Company has a long-term incentive plan (the “Plan”) that provides for long-term equity incentive compensation for key employees, officers and directors. A variety of discretionary awards (collectively, the “Awards”) for employees and non-employee directors are authorized under the Plan, including vested shares, stock options, restricted share awards (“RSAs”), and restricted stock units (“RSUs”). The Plan expires in 2024, except for awards then outstanding and is administered by the Board of Directors.</w:t>
      </w:r>
    </w:p>
    <w:p>
      <w:pPr>
        <w:spacing w:after="0" w:line="14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Company granted 47,000 stock options vesting equally over four years and 15,000 restricted awards which immediately vested upon issuance, during the three months ended March 31, 2016.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Stock-based compensation expense recognized in the condensed consolidated statements of operations related to the Awards are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58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Direct costs</w:t>
            </w:r>
          </w:p>
        </w:tc>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563</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2,463</w:t>
            </w:r>
          </w:p>
        </w:tc>
        <w:tc>
          <w:tcPr>
            <w:tcW w:w="10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2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446</w:t>
            </w:r>
          </w:p>
        </w:tc>
        <w:tc>
          <w:tcPr>
            <w:tcW w:w="1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1,208</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2700" w:type="dxa"/>
            <w:vAlign w:val="bottom"/>
            <w:gridSpan w:val="2"/>
            <w:shd w:val="clear" w:color="auto" w:fill="CCEEFF"/>
          </w:tcPr>
          <w:p>
            <w:pPr>
              <w:jc w:val="right"/>
              <w:ind w:right="65"/>
              <w:spacing w:after="0" w:line="189" w:lineRule="exact"/>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ind w:right="1080"/>
              <w:spacing w:after="0" w:line="189" w:lineRule="exact"/>
              <w:rPr>
                <w:sz w:val="20"/>
                <w:szCs w:val="20"/>
                <w:color w:val="auto"/>
              </w:rPr>
            </w:pPr>
            <w:r>
              <w:rPr>
                <w:rFonts w:ascii="Arial" w:cs="Arial" w:eastAsia="Arial" w:hAnsi="Arial"/>
                <w:sz w:val="17"/>
                <w:szCs w:val="17"/>
                <w:color w:val="auto"/>
              </w:rPr>
              <w:t>1,009</w:t>
            </w: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3,671</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majority of the Awards are classified as liability instruments due to a condition upon accepting the awards. Participants must execute a Contribution and Subscription Agreement that provides for the exchange of the shares issued for incentive units in the equity of a non-consolidated related party. The stock-based compensation liability was $4.2 million, of which $2.0 million is included in Other Current Liabilities and $2.2 million is included in Other Long-Term Liabilities in the condensed consolidated balance sheet at March 31, 2016. The stock-based compensation liability was $3.6 million, of which $1.7 million is included in Other Current Liabilities and $1.9 million is included in Other Long-Term Liabilities in the condensed consolidated balance sheet at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80"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 Company’s effective income tax rate was 42.2% and 96.4% for the three month periods ended March 31, 2016 and March 31, 2015, respectively. The Company’s effective income tax rate for the three months ended March 31, 2016 varied from the U.S. statutory rate of 35.0% primarily due to the impact of domestic and foreign uncertain tax positions.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March 31, 2016 and December 31, 2015. There is a reasonable possibility that a loss exceeding amounts already recognized may be incurred related to these actions; however, the Company believes that such potential losses were immaterial as of March 31, 2016.</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w:t>
      </w:r>
    </w:p>
    <w:p>
      <w:pPr>
        <w:spacing w:after="0" w:line="41"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In May 2013, the Company committed to the aggregate purchase of $2.0 million of software services from a vendor during the period from June 1, 2013 through May 31, 2016. In return for the commitment, the Company receives preferential fixed rate pricing and a 5% discount on all purchases made pursuant to this agreement during its three-year term. During 2014, the Company met the aggregate purchase commitment.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4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existed at March 31, 2016 and December 31, 2015, respectively, and are included in the Prepaid expenses and other current assets line item of the condensed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During the quarter ended March 31, 2016 and 2015, the Company incurred management fees to Cinven Limited of $0.1 million and $0.1 million, respectively, and related travel expenses of $0.1 million and less than $0.1 million, respectively. As of March 31, 2016 and December 31, 2015, the Company had outstanding accounts payable to Cinven Limited of $0.1 million and $0.1 million,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chief executive officer and other executives of Medpace have majority ownership interests and are board members of Symplmed Pharmaceuticals, LLC (“Symplmed”), a pharmaceutical development company, and the chief executive officer is also Chairman of the Board. Medpace entered into a Master Services Agreement (“MSA”) with Symplmed to perform clinical trials. The MSA also provides for a financing arrangement which allows for Symplmed to defer payments of the services provided by the Company while incurring premium service charges as consideration for the deferred payment concessions. The Company has evaluated its relationship with Symplmed and concluded that Symplmed is not a variable interest entity because the Company has no direct ownership interest or relationship other than the MSA. During the quarters ended March 31, 2016 and 2015, the Company recognized service revenue of $0.3 million and $0.3 million, respectively, in the Company’s condensed consolidated statements of operations.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chief executive officer of the Company is a member of Coherus BioSciences, Inc.’s (“Coherus”) board of directors, making Coherus a related party. The Company has secured an agreement to perform Phase I through Phase III clinical trial work for certain Coherus “bio-similar” drug compounds. The agreement provides for a minimum fee commitment for clinical trial services and is cancelable without cause by either party upon 30 days prior notification. During the quarters ended March 31, 2016 and 2015 the Company recognized service revenue from Coherus of $7.1 million and $5.6 million, respectively, in the Company’s condensed consolidated statements of operations. As of March 31, 2016 and December 31, 2015, respectively, the Company had accounts receivable from Coherus of $2.9 million and $2.0 million recorded in the condensed consolidated balance sheets, respectively. As of March 31, 2016 and December 31, 2015, respectively, the Company had, from Coherus, $8.4 million and $8.4 million of Advanced billings and $3.7 million and $3.5 million of Pre-funded study costs, in the condensed consolidated balance sheets.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During the quarter ended March 31, 2016, the Company recognized service revenue from Xenon of $0.3 million and less than $0.1 million during the quarter ended March 31, 2015 in the Company’s condensed consolidated statements of operations. As of March 31, 2016 and December 31, 2015, respectively, the Company had, from Xenon, $2.0 million and $1.8 million of Advanced billings and $0.1 million and $0.2 million of Pre-funded study costs, in the condensed consolidated balance sheets.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has entered into operating leases for its corporate headquarters and a storage space facility with a related party which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is through June 2016. The Company pays rent, taxes, insurance, and maintenance expenses that arise from the use of the properties. Annual base rent for the corporate headquarters allows for adjustments to the rental rate annually for increases in the consumer price index. Lease expense recognized for the quarter ended March 31, 2016 and 2015 was $0.5 million, respectively, and was allocated between Direct costs, excluding depreciation, amortization, and Selling, general and administrative in the condensed consolidated statements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5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entered into two multi-year lease agreements with a related party governing the future occupancy of additional space of two buildings in Cincinnati, Ohio. The related parties are wholly owned by the Company’s chief executive officer and certain of his immediate family members.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and Deemed landlord liabilities, respectively, on the condensed consolidated balance sheets. The Company assumed occupancy in 2012 and the leases expire in 2027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with the Company having one 10-year option to extend the lease term. The deemed assets are being fully depreciated, 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condensed consolidated statements of operations. The Company paid $0.9 million and $0.6 million during the three months ended March 31, 2016 and 2015, respectively. The current and long-term portions of the Deemed landlord liability at March 31, 2016 were $1.6 million and $29.9 million, respectively. The current and long-term portions of the Deemed landlord liability at December 31, 2015 were $1.6 million and $30.3 million, respectively. The Company has recognized deemed assets, net of $19.3 million and $19.8 million at March 31, 2016 and December 31, 2015, respectively, in the condensed 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$0.3 million and $0.3 million during the three months ended March 31, 2016 and 2015 related to these travel services, respectively, and are recorded in Selling, general and administrative in the Company’s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has evaluated subsequent events through May 25, 2016, the date the condensed consolidated financial statements were available to be issued, to determine if either recognition or disclosure of significant events or transactions was required. No such subsequent events were noted.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36"/>
          <w:szCs w:val="36"/>
          <w:b w:val="1"/>
          <w:bCs w:val="1"/>
          <w:color w:val="auto"/>
        </w:rPr>
        <w:t>Medpace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876935</wp:posOffset>
            </wp:positionV>
            <wp:extent cx="22383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154305</wp:posOffset>
            </wp:positionV>
            <wp:extent cx="22383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Jefferies</w:t>
      </w:r>
    </w:p>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Credit Suisse</w:t>
      </w:r>
    </w:p>
    <w:p>
      <w:pPr>
        <w:spacing w:after="0" w:line="10"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UBS Investment Bank</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Wells Fargo Securities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Co-Managers</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Baird</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William Blair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2016</w:t>
      </w:r>
    </w:p>
    <w:p>
      <w:pPr>
        <w:spacing w:after="0" w:line="186" w:lineRule="exact"/>
        <w:rPr>
          <w:sz w:val="20"/>
          <w:szCs w:val="20"/>
          <w:color w:val="auto"/>
        </w:rPr>
      </w:pPr>
    </w:p>
    <w:p>
      <w:pPr>
        <w:spacing w:after="0"/>
        <w:tabs>
          <w:tab w:leader="none" w:pos="2640" w:val="left"/>
        </w:tabs>
        <w:rPr>
          <w:sz w:val="20"/>
          <w:szCs w:val="20"/>
          <w:color w:val="auto"/>
        </w:rPr>
      </w:pPr>
      <w:r>
        <w:rPr>
          <w:rFonts w:ascii="Arial" w:cs="Arial" w:eastAsia="Arial" w:hAnsi="Arial"/>
          <w:sz w:val="17"/>
          <w:szCs w:val="17"/>
          <w:b w:val="1"/>
          <w:bCs w:val="1"/>
          <w:color w:val="auto"/>
        </w:rPr>
        <w:t>Through and including</w:t>
      </w:r>
      <w:r>
        <w:rPr>
          <w:sz w:val="20"/>
          <w:szCs w:val="20"/>
          <w:color w:val="auto"/>
        </w:rPr>
        <w:tab/>
      </w:r>
      <w:r>
        <w:rPr>
          <w:rFonts w:ascii="Arial" w:cs="Arial" w:eastAsia="Arial" w:hAnsi="Arial"/>
          <w:sz w:val="17"/>
          <w:szCs w:val="17"/>
          <w:b w:val="1"/>
          <w:bCs w:val="1"/>
          <w:color w:val="auto"/>
        </w:rPr>
        <w:t>, 2016 (the 25th day after the date of this prospectus), all dealers effecting transactions in these securities,</w:t>
      </w:r>
    </w:p>
    <w:p>
      <w:pPr>
        <w:spacing w:after="0" w:line="1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460"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INFORMATION NOT REQUIRED IN THE PROSPECTUS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following table sets forth all fees and expenses, other than the underwriting discounts and commissions payable solely by Medpace Holdings, Inc. in connection with the offer and sale of the securities being registered. All amounts shown are estimated except for the SEC registration fee, the Financial Industry Regulatory Authority, Inc., or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89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FINRA filing fee</w:t>
      </w:r>
    </w:p>
    <w:p>
      <w:pPr>
        <w:spacing w:after="0" w:line="232" w:lineRule="auto"/>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Accounting fees and expenses</w:t>
      </w:r>
    </w:p>
    <w:p>
      <w:pPr>
        <w:spacing w:after="0" w:line="232" w:lineRule="auto"/>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Printing expenses</w:t>
      </w:r>
    </w:p>
    <w:p>
      <w:pPr>
        <w:spacing w:after="0" w:line="232" w:lineRule="auto"/>
        <w:rPr>
          <w:sz w:val="20"/>
          <w:szCs w:val="20"/>
          <w:color w:val="auto"/>
        </w:rPr>
      </w:pPr>
      <w:r>
        <w:rPr>
          <w:rFonts w:ascii="Arial" w:cs="Arial" w:eastAsia="Arial" w:hAnsi="Arial"/>
          <w:sz w:val="17"/>
          <w:szCs w:val="17"/>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200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Blue sky fees and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AMOUNT TO BE</w:t>
      </w:r>
    </w:p>
    <w:p>
      <w:pPr>
        <w:spacing w:after="0" w:line="19"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PAID</w:t>
      </w:r>
    </w:p>
    <w:p>
      <w:pPr>
        <w:ind w:left="603" w:hanging="603"/>
        <w:spacing w:after="0" w:line="236" w:lineRule="auto"/>
        <w:tabs>
          <w:tab w:leader="none" w:pos="603" w:val="left"/>
        </w:tabs>
        <w:numPr>
          <w:ilvl w:val="0"/>
          <w:numId w:val="89"/>
        </w:numPr>
        <w:rPr>
          <w:rFonts w:ascii="Arial" w:cs="Arial" w:eastAsia="Arial" w:hAnsi="Arial"/>
          <w:sz w:val="17"/>
          <w:szCs w:val="17"/>
          <w:color w:val="auto"/>
        </w:rPr>
      </w:pPr>
      <w:r>
        <w:rPr>
          <w:rFonts w:ascii="Arial" w:cs="Arial" w:eastAsia="Arial" w:hAnsi="Arial"/>
          <w:sz w:val="17"/>
          <w:szCs w:val="17"/>
          <w:color w:val="auto"/>
        </w:rPr>
        <w:t>15,105</w:t>
      </w:r>
    </w:p>
    <w:p>
      <w:pPr>
        <w:ind w:left="603"/>
        <w:spacing w:after="0" w:line="232" w:lineRule="auto"/>
        <w:rPr>
          <w:rFonts w:ascii="Arial" w:cs="Arial" w:eastAsia="Arial" w:hAnsi="Arial"/>
          <w:sz w:val="17"/>
          <w:szCs w:val="17"/>
          <w:color w:val="auto"/>
        </w:rPr>
      </w:pPr>
      <w:r>
        <w:rPr>
          <w:rFonts w:ascii="Arial" w:cs="Arial" w:eastAsia="Arial" w:hAnsi="Arial"/>
          <w:sz w:val="17"/>
          <w:szCs w:val="17"/>
          <w:color w:val="auto"/>
        </w:rPr>
        <w:t>23,000</w:t>
      </w: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1123"/>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4" w:lineRule="exact"/>
        <w:rPr>
          <w:sz w:val="20"/>
          <w:szCs w:val="20"/>
          <w:color w:val="auto"/>
        </w:rPr>
      </w:pPr>
    </w:p>
    <w:p>
      <w:pPr>
        <w:ind w:left="1123" w:hanging="1123"/>
        <w:spacing w:after="0"/>
        <w:tabs>
          <w:tab w:leader="none" w:pos="1123"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118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57" w:space="720"/>
            <w:col w:w="1243"/>
          </w:cols>
          <w:pgMar w:left="240" w:top="460" w:right="239" w:bottom="1440" w:gutter="0" w:footer="0" w:header="0"/>
          <w:type w:val="continuous"/>
        </w:sectPr>
      </w:pPr>
    </w:p>
    <w:p>
      <w:pPr>
        <w:spacing w:after="0" w:line="1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completed by amendment.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shareholders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Medpace Holdings, Inc. shall be personally liable to it or its shareholders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8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Upon consummation of this offering, our amended and restated certificate of incorporation and bylaws will provide indemnification for our directors and officers to the fullest extent permitted by the General Corporation Law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460" w:right="2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4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certain officers. Each indemnification agreement will provide, among other things, for indemnification to the fullest extent permitted by law and our amended and restated certificate of incorporation and bylaws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bylaws.</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44"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Set forth below is information regarding shares of capital stock issued by us within the past three years. Also included is the consideration received by us for such shares and information relating to the section of the Securities Act, or rule of the SEC, under which exemption from registration was claimed.</w:t>
      </w:r>
    </w:p>
    <w:p>
      <w:pPr>
        <w:spacing w:after="0" w:line="14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All of the grants described below, except for the grant of 475,000 fully vested shares of our common stock to our Chief Executive Officer on July 31, 2015, were made pursuant to our 2014 Equity Incentive Plan.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On June 10, 2014, we granted (i) stock options to purchase an aggregate of 1,122,280 shares of our common stock at a price of $10.67 per share,</w:t>
      </w:r>
    </w:p>
    <w:p>
      <w:pPr>
        <w:ind w:right="80" w:firstLine="8"/>
        <w:spacing w:after="0" w:line="243" w:lineRule="auto"/>
        <w:tabs>
          <w:tab w:leader="none" w:pos="237" w:val="left"/>
        </w:tabs>
        <w:numPr>
          <w:ilvl w:val="0"/>
          <w:numId w:val="91"/>
        </w:numPr>
        <w:rPr>
          <w:rFonts w:ascii="Arial" w:cs="Arial" w:eastAsia="Arial" w:hAnsi="Arial"/>
          <w:sz w:val="17"/>
          <w:szCs w:val="17"/>
          <w:color w:val="auto"/>
        </w:rPr>
      </w:pPr>
      <w:r>
        <w:rPr>
          <w:rFonts w:ascii="Arial" w:cs="Arial" w:eastAsia="Arial" w:hAnsi="Arial"/>
          <w:sz w:val="17"/>
          <w:szCs w:val="17"/>
          <w:color w:val="auto"/>
        </w:rPr>
        <w:t>279,996 fully vested shares of our common stock and (iii) 419,994 restricted shares of our common stock, in each case to certain of our employees in connection with services provided to us by such parties.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On July 7, 2014, we granted (i) stock options to purchase an aggregate of 371,000 shares of our common stock at a price of $10.67 per share,</w:t>
      </w:r>
    </w:p>
    <w:p>
      <w:pPr>
        <w:ind w:right="180" w:firstLine="8"/>
        <w:spacing w:after="0" w:line="243" w:lineRule="auto"/>
        <w:tabs>
          <w:tab w:leader="none" w:pos="237" w:val="left"/>
        </w:tabs>
        <w:numPr>
          <w:ilvl w:val="0"/>
          <w:numId w:val="92"/>
        </w:numPr>
        <w:rPr>
          <w:rFonts w:ascii="Arial" w:cs="Arial" w:eastAsia="Arial" w:hAnsi="Arial"/>
          <w:sz w:val="17"/>
          <w:szCs w:val="17"/>
          <w:color w:val="auto"/>
        </w:rPr>
      </w:pPr>
      <w:r>
        <w:rPr>
          <w:rFonts w:ascii="Arial" w:cs="Arial" w:eastAsia="Arial" w:hAnsi="Arial"/>
          <w:sz w:val="17"/>
          <w:szCs w:val="17"/>
          <w:color w:val="auto"/>
        </w:rPr>
        <w:t>96,200 fully vested shares of our common stock and (iii) 144,300 restricted shares of our common stock, in each case to certain of our executives and employees in connection with services provided to us by such parties.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On September 1, 2014, we granted stock options to purchase an aggregate of 15,000 fully vested shares of our common stock at a price of $10.67 per share to an employee in connection with services provided to us by such party.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On September 9, 2014, we granted (i) stock options to purchase an aggregate of 20,000 shares of our common stock at a price of $10.67 per share,</w:t>
      </w:r>
    </w:p>
    <w:p>
      <w:pPr>
        <w:ind w:right="260" w:firstLine="8"/>
        <w:spacing w:after="0" w:line="243" w:lineRule="auto"/>
        <w:tabs>
          <w:tab w:leader="none" w:pos="237" w:val="left"/>
        </w:tabs>
        <w:numPr>
          <w:ilvl w:val="0"/>
          <w:numId w:val="93"/>
        </w:numPr>
        <w:rPr>
          <w:rFonts w:ascii="Arial" w:cs="Arial" w:eastAsia="Arial" w:hAnsi="Arial"/>
          <w:sz w:val="17"/>
          <w:szCs w:val="17"/>
          <w:color w:val="auto"/>
        </w:rPr>
      </w:pPr>
      <w:r>
        <w:rPr>
          <w:rFonts w:ascii="Arial" w:cs="Arial" w:eastAsia="Arial" w:hAnsi="Arial"/>
          <w:sz w:val="17"/>
          <w:szCs w:val="17"/>
          <w:color w:val="auto"/>
        </w:rPr>
        <w:t>6,000 fully vested shares of our common stock and (iii) 9,000 restricted shares of our common stock, in each case to certain of our employees in connection with services provided to us by such parties.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On March 23, 2015, we granted (i) stock options to purchase an aggregate of 787,950 shares of our common stock at a price of $12.00 per share,</w:t>
      </w:r>
    </w:p>
    <w:p>
      <w:pPr>
        <w:ind w:right="20" w:firstLine="8"/>
        <w:spacing w:after="0" w:line="243" w:lineRule="auto"/>
        <w:tabs>
          <w:tab w:leader="none" w:pos="237" w:val="left"/>
        </w:tabs>
        <w:numPr>
          <w:ilvl w:val="0"/>
          <w:numId w:val="94"/>
        </w:numPr>
        <w:rPr>
          <w:rFonts w:ascii="Arial" w:cs="Arial" w:eastAsia="Arial" w:hAnsi="Arial"/>
          <w:sz w:val="17"/>
          <w:szCs w:val="17"/>
          <w:color w:val="auto"/>
        </w:rPr>
      </w:pPr>
      <w:r>
        <w:rPr>
          <w:rFonts w:ascii="Arial" w:cs="Arial" w:eastAsia="Arial" w:hAnsi="Arial"/>
          <w:sz w:val="17"/>
          <w:szCs w:val="17"/>
          <w:color w:val="auto"/>
        </w:rPr>
        <w:t>255,160 fully vested shares of our common stock and (iii) 382,740 restricted shares of our common stock and restricted share units, in each case to certain of our employees and executives in connection with services provided to us by such parties.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May 15, 2015, we granted (i) stock options to purchase an aggregate of 5,000 shares of our common stock at a price of $12.00 per share, (ii) 2,000 fully vested shares of our common stock and (iii) 3,000 restricted shares of our common stock, in each case to certain of our employees in connection with services provided to us by such parties.</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On July 31, 2015, we granted (i) stock options to purchase an aggregate of 93,500 shares of our common stock at a price of $12.50 per share to certain of our employees in connection with services provided to us by such parties, (ii) 475,000 fully vested shares of our common stock to our Chief Executive Officer in connection with services provided to us by him and (iii) 340,000 restricted shares of our common stock to our Chief Executive Officer in connection with services provided to us by him.</w:t>
      </w:r>
    </w:p>
    <w:p>
      <w:pPr>
        <w:spacing w:after="0" w:line="149" w:lineRule="exact"/>
        <w:rPr>
          <w:sz w:val="20"/>
          <w:szCs w:val="20"/>
          <w:color w:val="auto"/>
        </w:rPr>
      </w:pPr>
    </w:p>
    <w:p>
      <w:pPr>
        <w:jc w:val="both"/>
        <w:ind w:right="60"/>
        <w:spacing w:after="0" w:line="236" w:lineRule="auto"/>
        <w:rPr>
          <w:sz w:val="20"/>
          <w:szCs w:val="20"/>
          <w:color w:val="auto"/>
        </w:rPr>
      </w:pPr>
      <w:r>
        <w:rPr>
          <w:rFonts w:ascii="Arial" w:cs="Arial" w:eastAsia="Arial" w:hAnsi="Arial"/>
          <w:sz w:val="17"/>
          <w:szCs w:val="17"/>
          <w:color w:val="auto"/>
        </w:rPr>
        <w:t>On August 31, 2015, we issued and sold 50,000 shares of common stock at a price of $12.16 per share for an aggregate consideration of $608,000, and granted (i) stock options to purchase an aggregate of 100,000 shares of our common stock at a price of $12.50 per share, (ii) 40,000 fully vested shares of our common stock and (iii) 60,000 restricted shares of our common stock, in each case to an employee in connection with services provided to us by him.</w:t>
      </w:r>
    </w:p>
    <w:p>
      <w:pPr>
        <w:spacing w:after="0" w:line="149"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Additionally, from September 22, 2015 to November 10, 2015, certain of our officers and employees exercised stock options granted under our 2014 Equity Incentive Plan to purchase a total of 23,500 shares of our common stock at a price of $10.67 per share for an aggregate purchase price of approximately $250,745.</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On December 22, 2015, we granted (i) stock options to purchase an aggregate of 215,000 shares of our common stock at a price of $13.50 per share,</w:t>
      </w:r>
    </w:p>
    <w:p>
      <w:pPr>
        <w:ind w:right="160" w:firstLine="8"/>
        <w:spacing w:after="0" w:line="243" w:lineRule="auto"/>
        <w:tabs>
          <w:tab w:leader="none" w:pos="237" w:val="left"/>
        </w:tabs>
        <w:numPr>
          <w:ilvl w:val="0"/>
          <w:numId w:val="95"/>
        </w:numPr>
        <w:rPr>
          <w:rFonts w:ascii="Arial" w:cs="Arial" w:eastAsia="Arial" w:hAnsi="Arial"/>
          <w:sz w:val="17"/>
          <w:szCs w:val="17"/>
          <w:color w:val="auto"/>
        </w:rPr>
      </w:pPr>
      <w:r>
        <w:rPr>
          <w:rFonts w:ascii="Arial" w:cs="Arial" w:eastAsia="Arial" w:hAnsi="Arial"/>
          <w:sz w:val="17"/>
          <w:szCs w:val="17"/>
          <w:color w:val="auto"/>
        </w:rPr>
        <w:t>15,000 fully vested shares of our common stock and (iii) 120,000 restricted shares of our common stock, in each case to certain of our employees in connection with services provided to us by such parties.</w:t>
      </w:r>
    </w:p>
    <w:p>
      <w:pPr>
        <w:spacing w:after="0" w:line="144"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On January 14, 2016, an employee exercised stock options granted under the 2014 Equity Incentive Plan to purchase a total of 625 shares of our common stock at a price of $10.67 per share for an aggregate purchase price of approximately $6,700.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On March 23, 2016, we granted (i) stock options to purchase an aggregate of 47,000 shares of our common stock at a price of $13.50 per share and</w:t>
      </w:r>
    </w:p>
    <w:p>
      <w:pPr>
        <w:ind w:right="540" w:firstLine="8"/>
        <w:spacing w:after="0" w:line="243" w:lineRule="auto"/>
        <w:tabs>
          <w:tab w:leader="none" w:pos="237" w:val="left"/>
        </w:tabs>
        <w:numPr>
          <w:ilvl w:val="0"/>
          <w:numId w:val="96"/>
        </w:numPr>
        <w:rPr>
          <w:rFonts w:ascii="Arial" w:cs="Arial" w:eastAsia="Arial" w:hAnsi="Arial"/>
          <w:sz w:val="17"/>
          <w:szCs w:val="17"/>
          <w:color w:val="auto"/>
        </w:rPr>
      </w:pPr>
      <w:r>
        <w:rPr>
          <w:rFonts w:ascii="Arial" w:cs="Arial" w:eastAsia="Arial" w:hAnsi="Arial"/>
          <w:sz w:val="17"/>
          <w:szCs w:val="17"/>
          <w:color w:val="auto"/>
        </w:rPr>
        <w:t>15,000 fully vested shares of our common stock, in each case to certain of our employees in connection with services provided to us by such parties.</w:t>
      </w:r>
    </w:p>
    <w:p>
      <w:pPr>
        <w:spacing w:after="0" w:line="144" w:lineRule="exact"/>
        <w:rPr>
          <w:sz w:val="20"/>
          <w:szCs w:val="20"/>
          <w:color w:val="auto"/>
        </w:rPr>
      </w:pPr>
    </w:p>
    <w:p>
      <w:pPr>
        <w:ind w:right="600"/>
        <w:spacing w:after="0" w:line="236"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in reliance upon Section 4(a)(2)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860"/>
        <w:spacing w:after="0" w:line="238" w:lineRule="auto"/>
        <w:rPr>
          <w:sz w:val="20"/>
          <w:szCs w:val="20"/>
          <w:color w:val="auto"/>
        </w:rPr>
      </w:pPr>
      <w:r>
        <w:rPr>
          <w:rFonts w:ascii="Arial" w:cs="Arial" w:eastAsia="Arial" w:hAnsi="Arial"/>
          <w:sz w:val="17"/>
          <w:szCs w:val="17"/>
          <w:color w:val="auto"/>
        </w:rPr>
        <w:t>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exhibit index attached hereto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(b) Financial Statement Schedules</w:t>
      </w:r>
    </w:p>
    <w:p>
      <w:pPr>
        <w:spacing w:after="0" w:line="156"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All schedules have been omitted because the information required to be set forth in the schedules is either not applicable or is shown in the financial statements or notes thereto.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0" w:lineRule="exact"/>
        <w:rPr>
          <w:sz w:val="20"/>
          <w:szCs w:val="20"/>
          <w:color w:val="auto"/>
        </w:rPr>
      </w:pPr>
    </w:p>
    <w:p>
      <w:pPr>
        <w:ind w:right="220" w:firstLine="8"/>
        <w:spacing w:after="0" w:line="243" w:lineRule="auto"/>
        <w:tabs>
          <w:tab w:leader="none" w:pos="25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rFonts w:ascii="Arial" w:cs="Arial" w:eastAsia="Arial" w:hAnsi="Arial"/>
          <w:sz w:val="17"/>
          <w:szCs w:val="17"/>
          <w:color w:val="auto"/>
        </w:rPr>
      </w:pPr>
    </w:p>
    <w:p>
      <w:pPr>
        <w:ind w:right="20" w:firstLine="8"/>
        <w:spacing w:after="0" w:line="234" w:lineRule="auto"/>
        <w:tabs>
          <w:tab w:leader="none" w:pos="256"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Medpace Holdings, Inc. pursuant to the foregoing provisions, or otherwise, Medpace Holdings, Inc. has been advised that in the opinion of the SEC such indemnification is against public policy as expressed in the Securities Act and is, therefore, unenforceable. In the event that a claim for indemnification against such liabilities (other than the payment by Medpace Holdings, Inc. of expenses incurred or paid by a director, officer or controlling person of Medpace Holdings, Inc. in the successful defense of any action, suit or proceeding) is asserted by such director, officer or controlling person in connection with the securities being registered, Medpace Holdings,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rFonts w:ascii="Arial" w:cs="Arial" w:eastAsia="Arial" w:hAnsi="Arial"/>
          <w:sz w:val="17"/>
          <w:szCs w:val="17"/>
          <w:color w:val="auto"/>
        </w:rPr>
      </w:pPr>
    </w:p>
    <w:p>
      <w:pPr>
        <w:ind w:left="260" w:hanging="252"/>
        <w:spacing w:after="0"/>
        <w:tabs>
          <w:tab w:leader="none" w:pos="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undersigned hereby further undertakes that:</w:t>
      </w:r>
    </w:p>
    <w:p>
      <w:pPr>
        <w:spacing w:after="0" w:line="155" w:lineRule="exact"/>
        <w:rPr>
          <w:rFonts w:ascii="Arial" w:cs="Arial" w:eastAsia="Arial" w:hAnsi="Arial"/>
          <w:sz w:val="17"/>
          <w:szCs w:val="17"/>
          <w:color w:val="auto"/>
        </w:rPr>
      </w:pPr>
    </w:p>
    <w:p>
      <w:pPr>
        <w:ind w:left="360" w:right="120" w:hanging="10"/>
        <w:spacing w:after="0" w:line="232" w:lineRule="auto"/>
        <w:tabs>
          <w:tab w:leader="none" w:pos="616" w:val="left"/>
        </w:tabs>
        <w:numPr>
          <w:ilvl w:val="1"/>
          <w:numId w:val="9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Medpace Holdings, Inc. pursuant to Rule 424(b)</w:t>
      </w:r>
    </w:p>
    <w:p>
      <w:pPr>
        <w:ind w:left="600" w:hanging="250"/>
        <w:spacing w:after="0"/>
        <w:tabs>
          <w:tab w:leader="none" w:pos="6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or (4) or 497(h) under the Securities Act shall be deemed to be part of this registration statement as of the time it was declared effective.</w:t>
      </w:r>
    </w:p>
    <w:p>
      <w:pPr>
        <w:spacing w:after="0" w:line="155" w:lineRule="exact"/>
        <w:rPr>
          <w:rFonts w:ascii="Arial" w:cs="Arial" w:eastAsia="Arial" w:hAnsi="Arial"/>
          <w:sz w:val="17"/>
          <w:szCs w:val="17"/>
          <w:color w:val="auto"/>
        </w:rPr>
      </w:pPr>
    </w:p>
    <w:p>
      <w:pPr>
        <w:ind w:left="360" w:hanging="10"/>
        <w:spacing w:after="0" w:line="238" w:lineRule="auto"/>
        <w:tabs>
          <w:tab w:leader="none" w:pos="616"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Pursuant to the requirements of the Securities Act of 1933, as amended, Medpace Holdings, Inc. has duly caused this registration statement to be signed on its behalf by the undersigned, thereunto duly authorized, in the City of Cincinnati, State of Ohio on June 24, 2016.</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Medpace Holdings, Inc.</w:t>
      </w:r>
    </w:p>
    <w:p>
      <w:pPr>
        <w:spacing w:after="0" w:line="210" w:lineRule="exact"/>
        <w:rPr>
          <w:sz w:val="20"/>
          <w:szCs w:val="20"/>
          <w:color w:val="auto"/>
        </w:rPr>
      </w:pPr>
    </w:p>
    <w:p>
      <w:pPr>
        <w:ind w:left="6860"/>
        <w:spacing w:after="0"/>
        <w:tabs>
          <w:tab w:leader="none" w:pos="7960" w:val="left"/>
          <w:tab w:leader="none" w:pos="83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tab/>
        <w:t>D</w:t>
      </w:r>
      <w:r>
        <w:rPr>
          <w:rFonts w:ascii="Arial" w:cs="Arial" w:eastAsia="Arial" w:hAnsi="Arial"/>
          <w:sz w:val="14"/>
          <w:szCs w:val="14"/>
          <w:color w:val="auto"/>
        </w:rPr>
        <w:t>R</w:t>
      </w:r>
      <w:r>
        <w:rPr>
          <w:rFonts w:ascii="Arial" w:cs="Arial" w:eastAsia="Arial" w:hAnsi="Arial"/>
          <w:sz w:val="17"/>
          <w:szCs w:val="17"/>
          <w:color w:val="auto"/>
        </w:rPr>
        <w:t>. A</w:t>
      </w:r>
      <w:r>
        <w:rPr>
          <w:rFonts w:ascii="Arial" w:cs="Arial" w:eastAsia="Arial" w:hAnsi="Arial"/>
          <w:sz w:val="14"/>
          <w:szCs w:val="14"/>
          <w:color w:val="auto"/>
        </w:rPr>
        <w:t>UGUST</w:t>
      </w:r>
      <w:r>
        <w:rPr>
          <w:rFonts w:ascii="Arial" w:cs="Arial" w:eastAsia="Arial" w:hAnsi="Arial"/>
          <w:sz w:val="17"/>
          <w:szCs w:val="17"/>
          <w:color w:val="auto"/>
        </w:rPr>
        <w:t xml:space="preserve"> J. T</w:t>
      </w:r>
      <w:r>
        <w:rPr>
          <w:rFonts w:ascii="Arial" w:cs="Arial" w:eastAsia="Arial" w:hAnsi="Arial"/>
          <w:sz w:val="14"/>
          <w:szCs w:val="14"/>
          <w:color w:val="auto"/>
        </w:rPr>
        <w: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8255</wp:posOffset>
            </wp:positionV>
            <wp:extent cx="2727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jc w:val="center"/>
        <w:ind w:left="7180"/>
        <w:spacing w:after="0"/>
        <w:rPr>
          <w:sz w:val="20"/>
          <w:szCs w:val="20"/>
          <w:color w:val="auto"/>
        </w:rPr>
      </w:pPr>
      <w:r>
        <w:rPr>
          <w:rFonts w:ascii="Arial" w:cs="Arial" w:eastAsia="Arial" w:hAnsi="Arial"/>
          <w:sz w:val="17"/>
          <w:szCs w:val="17"/>
          <w:color w:val="auto"/>
        </w:rPr>
        <w:t>Dr. August J. Troendle</w:t>
      </w:r>
    </w:p>
    <w:p>
      <w:pPr>
        <w:jc w:val="center"/>
        <w:ind w:left="71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Each of the undersigned officers and directors of Medpace Holdings, Inc. hereby constitutes and appoints, Dr. August J. Troendle and Jesse J. Geiger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Medpace Holdings,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47"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center"/>
              <w:ind w:right="1096"/>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8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71"/>
        </w:trPr>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00" w:type="dxa"/>
            <w:vAlign w:val="bottom"/>
            <w:tcBorders>
              <w:bottom w:val="single" w:sz="8" w:color="auto"/>
            </w:tcBorders>
          </w:tcPr>
          <w:p>
            <w:pPr>
              <w:jc w:val="center"/>
              <w:ind w:right="1036"/>
              <w:spacing w:after="0"/>
              <w:rPr>
                <w:sz w:val="20"/>
                <w:szCs w:val="20"/>
                <w:color w:val="auto"/>
              </w:rPr>
            </w:pPr>
            <w:r>
              <w:rPr>
                <w:rFonts w:ascii="Arial" w:cs="Arial" w:eastAsia="Arial" w:hAnsi="Arial"/>
                <w:sz w:val="17"/>
                <w:szCs w:val="17"/>
                <w:color w:val="auto"/>
              </w:rPr>
              <w:t>D</w:t>
            </w:r>
            <w:r>
              <w:rPr>
                <w:rFonts w:ascii="Arial" w:cs="Arial" w:eastAsia="Arial" w:hAnsi="Arial"/>
                <w:sz w:val="14"/>
                <w:szCs w:val="14"/>
                <w:color w:val="auto"/>
              </w:rPr>
              <w:t>R</w:t>
            </w:r>
            <w:r>
              <w:rPr>
                <w:rFonts w:ascii="Arial" w:cs="Arial" w:eastAsia="Arial" w:hAnsi="Arial"/>
                <w:sz w:val="17"/>
                <w:szCs w:val="17"/>
                <w:color w:val="auto"/>
              </w:rPr>
              <w:t>. A</w:t>
            </w:r>
            <w:r>
              <w:rPr>
                <w:rFonts w:ascii="Arial" w:cs="Arial" w:eastAsia="Arial" w:hAnsi="Arial"/>
                <w:sz w:val="14"/>
                <w:szCs w:val="14"/>
                <w:color w:val="auto"/>
              </w:rPr>
              <w:t>UGUST</w:t>
            </w:r>
            <w:r>
              <w:rPr>
                <w:rFonts w:ascii="Arial" w:cs="Arial" w:eastAsia="Arial" w:hAnsi="Arial"/>
                <w:sz w:val="17"/>
                <w:szCs w:val="17"/>
                <w:color w:val="auto"/>
              </w:rPr>
              <w:t xml:space="preserve"> J. T</w:t>
            </w:r>
            <w:r>
              <w:rPr>
                <w:rFonts w:ascii="Arial" w:cs="Arial" w:eastAsia="Arial" w:hAnsi="Arial"/>
                <w:sz w:val="14"/>
                <w:szCs w:val="14"/>
                <w:color w:val="auto"/>
              </w:rPr>
              <w:t>ROENDLE</w:t>
            </w:r>
          </w:p>
        </w:tc>
        <w:tc>
          <w:tcPr>
            <w:tcW w:w="10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Chairman of the Board of</w:t>
            </w:r>
          </w:p>
        </w:tc>
        <w:tc>
          <w:tcPr>
            <w:tcW w:w="1980" w:type="dxa"/>
            <w:vAlign w:val="bottom"/>
          </w:tcPr>
          <w:p>
            <w:pPr>
              <w:jc w:val="center"/>
              <w:spacing w:after="0"/>
              <w:rPr>
                <w:sz w:val="20"/>
                <w:szCs w:val="20"/>
                <w:color w:val="auto"/>
              </w:rPr>
            </w:pPr>
            <w:r>
              <w:rPr>
                <w:rFonts w:ascii="Arial" w:cs="Arial" w:eastAsia="Arial" w:hAnsi="Arial"/>
                <w:sz w:val="17"/>
                <w:szCs w:val="17"/>
                <w:color w:val="auto"/>
              </w:rPr>
              <w:t>June 24, 2016</w:t>
            </w:r>
          </w:p>
        </w:tc>
      </w:tr>
      <w:tr>
        <w:trPr>
          <w:trHeight w:val="169"/>
        </w:trPr>
        <w:tc>
          <w:tcPr>
            <w:tcW w:w="1180" w:type="dxa"/>
            <w:vAlign w:val="bottom"/>
          </w:tcPr>
          <w:p>
            <w:pPr>
              <w:spacing w:after="0"/>
              <w:rPr>
                <w:sz w:val="14"/>
                <w:szCs w:val="14"/>
                <w:color w:val="auto"/>
              </w:rPr>
            </w:pPr>
          </w:p>
        </w:tc>
        <w:tc>
          <w:tcPr>
            <w:tcW w:w="3100" w:type="dxa"/>
            <w:vAlign w:val="bottom"/>
          </w:tcPr>
          <w:p>
            <w:pPr>
              <w:jc w:val="center"/>
              <w:ind w:right="1096"/>
              <w:spacing w:after="0" w:line="169" w:lineRule="exact"/>
              <w:rPr>
                <w:sz w:val="20"/>
                <w:szCs w:val="20"/>
                <w:color w:val="auto"/>
              </w:rPr>
            </w:pPr>
            <w:r>
              <w:rPr>
                <w:rFonts w:ascii="Arial" w:cs="Arial" w:eastAsia="Arial" w:hAnsi="Arial"/>
                <w:sz w:val="17"/>
                <w:szCs w:val="17"/>
                <w:color w:val="auto"/>
                <w:w w:val="98"/>
              </w:rPr>
              <w:t>Dr. August J. Troendle</w:t>
            </w:r>
          </w:p>
        </w:tc>
        <w:tc>
          <w:tcPr>
            <w:tcW w:w="100" w:type="dxa"/>
            <w:vAlign w:val="bottom"/>
          </w:tcPr>
          <w:p>
            <w:pPr>
              <w:spacing w:after="0"/>
              <w:rPr>
                <w:sz w:val="14"/>
                <w:szCs w:val="14"/>
                <w:color w:val="auto"/>
              </w:rPr>
            </w:pPr>
          </w:p>
        </w:tc>
        <w:tc>
          <w:tcPr>
            <w:tcW w:w="5060" w:type="dxa"/>
            <w:vAlign w:val="bottom"/>
            <w:gridSpan w:val="2"/>
          </w:tcPr>
          <w:p>
            <w:pPr>
              <w:spacing w:after="0" w:line="169" w:lineRule="exact"/>
              <w:rPr>
                <w:sz w:val="20"/>
                <w:szCs w:val="20"/>
                <w:color w:val="auto"/>
              </w:rPr>
            </w:pPr>
            <w:r>
              <w:rPr>
                <w:rFonts w:ascii="Arial" w:cs="Arial" w:eastAsia="Arial" w:hAnsi="Arial"/>
                <w:sz w:val="17"/>
                <w:szCs w:val="17"/>
                <w:color w:val="auto"/>
              </w:rPr>
              <w:t>Directors</w:t>
            </w:r>
          </w:p>
        </w:tc>
        <w:tc>
          <w:tcPr>
            <w:tcW w:w="1980" w:type="dxa"/>
            <w:vAlign w:val="bottom"/>
          </w:tcPr>
          <w:p>
            <w:pPr>
              <w:spacing w:after="0"/>
              <w:rPr>
                <w:sz w:val="14"/>
                <w:szCs w:val="14"/>
                <w:color w:val="auto"/>
              </w:rPr>
            </w:pPr>
          </w:p>
        </w:tc>
      </w:tr>
      <w:tr>
        <w:trPr>
          <w:trHeight w:val="205"/>
        </w:trPr>
        <w:tc>
          <w:tcPr>
            <w:tcW w:w="11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1980" w:type="dxa"/>
            <w:vAlign w:val="bottom"/>
          </w:tcPr>
          <w:p>
            <w:pPr>
              <w:spacing w:after="0"/>
              <w:rPr>
                <w:sz w:val="17"/>
                <w:szCs w:val="17"/>
                <w:color w:val="auto"/>
              </w:rPr>
            </w:pPr>
          </w:p>
        </w:tc>
      </w:tr>
      <w:tr>
        <w:trPr>
          <w:trHeight w:val="335"/>
        </w:trPr>
        <w:tc>
          <w:tcPr>
            <w:tcW w:w="428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J</w:t>
            </w:r>
            <w:r>
              <w:rPr>
                <w:rFonts w:ascii="Arial" w:cs="Arial" w:eastAsia="Arial" w:hAnsi="Arial"/>
                <w:sz w:val="14"/>
                <w:szCs w:val="14"/>
                <w:color w:val="auto"/>
              </w:rPr>
              <w:t>ESSE</w:t>
            </w:r>
            <w:r>
              <w:rPr>
                <w:rFonts w:ascii="Arial" w:cs="Arial" w:eastAsia="Arial" w:hAnsi="Arial"/>
                <w:sz w:val="17"/>
                <w:szCs w:val="17"/>
                <w:color w:val="auto"/>
              </w:rPr>
              <w:t xml:space="preserve"> J. G</w:t>
            </w:r>
            <w:r>
              <w:rPr>
                <w:rFonts w:ascii="Arial" w:cs="Arial" w:eastAsia="Arial" w:hAnsi="Arial"/>
                <w:sz w:val="14"/>
                <w:szCs w:val="14"/>
                <w:color w:val="auto"/>
              </w:rPr>
              <w:t>EIGER</w:t>
            </w: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Chief Financial Officer and Chief Operating Officer, Laboratory</w:t>
            </w:r>
          </w:p>
        </w:tc>
        <w:tc>
          <w:tcPr>
            <w:tcW w:w="1980" w:type="dxa"/>
            <w:vAlign w:val="bottom"/>
          </w:tcPr>
          <w:p>
            <w:pPr>
              <w:jc w:val="center"/>
              <w:spacing w:after="0"/>
              <w:rPr>
                <w:sz w:val="20"/>
                <w:szCs w:val="20"/>
                <w:color w:val="auto"/>
              </w:rPr>
            </w:pPr>
            <w:r>
              <w:rPr>
                <w:rFonts w:ascii="Arial" w:cs="Arial" w:eastAsia="Arial" w:hAnsi="Arial"/>
                <w:sz w:val="17"/>
                <w:szCs w:val="17"/>
                <w:color w:val="auto"/>
              </w:rPr>
              <w:t>June 24, 2016</w:t>
            </w:r>
          </w:p>
        </w:tc>
      </w:tr>
      <w:tr>
        <w:trPr>
          <w:trHeight w:val="169"/>
        </w:trPr>
        <w:tc>
          <w:tcPr>
            <w:tcW w:w="1180" w:type="dxa"/>
            <w:vAlign w:val="bottom"/>
          </w:tcPr>
          <w:p>
            <w:pPr>
              <w:spacing w:after="0"/>
              <w:rPr>
                <w:sz w:val="14"/>
                <w:szCs w:val="14"/>
                <w:color w:val="auto"/>
              </w:rPr>
            </w:pPr>
          </w:p>
        </w:tc>
        <w:tc>
          <w:tcPr>
            <w:tcW w:w="3100" w:type="dxa"/>
            <w:vAlign w:val="bottom"/>
          </w:tcPr>
          <w:p>
            <w:pPr>
              <w:jc w:val="center"/>
              <w:ind w:right="1096"/>
              <w:spacing w:after="0" w:line="169" w:lineRule="exact"/>
              <w:rPr>
                <w:sz w:val="20"/>
                <w:szCs w:val="20"/>
                <w:color w:val="auto"/>
              </w:rPr>
            </w:pPr>
            <w:r>
              <w:rPr>
                <w:rFonts w:ascii="Arial" w:cs="Arial" w:eastAsia="Arial" w:hAnsi="Arial"/>
                <w:sz w:val="17"/>
                <w:szCs w:val="17"/>
                <w:color w:val="auto"/>
              </w:rPr>
              <w:t>Jesse J. Geiger</w:t>
            </w:r>
          </w:p>
        </w:tc>
        <w:tc>
          <w:tcPr>
            <w:tcW w:w="100" w:type="dxa"/>
            <w:vAlign w:val="bottom"/>
          </w:tcPr>
          <w:p>
            <w:pPr>
              <w:spacing w:after="0"/>
              <w:rPr>
                <w:sz w:val="14"/>
                <w:szCs w:val="14"/>
                <w:color w:val="auto"/>
              </w:rPr>
            </w:pPr>
          </w:p>
        </w:tc>
        <w:tc>
          <w:tcPr>
            <w:tcW w:w="5060" w:type="dxa"/>
            <w:vAlign w:val="bottom"/>
            <w:gridSpan w:val="2"/>
          </w:tcPr>
          <w:p>
            <w:pPr>
              <w:spacing w:after="0" w:line="169" w:lineRule="exact"/>
              <w:rPr>
                <w:sz w:val="20"/>
                <w:szCs w:val="20"/>
                <w:color w:val="auto"/>
              </w:rPr>
            </w:pPr>
            <w:r>
              <w:rPr>
                <w:rFonts w:ascii="Arial" w:cs="Arial" w:eastAsia="Arial" w:hAnsi="Arial"/>
                <w:sz w:val="17"/>
                <w:szCs w:val="17"/>
                <w:color w:val="auto"/>
              </w:rPr>
              <w:t>Operations (Principal Financial Officer and Principal Accounting</w:t>
            </w:r>
          </w:p>
        </w:tc>
        <w:tc>
          <w:tcPr>
            <w:tcW w:w="1980" w:type="dxa"/>
            <w:vAlign w:val="bottom"/>
          </w:tcPr>
          <w:p>
            <w:pPr>
              <w:spacing w:after="0"/>
              <w:rPr>
                <w:sz w:val="14"/>
                <w:szCs w:val="14"/>
                <w:color w:val="auto"/>
              </w:rPr>
            </w:pPr>
          </w:p>
        </w:tc>
      </w:tr>
      <w:tr>
        <w:trPr>
          <w:trHeight w:val="205"/>
        </w:trPr>
        <w:tc>
          <w:tcPr>
            <w:tcW w:w="11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Officer)</w:t>
            </w:r>
          </w:p>
        </w:tc>
        <w:tc>
          <w:tcPr>
            <w:tcW w:w="1980" w:type="dxa"/>
            <w:vAlign w:val="bottom"/>
          </w:tcPr>
          <w:p>
            <w:pPr>
              <w:spacing w:after="0"/>
              <w:rPr>
                <w:sz w:val="17"/>
                <w:szCs w:val="17"/>
                <w:color w:val="auto"/>
              </w:rPr>
            </w:pPr>
          </w:p>
        </w:tc>
      </w:tr>
      <w:tr>
        <w:trPr>
          <w:trHeight w:val="342"/>
        </w:trPr>
        <w:tc>
          <w:tcPr>
            <w:tcW w:w="428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R</w:t>
            </w:r>
            <w:r>
              <w:rPr>
                <w:rFonts w:ascii="Arial" w:cs="Arial" w:eastAsia="Arial" w:hAnsi="Arial"/>
                <w:sz w:val="17"/>
                <w:szCs w:val="17"/>
                <w:color w:val="auto"/>
              </w:rPr>
              <w:t>. S</w:t>
            </w:r>
            <w:r>
              <w:rPr>
                <w:rFonts w:ascii="Arial" w:cs="Arial" w:eastAsia="Arial" w:hAnsi="Arial"/>
                <w:sz w:val="14"/>
                <w:szCs w:val="14"/>
                <w:color w:val="auto"/>
              </w:rPr>
              <w:t>UPRAJ</w:t>
            </w:r>
            <w:r>
              <w:rPr>
                <w:rFonts w:ascii="Arial" w:cs="Arial" w:eastAsia="Arial" w:hAnsi="Arial"/>
                <w:sz w:val="17"/>
                <w:szCs w:val="17"/>
                <w:color w:val="auto"/>
              </w:rPr>
              <w:t xml:space="preserve"> R. R</w:t>
            </w:r>
            <w:r>
              <w:rPr>
                <w:rFonts w:ascii="Arial" w:cs="Arial" w:eastAsia="Arial" w:hAnsi="Arial"/>
                <w:sz w:val="14"/>
                <w:szCs w:val="14"/>
                <w:color w:val="auto"/>
              </w:rPr>
              <w:t>AJAGOPALAN</w:t>
            </w: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June 24, 2016</w:t>
            </w:r>
          </w:p>
        </w:tc>
      </w:tr>
      <w:tr>
        <w:trPr>
          <w:trHeight w:val="198"/>
        </w:trPr>
        <w:tc>
          <w:tcPr>
            <w:tcW w:w="4280" w:type="dxa"/>
            <w:vAlign w:val="bottom"/>
            <w:gridSpan w:val="2"/>
          </w:tcPr>
          <w:p>
            <w:pPr>
              <w:jc w:val="center"/>
              <w:spacing w:after="0"/>
              <w:rPr>
                <w:sz w:val="20"/>
                <w:szCs w:val="20"/>
                <w:color w:val="auto"/>
              </w:rPr>
            </w:pPr>
            <w:r>
              <w:rPr>
                <w:rFonts w:ascii="Arial" w:cs="Arial" w:eastAsia="Arial" w:hAnsi="Arial"/>
                <w:sz w:val="17"/>
                <w:szCs w:val="17"/>
                <w:color w:val="auto"/>
              </w:rPr>
              <w:t>Dr. Supraj R. Rajagopalan</w:t>
            </w: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49"/>
        </w:trPr>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00" w:type="dxa"/>
            <w:vAlign w:val="bottom"/>
            <w:tcBorders>
              <w:bottom w:val="single" w:sz="8" w:color="auto"/>
            </w:tcBorders>
          </w:tcPr>
          <w:p>
            <w:pPr>
              <w:jc w:val="center"/>
              <w:ind w:right="1036"/>
              <w:spacing w:after="0"/>
              <w:rPr>
                <w:sz w:val="20"/>
                <w:szCs w:val="20"/>
                <w:color w:val="auto"/>
              </w:rPr>
            </w:pPr>
            <w:r>
              <w:rPr>
                <w:rFonts w:ascii="Arial" w:cs="Arial" w:eastAsia="Arial" w:hAnsi="Arial"/>
                <w:sz w:val="17"/>
                <w:szCs w:val="17"/>
                <w:color w:val="auto"/>
              </w:rPr>
              <w:t>A</w:t>
            </w:r>
            <w:r>
              <w:rPr>
                <w:rFonts w:ascii="Arial" w:cs="Arial" w:eastAsia="Arial" w:hAnsi="Arial"/>
                <w:sz w:val="14"/>
                <w:szCs w:val="14"/>
                <w:color w:val="auto"/>
              </w:rPr>
              <w:t>LEXANDER</w:t>
            </w:r>
            <w:r>
              <w:rPr>
                <w:rFonts w:ascii="Arial" w:cs="Arial" w:eastAsia="Arial" w:hAnsi="Arial"/>
                <w:sz w:val="17"/>
                <w:szCs w:val="17"/>
                <w:color w:val="auto"/>
              </w:rPr>
              <w:t xml:space="preserve"> F.S. L</w:t>
            </w:r>
            <w:r>
              <w:rPr>
                <w:rFonts w:ascii="Arial" w:cs="Arial" w:eastAsia="Arial" w:hAnsi="Arial"/>
                <w:sz w:val="14"/>
                <w:szCs w:val="14"/>
                <w:color w:val="auto"/>
              </w:rPr>
              <w:t>ESLIE</w:t>
            </w: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June 24, 2016</w:t>
            </w:r>
          </w:p>
        </w:tc>
      </w:tr>
      <w:tr>
        <w:trPr>
          <w:trHeight w:val="198"/>
        </w:trPr>
        <w:tc>
          <w:tcPr>
            <w:tcW w:w="1180" w:type="dxa"/>
            <w:vAlign w:val="bottom"/>
          </w:tcPr>
          <w:p>
            <w:pPr>
              <w:spacing w:after="0"/>
              <w:rPr>
                <w:sz w:val="17"/>
                <w:szCs w:val="17"/>
                <w:color w:val="auto"/>
              </w:rPr>
            </w:pPr>
          </w:p>
        </w:tc>
        <w:tc>
          <w:tcPr>
            <w:tcW w:w="3100" w:type="dxa"/>
            <w:vAlign w:val="bottom"/>
          </w:tcPr>
          <w:p>
            <w:pPr>
              <w:jc w:val="center"/>
              <w:ind w:right="1096"/>
              <w:spacing w:after="0"/>
              <w:rPr>
                <w:sz w:val="20"/>
                <w:szCs w:val="20"/>
                <w:color w:val="auto"/>
              </w:rPr>
            </w:pPr>
            <w:r>
              <w:rPr>
                <w:rFonts w:ascii="Arial" w:cs="Arial" w:eastAsia="Arial" w:hAnsi="Arial"/>
                <w:sz w:val="17"/>
                <w:szCs w:val="17"/>
                <w:color w:val="auto"/>
                <w:w w:val="98"/>
              </w:rPr>
              <w:t>Alexander F.S. Leslie</w:t>
            </w: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49"/>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100" w:type="dxa"/>
            <w:vAlign w:val="bottom"/>
            <w:tcBorders>
              <w:bottom w:val="single" w:sz="8" w:color="auto"/>
            </w:tcBorders>
          </w:tcPr>
          <w:p>
            <w:pPr>
              <w:jc w:val="center"/>
              <w:ind w:right="1036"/>
              <w:spacing w:after="0"/>
              <w:rPr>
                <w:sz w:val="20"/>
                <w:szCs w:val="20"/>
                <w:color w:val="auto"/>
              </w:rPr>
            </w:pPr>
            <w:r>
              <w:rPr>
                <w:rFonts w:ascii="Arial" w:cs="Arial" w:eastAsia="Arial" w:hAnsi="Arial"/>
                <w:sz w:val="17"/>
                <w:szCs w:val="17"/>
                <w:color w:val="auto"/>
                <w:w w:val="99"/>
              </w:rPr>
              <w:t>M</w:t>
            </w:r>
            <w:r>
              <w:rPr>
                <w:rFonts w:ascii="Arial" w:cs="Arial" w:eastAsia="Arial" w:hAnsi="Arial"/>
                <w:sz w:val="14"/>
                <w:szCs w:val="14"/>
                <w:color w:val="auto"/>
                <w:w w:val="99"/>
              </w:rPr>
              <w:t>ATTHEW</w:t>
            </w:r>
            <w:r>
              <w:rPr>
                <w:rFonts w:ascii="Arial" w:cs="Arial" w:eastAsia="Arial" w:hAnsi="Arial"/>
                <w:sz w:val="17"/>
                <w:szCs w:val="17"/>
                <w:color w:val="auto"/>
                <w:w w:val="99"/>
              </w:rPr>
              <w:t xml:space="preserve"> R. N</w:t>
            </w:r>
            <w:r>
              <w:rPr>
                <w:rFonts w:ascii="Arial" w:cs="Arial" w:eastAsia="Arial" w:hAnsi="Arial"/>
                <w:sz w:val="14"/>
                <w:szCs w:val="14"/>
                <w:color w:val="auto"/>
                <w:w w:val="99"/>
              </w:rPr>
              <w:t>ORTON</w:t>
            </w: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June 24, 2016</w:t>
            </w:r>
          </w:p>
        </w:tc>
      </w:tr>
      <w:tr>
        <w:trPr>
          <w:trHeight w:val="198"/>
        </w:trPr>
        <w:tc>
          <w:tcPr>
            <w:tcW w:w="1180" w:type="dxa"/>
            <w:vAlign w:val="bottom"/>
          </w:tcPr>
          <w:p>
            <w:pPr>
              <w:spacing w:after="0"/>
              <w:rPr>
                <w:sz w:val="17"/>
                <w:szCs w:val="17"/>
                <w:color w:val="auto"/>
              </w:rPr>
            </w:pPr>
          </w:p>
        </w:tc>
        <w:tc>
          <w:tcPr>
            <w:tcW w:w="3100" w:type="dxa"/>
            <w:vAlign w:val="bottom"/>
          </w:tcPr>
          <w:p>
            <w:pPr>
              <w:jc w:val="center"/>
              <w:ind w:right="1096"/>
              <w:spacing w:after="0"/>
              <w:rPr>
                <w:sz w:val="20"/>
                <w:szCs w:val="20"/>
                <w:color w:val="auto"/>
              </w:rPr>
            </w:pPr>
            <w:r>
              <w:rPr>
                <w:rFonts w:ascii="Arial" w:cs="Arial" w:eastAsia="Arial" w:hAnsi="Arial"/>
                <w:sz w:val="17"/>
                <w:szCs w:val="17"/>
                <w:color w:val="auto"/>
              </w:rPr>
              <w:t>Matthew R. Norton</w:t>
            </w: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40" w:type="dxa"/>
            <w:vAlign w:val="bottom"/>
          </w:tcPr>
          <w:p>
            <w:pPr>
              <w:ind w:left="39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03"/>
        </w:trPr>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w:t>
            </w:r>
          </w:p>
        </w:tc>
        <w:tc>
          <w:tcPr>
            <w:tcW w:w="10540" w:type="dxa"/>
            <w:vAlign w:val="bottom"/>
            <w:vMerge w:val="restart"/>
          </w:tcPr>
          <w:p>
            <w:pPr>
              <w:ind w:left="280"/>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Form of Amended and Restated Certificate of Incorporation of Medpace Holdings, Inc., to be in effect upon the consummation of this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315"/>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Form of Amended and Restated Bylaws of Medpace Holdings, Inc. to be in effect upon the consummation of this offering.</w:t>
            </w:r>
          </w:p>
        </w:tc>
        <w:tc>
          <w:tcPr>
            <w:tcW w:w="0" w:type="dxa"/>
            <w:vAlign w:val="bottom"/>
          </w:tcPr>
          <w:p>
            <w:pPr>
              <w:spacing w:after="0"/>
              <w:rPr>
                <w:sz w:val="1"/>
                <w:szCs w:val="1"/>
                <w:color w:val="auto"/>
              </w:rPr>
            </w:pPr>
          </w:p>
        </w:tc>
      </w:tr>
      <w:tr>
        <w:trPr>
          <w:trHeight w:val="31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Specimen Stock Certificate evidencing shares of common stock.</w:t>
            </w:r>
          </w:p>
        </w:tc>
        <w:tc>
          <w:tcPr>
            <w:tcW w:w="0" w:type="dxa"/>
            <w:vAlign w:val="bottom"/>
          </w:tcPr>
          <w:p>
            <w:pPr>
              <w:spacing w:after="0"/>
              <w:rPr>
                <w:sz w:val="1"/>
                <w:szCs w:val="1"/>
                <w:color w:val="auto"/>
              </w:rPr>
            </w:pPr>
          </w:p>
        </w:tc>
      </w:tr>
      <w:tr>
        <w:trPr>
          <w:trHeight w:val="31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Form of Voting Agreement, to be in effect upon the consummation of this offering.</w:t>
            </w:r>
          </w:p>
        </w:tc>
        <w:tc>
          <w:tcPr>
            <w:tcW w:w="0" w:type="dxa"/>
            <w:vAlign w:val="bottom"/>
          </w:tcPr>
          <w:p>
            <w:pPr>
              <w:spacing w:after="0"/>
              <w:rPr>
                <w:sz w:val="1"/>
                <w:szCs w:val="1"/>
                <w:color w:val="auto"/>
              </w:rPr>
            </w:pPr>
          </w:p>
        </w:tc>
      </w:tr>
      <w:tr>
        <w:trPr>
          <w:trHeight w:val="31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Opinion of Latham &amp; Watkins LLP.</w:t>
            </w: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Credit Agreement, dated as of April 1, 2014, by and among Scioto Acquisition, Inc., Scioto Merger Sub, Inc., Medpace IntermediateCo,</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Inc., Jefferies Finance LLC, as administrative agent and swingline lender, and other agents and lenders party thereto.</w:t>
            </w:r>
          </w:p>
        </w:tc>
        <w:tc>
          <w:tcPr>
            <w:tcW w:w="0" w:type="dxa"/>
            <w:vAlign w:val="bottom"/>
          </w:tcPr>
          <w:p>
            <w:pPr>
              <w:spacing w:after="0"/>
              <w:rPr>
                <w:sz w:val="1"/>
                <w:szCs w:val="1"/>
                <w:color w:val="auto"/>
              </w:rPr>
            </w:pPr>
          </w:p>
        </w:tc>
      </w:tr>
      <w:tr>
        <w:trPr>
          <w:trHeight w:val="281"/>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Guaranty Agreement, dated as of April 1, 2014, by and among Scioto Acquisition, Inc., Scioto Merger Sub, Inc., Medpace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40" w:type="dxa"/>
            <w:vAlign w:val="bottom"/>
          </w:tcPr>
          <w:p>
            <w:pPr>
              <w:ind w:left="280"/>
              <w:spacing w:after="0" w:line="189" w:lineRule="exact"/>
              <w:rPr>
                <w:sz w:val="20"/>
                <w:szCs w:val="20"/>
                <w:color w:val="auto"/>
              </w:rPr>
            </w:pPr>
            <w:r>
              <w:rPr>
                <w:rFonts w:ascii="Arial" w:cs="Arial" w:eastAsia="Arial" w:hAnsi="Arial"/>
                <w:sz w:val="17"/>
                <w:szCs w:val="17"/>
                <w:color w:val="auto"/>
              </w:rPr>
              <w:t>IntermediateCo, Inc., each other direct or indirect subsidiary of Medpace Holdings, Inc. party to the Guaranty Agreement and Jefferies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Finance LLC, as administrative agent.</w:t>
            </w:r>
          </w:p>
        </w:tc>
        <w:tc>
          <w:tcPr>
            <w:tcW w:w="0" w:type="dxa"/>
            <w:vAlign w:val="bottom"/>
          </w:tcPr>
          <w:p>
            <w:pPr>
              <w:spacing w:after="0"/>
              <w:rPr>
                <w:sz w:val="1"/>
                <w:szCs w:val="1"/>
                <w:color w:val="auto"/>
              </w:rPr>
            </w:pPr>
          </w:p>
        </w:tc>
      </w:tr>
      <w:tr>
        <w:trPr>
          <w:trHeight w:val="281"/>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Security Agreement, dated as of April 1, 2014, by and among Scioto Acquisition, Inc., Scioto Merger Sub, Inc., Medpace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40" w:type="dxa"/>
            <w:vAlign w:val="bottom"/>
          </w:tcPr>
          <w:p>
            <w:pPr>
              <w:ind w:left="280"/>
              <w:spacing w:after="0" w:line="189" w:lineRule="exact"/>
              <w:rPr>
                <w:sz w:val="20"/>
                <w:szCs w:val="20"/>
                <w:color w:val="auto"/>
              </w:rPr>
            </w:pPr>
            <w:r>
              <w:rPr>
                <w:rFonts w:ascii="Arial" w:cs="Arial" w:eastAsia="Arial" w:hAnsi="Arial"/>
                <w:sz w:val="17"/>
                <w:szCs w:val="17"/>
                <w:color w:val="auto"/>
              </w:rPr>
              <w:t>IntermediateCo, Inc., each other direct or indirect subsidiary of Medpace Holdings, Inc. party to the Security Agreement and Jefferies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Finance LLC, as administrative agent.</w:t>
            </w:r>
          </w:p>
        </w:tc>
        <w:tc>
          <w:tcPr>
            <w:tcW w:w="0" w:type="dxa"/>
            <w:vAlign w:val="bottom"/>
          </w:tcPr>
          <w:p>
            <w:pPr>
              <w:spacing w:after="0"/>
              <w:rPr>
                <w:sz w:val="1"/>
                <w:szCs w:val="1"/>
                <w:color w:val="auto"/>
              </w:rPr>
            </w:pPr>
          </w:p>
        </w:tc>
      </w:tr>
      <w:tr>
        <w:trPr>
          <w:trHeight w:val="281"/>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Pledge Agreement, dated as of April 1, 2014, by and among Scioto Acquisition, Inc., Scioto Merger Sub, Inc., Medpace IntermediateCo,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40" w:type="dxa"/>
            <w:vAlign w:val="bottom"/>
          </w:tcPr>
          <w:p>
            <w:pPr>
              <w:ind w:left="280"/>
              <w:spacing w:after="0" w:line="189" w:lineRule="exact"/>
              <w:rPr>
                <w:sz w:val="20"/>
                <w:szCs w:val="20"/>
                <w:color w:val="auto"/>
              </w:rPr>
            </w:pPr>
            <w:r>
              <w:rPr>
                <w:rFonts w:ascii="Arial" w:cs="Arial" w:eastAsia="Arial" w:hAnsi="Arial"/>
                <w:sz w:val="17"/>
                <w:szCs w:val="17"/>
                <w:color w:val="auto"/>
              </w:rPr>
              <w:t>Inc., each other direct or indirect subsidiary of Medpace Holdings, Inc. party to the Pledge Agreement and Jefferies Finance LLC, as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administrative agent.</w:t>
            </w:r>
          </w:p>
        </w:tc>
        <w:tc>
          <w:tcPr>
            <w:tcW w:w="0" w:type="dxa"/>
            <w:vAlign w:val="bottom"/>
          </w:tcPr>
          <w:p>
            <w:pPr>
              <w:spacing w:after="0"/>
              <w:rPr>
                <w:sz w:val="1"/>
                <w:szCs w:val="1"/>
                <w:color w:val="auto"/>
              </w:rPr>
            </w:pPr>
          </w:p>
        </w:tc>
      </w:tr>
      <w:tr>
        <w:trPr>
          <w:trHeight w:val="315"/>
        </w:trPr>
        <w:tc>
          <w:tcPr>
            <w:tcW w:w="880" w:type="dxa"/>
            <w:vAlign w:val="bottom"/>
            <w:gridSpan w:val="3"/>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280"/>
              <w:spacing w:after="0"/>
              <w:rPr>
                <w:sz w:val="20"/>
                <w:szCs w:val="20"/>
                <w:color w:val="auto"/>
              </w:rPr>
            </w:pPr>
            <w:r>
              <w:rPr>
                <w:rFonts w:ascii="Arial" w:cs="Arial" w:eastAsia="Arial" w:hAnsi="Arial"/>
                <w:sz w:val="17"/>
                <w:szCs w:val="17"/>
                <w:color w:val="auto"/>
              </w:rPr>
              <w:t>Employment Agreement, dated as of June 17, 2011, by and between Medpace, Inc. and Dr. August J. Troendle.</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280"/>
              <w:spacing w:after="0"/>
              <w:rPr>
                <w:sz w:val="20"/>
                <w:szCs w:val="20"/>
                <w:color w:val="auto"/>
              </w:rPr>
            </w:pPr>
            <w:r>
              <w:rPr>
                <w:rFonts w:ascii="Arial" w:cs="Arial" w:eastAsia="Arial" w:hAnsi="Arial"/>
                <w:sz w:val="17"/>
                <w:szCs w:val="17"/>
                <w:color w:val="auto"/>
              </w:rPr>
              <w:t>Scioto Holdings, Inc. 2014 Equity Incentive Plan.</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Senior Executive Incentive Bonus Plan.</w:t>
            </w:r>
          </w:p>
        </w:tc>
        <w:tc>
          <w:tcPr>
            <w:tcW w:w="0" w:type="dxa"/>
            <w:vAlign w:val="bottom"/>
          </w:tcPr>
          <w:p>
            <w:pPr>
              <w:spacing w:after="0"/>
              <w:rPr>
                <w:sz w:val="1"/>
                <w:szCs w:val="1"/>
                <w:color w:val="auto"/>
              </w:rPr>
            </w:pPr>
          </w:p>
        </w:tc>
      </w:tr>
      <w:tr>
        <w:trPr>
          <w:trHeight w:val="311"/>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10540" w:type="dxa"/>
            <w:vAlign w:val="bottom"/>
          </w:tcPr>
          <w:p>
            <w:pPr>
              <w:ind w:left="280"/>
              <w:spacing w:after="0"/>
              <w:rPr>
                <w:sz w:val="20"/>
                <w:szCs w:val="20"/>
                <w:color w:val="auto"/>
              </w:rPr>
            </w:pPr>
            <w:r>
              <w:rPr>
                <w:rFonts w:ascii="Arial" w:cs="Arial" w:eastAsia="Arial" w:hAnsi="Arial"/>
                <w:sz w:val="17"/>
                <w:szCs w:val="17"/>
                <w:color w:val="auto"/>
              </w:rPr>
              <w:t>Form of Registration Rights Agreement, to be in effect upon the consummation of this offering.</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280"/>
              <w:spacing w:after="0"/>
              <w:rPr>
                <w:sz w:val="20"/>
                <w:szCs w:val="20"/>
                <w:color w:val="auto"/>
              </w:rPr>
            </w:pPr>
            <w:r>
              <w:rPr>
                <w:rFonts w:ascii="Arial" w:cs="Arial" w:eastAsia="Arial" w:hAnsi="Arial"/>
                <w:sz w:val="17"/>
                <w:szCs w:val="17"/>
                <w:color w:val="auto"/>
              </w:rPr>
              <w:t>Lease, dated as of October 7, 2010, by and between Medpace, Inc. and 100 Medpace Way, LLC.</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280"/>
              <w:spacing w:after="0"/>
              <w:rPr>
                <w:sz w:val="20"/>
                <w:szCs w:val="20"/>
                <w:color w:val="auto"/>
              </w:rPr>
            </w:pPr>
            <w:r>
              <w:rPr>
                <w:rFonts w:ascii="Arial" w:cs="Arial" w:eastAsia="Arial" w:hAnsi="Arial"/>
                <w:sz w:val="17"/>
                <w:szCs w:val="17"/>
                <w:color w:val="auto"/>
              </w:rPr>
              <w:t>Lease, dated as of June 3, 2011, by and between Medpace, Inc. and 200 Medpace Way, LLC.</w:t>
            </w:r>
          </w:p>
        </w:tc>
        <w:tc>
          <w:tcPr>
            <w:tcW w:w="0" w:type="dxa"/>
            <w:vAlign w:val="bottom"/>
          </w:tcPr>
          <w:p>
            <w:pPr>
              <w:spacing w:after="0"/>
              <w:rPr>
                <w:sz w:val="1"/>
                <w:szCs w:val="1"/>
                <w:color w:val="auto"/>
              </w:rPr>
            </w:pPr>
          </w:p>
        </w:tc>
      </w:tr>
      <w:tr>
        <w:trPr>
          <w:trHeight w:val="311"/>
        </w:trPr>
        <w:tc>
          <w:tcPr>
            <w:tcW w:w="880" w:type="dxa"/>
            <w:vAlign w:val="bottom"/>
            <w:gridSpan w:val="3"/>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280"/>
              <w:spacing w:after="0"/>
              <w:rPr>
                <w:sz w:val="20"/>
                <w:szCs w:val="20"/>
                <w:color w:val="auto"/>
              </w:rPr>
            </w:pPr>
            <w:r>
              <w:rPr>
                <w:rFonts w:ascii="Arial" w:cs="Arial" w:eastAsia="Arial" w:hAnsi="Arial"/>
                <w:sz w:val="17"/>
                <w:szCs w:val="17"/>
                <w:color w:val="auto"/>
              </w:rPr>
              <w:t>Lease, dated as of June 3, 2011, by and between Medpace, Inc. and 300 Medpace Way, LLC.</w:t>
            </w:r>
          </w:p>
        </w:tc>
        <w:tc>
          <w:tcPr>
            <w:tcW w:w="0" w:type="dxa"/>
            <w:vAlign w:val="bottom"/>
          </w:tcPr>
          <w:p>
            <w:pPr>
              <w:spacing w:after="0"/>
              <w:rPr>
                <w:sz w:val="1"/>
                <w:szCs w:val="1"/>
                <w:color w:val="auto"/>
              </w:rPr>
            </w:pPr>
          </w:p>
        </w:tc>
      </w:tr>
      <w:tr>
        <w:trPr>
          <w:trHeight w:val="293"/>
        </w:trPr>
        <w:tc>
          <w:tcPr>
            <w:tcW w:w="880" w:type="dxa"/>
            <w:vAlign w:val="bottom"/>
            <w:gridSpan w:val="3"/>
          </w:tcPr>
          <w:p>
            <w:pPr>
              <w:spacing w:after="0"/>
              <w:rPr>
                <w:sz w:val="20"/>
                <w:szCs w:val="20"/>
                <w:color w:val="auto"/>
              </w:rPr>
            </w:pPr>
            <w:r>
              <w:rPr>
                <w:rFonts w:ascii="Arial" w:cs="Arial" w:eastAsia="Arial" w:hAnsi="Arial"/>
                <w:sz w:val="17"/>
                <w:szCs w:val="17"/>
                <w:color w:val="auto"/>
              </w:rPr>
              <w:t>10.13*†</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Restricted Stock Award Grant Notice.</w:t>
            </w:r>
          </w:p>
        </w:tc>
        <w:tc>
          <w:tcPr>
            <w:tcW w:w="0" w:type="dxa"/>
            <w:vAlign w:val="bottom"/>
          </w:tcPr>
          <w:p>
            <w:pPr>
              <w:spacing w:after="0"/>
              <w:rPr>
                <w:sz w:val="1"/>
                <w:szCs w:val="1"/>
                <w:color w:val="auto"/>
              </w:rPr>
            </w:pPr>
          </w:p>
        </w:tc>
      </w:tr>
      <w:tr>
        <w:trPr>
          <w:trHeight w:val="297"/>
        </w:trPr>
        <w:tc>
          <w:tcPr>
            <w:tcW w:w="880" w:type="dxa"/>
            <w:vAlign w:val="bottom"/>
            <w:gridSpan w:val="3"/>
          </w:tcPr>
          <w:p>
            <w:pPr>
              <w:spacing w:after="0"/>
              <w:rPr>
                <w:sz w:val="20"/>
                <w:szCs w:val="20"/>
                <w:color w:val="auto"/>
              </w:rPr>
            </w:pPr>
            <w:r>
              <w:rPr>
                <w:rFonts w:ascii="Arial" w:cs="Arial" w:eastAsia="Arial" w:hAnsi="Arial"/>
                <w:sz w:val="17"/>
                <w:szCs w:val="17"/>
                <w:color w:val="auto"/>
              </w:rPr>
              <w:t>10.14*†</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Stock Option Grant Notice and Stock Option Agreement.</w:t>
            </w:r>
          </w:p>
        </w:tc>
        <w:tc>
          <w:tcPr>
            <w:tcW w:w="0" w:type="dxa"/>
            <w:vAlign w:val="bottom"/>
          </w:tcPr>
          <w:p>
            <w:pPr>
              <w:spacing w:after="0"/>
              <w:rPr>
                <w:sz w:val="1"/>
                <w:szCs w:val="1"/>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7"/>
                <w:szCs w:val="17"/>
                <w:color w:val="auto"/>
              </w:rPr>
              <w:t>10.15*†</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Restricted Unit Award Notice.</w:t>
            </w:r>
          </w:p>
        </w:tc>
        <w:tc>
          <w:tcPr>
            <w:tcW w:w="0" w:type="dxa"/>
            <w:vAlign w:val="bottom"/>
          </w:tcPr>
          <w:p>
            <w:pPr>
              <w:spacing w:after="0"/>
              <w:rPr>
                <w:sz w:val="1"/>
                <w:szCs w:val="1"/>
                <w:color w:val="auto"/>
              </w:rPr>
            </w:pPr>
          </w:p>
        </w:tc>
      </w:tr>
      <w:tr>
        <w:trPr>
          <w:trHeight w:val="297"/>
        </w:trPr>
        <w:tc>
          <w:tcPr>
            <w:tcW w:w="880" w:type="dxa"/>
            <w:vAlign w:val="bottom"/>
            <w:gridSpan w:val="3"/>
          </w:tcPr>
          <w:p>
            <w:pPr>
              <w:spacing w:after="0"/>
              <w:rPr>
                <w:sz w:val="20"/>
                <w:szCs w:val="20"/>
                <w:color w:val="auto"/>
              </w:rPr>
            </w:pPr>
            <w:r>
              <w:rPr>
                <w:rFonts w:ascii="Arial" w:cs="Arial" w:eastAsia="Arial" w:hAnsi="Arial"/>
                <w:sz w:val="17"/>
                <w:szCs w:val="17"/>
                <w:color w:val="auto"/>
              </w:rPr>
              <w:t>10.16*†</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Sub-Plan for UK Participants.</w:t>
            </w:r>
          </w:p>
        </w:tc>
        <w:tc>
          <w:tcPr>
            <w:tcW w:w="0" w:type="dxa"/>
            <w:vAlign w:val="bottom"/>
          </w:tcPr>
          <w:p>
            <w:pPr>
              <w:spacing w:after="0"/>
              <w:rPr>
                <w:sz w:val="1"/>
                <w:szCs w:val="1"/>
                <w:color w:val="auto"/>
              </w:rPr>
            </w:pPr>
          </w:p>
        </w:tc>
      </w:tr>
      <w:tr>
        <w:trPr>
          <w:trHeight w:val="297"/>
        </w:trPr>
        <w:tc>
          <w:tcPr>
            <w:tcW w:w="880" w:type="dxa"/>
            <w:vAlign w:val="bottom"/>
            <w:gridSpan w:val="3"/>
          </w:tcPr>
          <w:p>
            <w:pPr>
              <w:spacing w:after="0"/>
              <w:rPr>
                <w:sz w:val="20"/>
                <w:szCs w:val="20"/>
                <w:color w:val="auto"/>
              </w:rPr>
            </w:pPr>
            <w:r>
              <w:rPr>
                <w:rFonts w:ascii="Arial" w:cs="Arial" w:eastAsia="Arial" w:hAnsi="Arial"/>
                <w:sz w:val="17"/>
                <w:szCs w:val="17"/>
                <w:color w:val="auto"/>
              </w:rPr>
              <w:t>10.17†</w:t>
            </w:r>
          </w:p>
        </w:tc>
        <w:tc>
          <w:tcPr>
            <w:tcW w:w="10540" w:type="dxa"/>
            <w:vAlign w:val="bottom"/>
          </w:tcPr>
          <w:p>
            <w:pPr>
              <w:ind w:left="280"/>
              <w:spacing w:after="0"/>
              <w:rPr>
                <w:sz w:val="20"/>
                <w:szCs w:val="20"/>
                <w:color w:val="auto"/>
              </w:rPr>
            </w:pPr>
            <w:r>
              <w:rPr>
                <w:rFonts w:ascii="Arial" w:cs="Arial" w:eastAsia="Arial" w:hAnsi="Arial"/>
                <w:sz w:val="17"/>
                <w:szCs w:val="17"/>
                <w:color w:val="auto"/>
              </w:rPr>
              <w:t>Form of Medpace Holdings, Inc. Non-Employee Director Compensation Policy.</w:t>
            </w:r>
          </w:p>
        </w:tc>
        <w:tc>
          <w:tcPr>
            <w:tcW w:w="0" w:type="dxa"/>
            <w:vAlign w:val="bottom"/>
          </w:tcPr>
          <w:p>
            <w:pPr>
              <w:spacing w:after="0"/>
              <w:rPr>
                <w:sz w:val="1"/>
                <w:szCs w:val="1"/>
                <w:color w:val="auto"/>
              </w:rPr>
            </w:pPr>
          </w:p>
        </w:tc>
      </w:tr>
      <w:tr>
        <w:trPr>
          <w:trHeight w:val="297"/>
        </w:trPr>
        <w:tc>
          <w:tcPr>
            <w:tcW w:w="880" w:type="dxa"/>
            <w:vAlign w:val="bottom"/>
            <w:gridSpan w:val="3"/>
          </w:tcPr>
          <w:p>
            <w:pPr>
              <w:spacing w:after="0"/>
              <w:rPr>
                <w:sz w:val="20"/>
                <w:szCs w:val="20"/>
                <w:color w:val="auto"/>
              </w:rPr>
            </w:pPr>
            <w:r>
              <w:rPr>
                <w:rFonts w:ascii="Arial" w:cs="Arial" w:eastAsia="Arial" w:hAnsi="Arial"/>
                <w:sz w:val="17"/>
                <w:szCs w:val="17"/>
                <w:color w:val="auto"/>
              </w:rPr>
              <w:t>10.18*†</w:t>
            </w:r>
          </w:p>
        </w:tc>
        <w:tc>
          <w:tcPr>
            <w:tcW w:w="10540" w:type="dxa"/>
            <w:vAlign w:val="bottom"/>
          </w:tcPr>
          <w:p>
            <w:pPr>
              <w:ind w:left="280"/>
              <w:spacing w:after="0"/>
              <w:rPr>
                <w:sz w:val="20"/>
                <w:szCs w:val="20"/>
                <w:color w:val="auto"/>
              </w:rPr>
            </w:pPr>
            <w:r>
              <w:rPr>
                <w:rFonts w:ascii="Arial" w:cs="Arial" w:eastAsia="Arial" w:hAnsi="Arial"/>
                <w:sz w:val="17"/>
                <w:szCs w:val="17"/>
                <w:color w:val="auto"/>
              </w:rPr>
              <w:t>Amended and Restated Employment Agreement, by and between Medpace Holdings, Inc. and Dr. August J. Troendle.</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420"/>
          </w:cols>
          <w:pgMar w:left="240" w:top="460" w:right="239" w:bottom="1440" w:gutter="0" w:footer="0" w:header="0"/>
        </w:sectPr>
      </w:pPr>
    </w:p>
    <w:bookmarkStart w:id="209" w:name="page210"/>
    <w:bookmarkEnd w:id="209"/>
    <w:p>
      <w:pPr>
        <w:ind w:firstLine="56"/>
        <w:spacing w:after="0" w:line="217" w:lineRule="auto"/>
        <w:framePr w:w="1980" w:h="292" w:wrap="auto" w:vAnchor="page" w:hAnchor="page" w:x="320" w:y="3467"/>
        <w:rPr>
          <w:rFonts w:ascii="Arial" w:cs="Arial" w:eastAsia="Arial" w:hAnsi="Arial"/>
          <w:sz w:val="14"/>
          <w:szCs w:val="14"/>
          <w:color w:val="auto"/>
        </w:rPr>
      </w:pPr>
      <w:r>
        <w:rPr>
          <w:rFonts w:ascii="Arial" w:cs="Arial" w:eastAsia="Arial" w:hAnsi="Arial"/>
          <w:sz w:val="14"/>
          <w:szCs w:val="14"/>
          <w:color w:val="auto"/>
        </w:rPr>
        <w:t>* To be filed by amendment. ** Previously filed.</w:t>
      </w:r>
    </w:p>
    <w:p>
      <w:pPr>
        <w:ind w:firstLine="56"/>
        <w:spacing w:after="0" w:line="194" w:lineRule="auto"/>
        <w:framePr w:w="4880" w:h="130" w:wrap="auto" w:vAnchor="page" w:hAnchor="page" w:x="340" w:y="3832"/>
        <w:rPr>
          <w:rFonts w:ascii="Arial" w:cs="Arial" w:eastAsia="Arial" w:hAnsi="Arial"/>
          <w:sz w:val="14"/>
          <w:szCs w:val="14"/>
          <w:color w:val="auto"/>
        </w:rPr>
      </w:pPr>
      <w:r>
        <w:rPr>
          <w:rFonts w:ascii="Arial" w:cs="Arial" w:eastAsia="Arial" w:hAnsi="Arial"/>
          <w:sz w:val="14"/>
          <w:szCs w:val="14"/>
          <w:color w:val="auto"/>
        </w:rPr>
        <w:t>†  Indicates a management contract or compensatory plan or arrangement.</w:t>
      </w:r>
    </w:p>
    <w:p>
      <w:pPr>
        <w:ind w:firstLine="56"/>
        <w:spacing w:after="0" w:line="188" w:lineRule="auto"/>
        <w:framePr w:w="440" w:h="163" w:wrap="auto" w:vAnchor="page" w:hAnchor="page" w:x="200" w:y="2989"/>
        <w:rPr>
          <w:rFonts w:ascii="Arial" w:cs="Arial" w:eastAsia="Arial" w:hAnsi="Arial"/>
          <w:sz w:val="18"/>
          <w:szCs w:val="18"/>
          <w:color w:val="auto"/>
        </w:rPr>
      </w:pPr>
      <w:r>
        <w:rPr>
          <w:rFonts w:ascii="Arial" w:cs="Arial" w:eastAsia="Arial" w:hAnsi="Arial"/>
          <w:sz w:val="18"/>
          <w:szCs w:val="18"/>
          <w:color w:val="auto"/>
        </w:rPr>
        <w:t>99.2</w:t>
      </w:r>
    </w:p>
    <w:p>
      <w:pPr>
        <w:ind w:firstLine="56"/>
        <w:spacing w:after="0" w:line="200" w:lineRule="auto"/>
        <w:framePr w:w="500" w:h="163" w:wrap="auto" w:vAnchor="page" w:hAnchor="page" w:x="200" w:y="2057"/>
        <w:rPr>
          <w:rFonts w:ascii="Arial" w:cs="Arial" w:eastAsia="Arial" w:hAnsi="Arial"/>
          <w:sz w:val="17"/>
          <w:szCs w:val="17"/>
          <w:color w:val="auto"/>
        </w:rPr>
      </w:pPr>
      <w:r>
        <w:rPr>
          <w:rFonts w:ascii="Arial" w:cs="Arial" w:eastAsia="Arial" w:hAnsi="Arial"/>
          <w:sz w:val="17"/>
          <w:szCs w:val="17"/>
          <w:color w:val="auto"/>
        </w:rPr>
        <w:t>23.2*</w:t>
      </w:r>
    </w:p>
    <w:p>
      <w:pPr>
        <w:ind w:firstLine="56"/>
        <w:spacing w:after="0" w:line="188" w:lineRule="auto"/>
        <w:framePr w:w="580" w:h="163" w:wrap="auto" w:vAnchor="page" w:hAnchor="page" w:x="200" w:y="1436"/>
        <w:rPr>
          <w:rFonts w:ascii="Arial" w:cs="Arial" w:eastAsia="Arial" w:hAnsi="Arial"/>
          <w:sz w:val="18"/>
          <w:szCs w:val="18"/>
          <w:color w:val="auto"/>
        </w:rPr>
      </w:pPr>
      <w:r>
        <w:rPr>
          <w:rFonts w:ascii="Arial" w:cs="Arial" w:eastAsia="Arial" w:hAnsi="Arial"/>
          <w:sz w:val="18"/>
          <w:szCs w:val="18"/>
          <w:color w:val="auto"/>
        </w:rPr>
        <w:t>21.1**</w:t>
      </w:r>
    </w:p>
    <w:p>
      <w:pPr>
        <w:ind w:firstLine="56"/>
        <w:spacing w:after="0" w:line="189" w:lineRule="auto"/>
        <w:framePr w:w="3540" w:h="155" w:wrap="auto" w:vAnchor="page" w:hAnchor="page" w:x="1540" w:y="1431"/>
        <w:rPr>
          <w:rFonts w:ascii="Arial" w:cs="Arial" w:eastAsia="Arial" w:hAnsi="Arial"/>
          <w:sz w:val="17"/>
          <w:szCs w:val="17"/>
          <w:color w:val="auto"/>
        </w:rPr>
      </w:pPr>
      <w:r>
        <w:rPr>
          <w:rFonts w:ascii="Arial" w:cs="Arial" w:eastAsia="Arial" w:hAnsi="Arial"/>
          <w:sz w:val="17"/>
          <w:szCs w:val="17"/>
          <w:color w:val="auto"/>
        </w:rPr>
        <w:t>List of Subsidiaries of Medpace Holdings, Inc.</w:t>
      </w:r>
    </w:p>
    <w:p>
      <w:pPr>
        <w:ind w:firstLine="56"/>
        <w:spacing w:after="0" w:line="285" w:lineRule="auto"/>
        <w:framePr w:w="440" w:h="163" w:wrap="auto" w:vAnchor="page" w:hAnchor="page" w:x="200" w:y="1747"/>
        <w:rPr>
          <w:rFonts w:ascii="Arial" w:cs="Arial" w:eastAsia="Arial" w:hAnsi="Arial"/>
          <w:sz w:val="18"/>
          <w:szCs w:val="18"/>
          <w:color w:val="auto"/>
        </w:rPr>
      </w:pPr>
      <w:r>
        <w:rPr>
          <w:rFonts w:ascii="Arial" w:cs="Arial" w:eastAsia="Arial" w:hAnsi="Arial"/>
          <w:sz w:val="18"/>
          <w:szCs w:val="18"/>
          <w:color w:val="auto"/>
        </w:rPr>
        <w:t>23.1</w:t>
      </w:r>
    </w:p>
    <w:p>
      <w:pPr>
        <w:ind w:firstLine="56"/>
        <w:spacing w:after="0" w:line="285" w:lineRule="auto"/>
        <w:framePr w:w="4880" w:h="465" w:wrap="auto" w:vAnchor="page" w:hAnchor="page" w:x="1540" w:y="1741"/>
        <w:rPr>
          <w:rFonts w:ascii="Arial" w:cs="Arial" w:eastAsia="Arial" w:hAnsi="Arial"/>
          <w:sz w:val="17"/>
          <w:szCs w:val="17"/>
          <w:color w:val="auto"/>
        </w:rPr>
      </w:pPr>
      <w:r>
        <w:rPr>
          <w:rFonts w:ascii="Arial" w:cs="Arial" w:eastAsia="Arial" w:hAnsi="Arial"/>
          <w:sz w:val="17"/>
          <w:szCs w:val="17"/>
          <w:color w:val="auto"/>
        </w:rPr>
        <w:t>Consent of Deloitte &amp; Touche LLP as to Medpace Holdings, Inc. Consent of Latham &amp; Watkins LLP (included in Exhibit 5.1).</w:t>
      </w:r>
    </w:p>
    <w:p>
      <w:pPr>
        <w:ind w:firstLine="56"/>
        <w:spacing w:after="0" w:line="189" w:lineRule="auto"/>
        <w:framePr w:w="440" w:h="163" w:wrap="auto" w:vAnchor="page" w:hAnchor="page" w:x="200" w:y="2368"/>
        <w:rPr>
          <w:rFonts w:ascii="Arial" w:cs="Arial" w:eastAsia="Arial" w:hAnsi="Arial"/>
          <w:sz w:val="18"/>
          <w:szCs w:val="18"/>
          <w:color w:val="auto"/>
        </w:rPr>
      </w:pPr>
      <w:r>
        <w:rPr>
          <w:rFonts w:ascii="Arial" w:cs="Arial" w:eastAsia="Arial" w:hAnsi="Arial"/>
          <w:sz w:val="18"/>
          <w:szCs w:val="18"/>
          <w:color w:val="auto"/>
        </w:rPr>
        <w:t>24.1</w:t>
      </w:r>
    </w:p>
    <w:p>
      <w:pPr>
        <w:ind w:firstLine="56"/>
        <w:spacing w:after="0" w:line="189" w:lineRule="auto"/>
        <w:framePr w:w="3700" w:h="155" w:wrap="auto" w:vAnchor="page" w:hAnchor="page" w:x="1540" w:y="2362"/>
        <w:rPr>
          <w:rFonts w:ascii="Arial" w:cs="Arial" w:eastAsia="Arial" w:hAnsi="Arial"/>
          <w:sz w:val="17"/>
          <w:szCs w:val="17"/>
          <w:color w:val="auto"/>
        </w:rPr>
      </w:pPr>
      <w:r>
        <w:rPr>
          <w:rFonts w:ascii="Arial" w:cs="Arial" w:eastAsia="Arial" w:hAnsi="Arial"/>
          <w:sz w:val="17"/>
          <w:szCs w:val="17"/>
          <w:color w:val="auto"/>
        </w:rPr>
        <w:t>Power of Attorney (included on signature page).</w:t>
      </w:r>
    </w:p>
    <w:p>
      <w:pPr>
        <w:ind w:firstLine="56"/>
        <w:spacing w:after="0" w:line="285" w:lineRule="auto"/>
        <w:framePr w:w="440" w:h="163" w:wrap="auto" w:vAnchor="page" w:hAnchor="page" w:x="200" w:y="2678"/>
        <w:rPr>
          <w:rFonts w:ascii="Arial" w:cs="Arial" w:eastAsia="Arial" w:hAnsi="Arial"/>
          <w:sz w:val="18"/>
          <w:szCs w:val="18"/>
          <w:color w:val="auto"/>
        </w:rPr>
      </w:pPr>
      <w:r>
        <w:rPr>
          <w:rFonts w:ascii="Arial" w:cs="Arial" w:eastAsia="Arial" w:hAnsi="Arial"/>
          <w:sz w:val="18"/>
          <w:szCs w:val="18"/>
          <w:color w:val="auto"/>
        </w:rPr>
        <w:t>99.1</w:t>
      </w:r>
    </w:p>
    <w:p>
      <w:pPr>
        <w:ind w:firstLine="56"/>
        <w:spacing w:after="0" w:line="285" w:lineRule="auto"/>
        <w:framePr w:w="4520" w:h="465" w:wrap="auto" w:vAnchor="page" w:hAnchor="page" w:x="1540" w:y="2673"/>
        <w:rPr>
          <w:rFonts w:ascii="Arial" w:cs="Arial" w:eastAsia="Arial" w:hAnsi="Arial"/>
          <w:sz w:val="17"/>
          <w:szCs w:val="17"/>
          <w:color w:val="auto"/>
        </w:rPr>
      </w:pPr>
      <w:r>
        <w:rPr>
          <w:rFonts w:ascii="Arial" w:cs="Arial" w:eastAsia="Arial" w:hAnsi="Arial"/>
          <w:sz w:val="17"/>
          <w:szCs w:val="17"/>
          <w:color w:val="auto"/>
        </w:rPr>
        <w:t>Consent to be named Director Nominee of Robert O. Kraft. Consent to be named Director Nominee of Brian T. Carley.</w:t>
      </w:r>
    </w:p>
    <w:p>
      <w:pPr>
        <w:ind w:firstLine="56"/>
        <w:spacing w:after="0" w:line="208" w:lineRule="auto"/>
        <w:framePr w:w="1440" w:h="160" w:wrap="auto" w:vAnchor="page" w:hAnchor="page" w:x="200" w:y="48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ind w:firstLine="56"/>
        <w:spacing w:after="0" w:line="194" w:lineRule="auto"/>
        <w:framePr w:w="640" w:h="130" w:wrap="auto" w:vAnchor="page" w:hAnchor="page" w:x="220" w:y="996"/>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EXHIBIT</w:t>
      </w:r>
    </w:p>
    <w:p>
      <w:pPr>
        <w:ind w:firstLine="56"/>
        <w:spacing w:after="0" w:line="194" w:lineRule="auto"/>
        <w:framePr w:w="340" w:h="130" w:wrap="auto" w:vAnchor="page" w:hAnchor="page" w:x="360" w:y="1158"/>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NO.</w:t>
      </w:r>
    </w:p>
    <w:p>
      <w:pPr>
        <w:spacing w:after="0" w:line="200" w:lineRule="exact"/>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835025</wp:posOffset>
            </wp:positionV>
            <wp:extent cx="3517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2164715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333" w:lineRule="exact"/>
        <w:rPr>
          <w:rFonts w:ascii="Arial" w:cs="Arial" w:eastAsia="Arial" w:hAnsi="Arial"/>
          <w:sz w:val="14"/>
          <w:szCs w:val="14"/>
          <w:b w:val="1"/>
          <w:bCs w:val="1"/>
          <w:u w:val="single" w:color="auto"/>
          <w:color w:val="0000EE"/>
        </w:rPr>
      </w:pPr>
    </w:p>
    <w:p>
      <w:pPr>
        <w:jc w:val="center"/>
        <w:ind w:right="-20"/>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9019"/>
          </w:cols>
          <w:pgMar w:left="1440" w:top="1440"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Representatives of the several Underwriters named in </w:t>
      </w:r>
      <w:r>
        <w:rPr>
          <w:rFonts w:ascii="Arial" w:cs="Arial" w:eastAsia="Arial" w:hAnsi="Arial"/>
          <w:sz w:val="18"/>
          <w:szCs w:val="18"/>
          <w:u w:val="single" w:color="auto"/>
          <w:color w:val="auto"/>
        </w:rPr>
        <w:t>Schedule 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GC-IBCM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Medpace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shares of its common stock, par value $[●]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 Shares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has granted to the Underwriters an option to purchase up to an additional [●] Shares as provided in Section 2. The additional [●] Shares to be sold by the Company pursuant to such option are collectively called the “</w:t>
      </w:r>
      <w:r>
        <w:rPr>
          <w:rFonts w:ascii="Arial" w:cs="Arial" w:eastAsia="Arial" w:hAnsi="Arial"/>
          <w:sz w:val="17"/>
          <w:szCs w:val="17"/>
          <w:b w:val="1"/>
          <w:bCs w:val="1"/>
          <w:color w:val="auto"/>
        </w:rPr>
        <w:t>Optional Shares</w:t>
      </w:r>
      <w:r>
        <w:rPr>
          <w:rFonts w:ascii="Arial" w:cs="Arial" w:eastAsia="Arial" w:hAnsi="Arial"/>
          <w:sz w:val="17"/>
          <w:szCs w:val="17"/>
          <w:color w:val="auto"/>
        </w:rPr>
        <w:t>.” The Firm Shares and, if and to the extent such option is exercised,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Credit Suisse Securities (USA) LLC (“</w:t>
      </w:r>
      <w:r>
        <w:rPr>
          <w:rFonts w:ascii="Arial" w:cs="Arial" w:eastAsia="Arial" w:hAnsi="Arial"/>
          <w:sz w:val="17"/>
          <w:szCs w:val="17"/>
          <w:b w:val="1"/>
          <w:bCs w:val="1"/>
          <w:color w:val="auto"/>
        </w:rPr>
        <w:t>Credit Suisse</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 the offering and sale of the Offered Shares.</w:t>
      </w:r>
    </w:p>
    <w:p>
      <w:pPr>
        <w:spacing w:after="0" w:line="17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from and after the date and time of filing of any such Rule 462(b) Registration Statement the term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2016,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w:t>
      </w:r>
    </w:p>
    <w:p>
      <w:pPr>
        <w:sectPr>
          <w:pgSz w:w="11900" w:h="16838" w:orient="portrait"/>
          <w:cols w:equalWidth="0" w:num="1">
            <w:col w:w="11420"/>
          </w:cols>
          <w:pgMar w:left="240" w:top="121" w:right="239" w:bottom="1440" w:gutter="0" w:footer="0" w:header="0"/>
        </w:sectPr>
      </w:pPr>
    </w:p>
    <w:bookmarkStart w:id="211" w:name="page212"/>
    <w:bookmarkEnd w:id="21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describes the Offered Shares and the offering thereof and is used prior to the filing of the Prospectus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 “</w:t>
      </w:r>
      <w:r>
        <w:rPr>
          <w:rFonts w:ascii="Arial" w:cs="Arial" w:eastAsia="Arial" w:hAnsi="Arial"/>
          <w:sz w:val="17"/>
          <w:szCs w:val="17"/>
          <w:b w:val="1"/>
          <w:bCs w:val="1"/>
          <w:color w:val="auto"/>
        </w:rPr>
        <w:t>Applicable Time</w:t>
      </w:r>
      <w:r>
        <w:rPr>
          <w:rFonts w:ascii="Arial" w:cs="Arial" w:eastAsia="Arial" w:hAnsi="Arial"/>
          <w:sz w:val="17"/>
          <w:szCs w:val="17"/>
          <w:color w:val="auto"/>
        </w:rPr>
        <w:t>” is [●][a.m.][p.m.] (New York City time) on [●], 2016. As used herein,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and “</w:t>
      </w:r>
      <w:r>
        <w:rPr>
          <w:rFonts w:ascii="Arial" w:cs="Arial" w:eastAsia="Arial" w:hAnsi="Arial"/>
          <w:sz w:val="17"/>
          <w:szCs w:val="17"/>
          <w:b w:val="1"/>
          <w:bCs w:val="1"/>
          <w:color w:val="auto"/>
        </w:rPr>
        <w:t>Time of Sale Prospectus</w:t>
      </w:r>
      <w:r>
        <w:rPr>
          <w:rFonts w:ascii="Arial" w:cs="Arial" w:eastAsia="Arial" w:hAnsi="Arial"/>
          <w:sz w:val="17"/>
          <w:szCs w:val="17"/>
          <w:color w:val="auto"/>
        </w:rPr>
        <w:t xml:space="preserve">” means the Preliminary Prospectus together with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As used herein, </w:t>
      </w:r>
      <w:r>
        <w:rPr>
          <w:rFonts w:ascii="Arial" w:cs="Arial" w:eastAsia="Arial" w:hAnsi="Arial"/>
          <w:sz w:val="17"/>
          <w:szCs w:val="17"/>
          <w:b w:val="1"/>
          <w:bCs w:val="1"/>
          <w:color w:val="auto"/>
        </w:rPr>
        <w:t>“Road Show”</w:t>
      </w:r>
      <w:r>
        <w:rPr>
          <w:rFonts w:ascii="Arial" w:cs="Arial" w:eastAsia="Arial" w:hAnsi="Arial"/>
          <w:sz w:val="17"/>
          <w:szCs w:val="17"/>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7"/>
          <w:szCs w:val="17"/>
          <w:b w:val="1"/>
          <w:bCs w:val="1"/>
          <w:color w:val="auto"/>
        </w:rPr>
        <w:t>Section 5(d)</w:t>
      </w:r>
      <w:r>
        <w:rPr>
          <w:rFonts w:ascii="Arial" w:cs="Arial" w:eastAsia="Arial" w:hAnsi="Arial"/>
          <w:sz w:val="17"/>
          <w:szCs w:val="17"/>
          <w:color w:val="auto"/>
        </w:rPr>
        <w:t xml:space="preserve"> </w:t>
      </w:r>
      <w:r>
        <w:rPr>
          <w:rFonts w:ascii="Arial" w:cs="Arial" w:eastAsia="Arial" w:hAnsi="Arial"/>
          <w:sz w:val="17"/>
          <w:szCs w:val="17"/>
          <w:b w:val="1"/>
          <w:bCs w:val="1"/>
          <w:color w:val="auto"/>
        </w:rPr>
        <w:t>Written Communication</w:t>
      </w:r>
      <w:r>
        <w:rPr>
          <w:rFonts w:ascii="Arial" w:cs="Arial" w:eastAsia="Arial" w:hAnsi="Arial"/>
          <w:sz w:val="17"/>
          <w:szCs w:val="17"/>
          <w:color w:val="auto"/>
        </w:rPr>
        <w:t>” means each written communication (within the meaning of Rule 405 under the Securities Act) that is made in reliance on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5(d) of the Securities Act by the Company or any person authorized to act on behalf of the Company to one or more potential investors that are qualified institutional buyers (“</w:t>
      </w:r>
      <w:r>
        <w:rPr>
          <w:rFonts w:ascii="Arial" w:cs="Arial" w:eastAsia="Arial" w:hAnsi="Arial"/>
          <w:sz w:val="17"/>
          <w:szCs w:val="17"/>
          <w:b w:val="1"/>
          <w:bCs w:val="1"/>
          <w:color w:val="auto"/>
        </w:rPr>
        <w:t>QIBs</w:t>
      </w:r>
      <w:r>
        <w:rPr>
          <w:rFonts w:ascii="Arial" w:cs="Arial" w:eastAsia="Arial" w:hAnsi="Arial"/>
          <w:sz w:val="17"/>
          <w:szCs w:val="17"/>
          <w:color w:val="auto"/>
        </w:rPr>
        <w:t>”) and/or institutions that are accredited investors (“</w:t>
      </w:r>
      <w:r>
        <w:rPr>
          <w:rFonts w:ascii="Arial" w:cs="Arial" w:eastAsia="Arial" w:hAnsi="Arial"/>
          <w:sz w:val="17"/>
          <w:szCs w:val="17"/>
          <w:b w:val="1"/>
          <w:bCs w:val="1"/>
          <w:color w:val="auto"/>
        </w:rPr>
        <w:t>IAIs</w:t>
      </w:r>
      <w:r>
        <w:rPr>
          <w:rFonts w:ascii="Arial" w:cs="Arial" w:eastAsia="Arial" w:hAnsi="Arial"/>
          <w:sz w:val="17"/>
          <w:szCs w:val="17"/>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7"/>
          <w:szCs w:val="17"/>
          <w:b w:val="1"/>
          <w:bCs w:val="1"/>
          <w:color w:val="auto"/>
        </w:rPr>
        <w:t>Section 5(d) Oral</w:t>
      </w:r>
      <w:r>
        <w:rPr>
          <w:rFonts w:ascii="Arial" w:cs="Arial" w:eastAsia="Arial" w:hAnsi="Arial"/>
          <w:sz w:val="17"/>
          <w:szCs w:val="17"/>
          <w:color w:val="auto"/>
        </w:rPr>
        <w:t xml:space="preserve"> </w:t>
      </w:r>
      <w:r>
        <w:rPr>
          <w:rFonts w:ascii="Arial" w:cs="Arial" w:eastAsia="Arial" w:hAnsi="Arial"/>
          <w:sz w:val="17"/>
          <w:szCs w:val="17"/>
          <w:b w:val="1"/>
          <w:bCs w:val="1"/>
          <w:color w:val="auto"/>
        </w:rPr>
        <w:t>Communication</w:t>
      </w:r>
      <w:r>
        <w:rPr>
          <w:rFonts w:ascii="Arial" w:cs="Arial" w:eastAsia="Arial" w:hAnsi="Arial"/>
          <w:sz w:val="17"/>
          <w:szCs w:val="17"/>
          <w:color w:val="auto"/>
        </w:rPr>
        <w:t>” means each oral communication, if any, made in reliance on Section 5(d) of the Securities Act by the Company or any person authorized to</w:t>
      </w:r>
      <w:r>
        <w:rPr>
          <w:rFonts w:ascii="Arial" w:cs="Arial" w:eastAsia="Arial" w:hAnsi="Arial"/>
          <w:sz w:val="17"/>
          <w:szCs w:val="17"/>
          <w:b w:val="1"/>
          <w:bCs w:val="1"/>
          <w:color w:val="auto"/>
        </w:rPr>
        <w:t xml:space="preserve"> </w:t>
      </w:r>
      <w:r>
        <w:rPr>
          <w:rFonts w:ascii="Arial" w:cs="Arial" w:eastAsia="Arial" w:hAnsi="Arial"/>
          <w:sz w:val="17"/>
          <w:szCs w:val="17"/>
          <w:color w:val="auto"/>
        </w:rPr>
        <w:t>act on behalf of the Company made to one or more QIBs and/or one or more IAIs to determine whether such investors might have an interest in the offering of the Offered Shares; “</w:t>
      </w:r>
      <w:r>
        <w:rPr>
          <w:rFonts w:ascii="Arial" w:cs="Arial" w:eastAsia="Arial" w:hAnsi="Arial"/>
          <w:sz w:val="17"/>
          <w:szCs w:val="17"/>
          <w:b w:val="1"/>
          <w:bCs w:val="1"/>
          <w:color w:val="auto"/>
        </w:rPr>
        <w:t>Marketing Materials</w:t>
      </w:r>
      <w:r>
        <w:rPr>
          <w:rFonts w:ascii="Arial" w:cs="Arial" w:eastAsia="Arial" w:hAnsi="Arial"/>
          <w:sz w:val="17"/>
          <w:szCs w:val="17"/>
          <w:color w:val="auto"/>
        </w:rPr>
        <w:t>” means any materials or information provided to investors by, or with the approval of, the Company in connection with the marketing of the offering of the Offered Shares, including any road show or investor presentations made to investors by the Company (whether in person or electronically); and “</w:t>
      </w:r>
      <w:r>
        <w:rPr>
          <w:rFonts w:ascii="Arial" w:cs="Arial" w:eastAsia="Arial" w:hAnsi="Arial"/>
          <w:sz w:val="17"/>
          <w:szCs w:val="17"/>
          <w:b w:val="1"/>
          <w:bCs w:val="1"/>
          <w:color w:val="auto"/>
        </w:rPr>
        <w:t>Permitted Section 5(d) Communication</w:t>
      </w:r>
      <w:r>
        <w:rPr>
          <w:rFonts w:ascii="Arial" w:cs="Arial" w:eastAsia="Arial" w:hAnsi="Arial"/>
          <w:sz w:val="17"/>
          <w:szCs w:val="17"/>
          <w:color w:val="auto"/>
        </w:rPr>
        <w:t xml:space="preserve">” means the Section 5(d) Written Communication(s) and Marketing Materials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w:t>
      </w:r>
    </w:p>
    <w:p>
      <w:pPr>
        <w:spacing w:after="0" w:line="187"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3(n) of this Agreement.</w:t>
      </w:r>
    </w:p>
    <w:p>
      <w:pPr>
        <w:spacing w:after="0" w:line="15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 Representations and Warranties of the Company</w:t>
      </w:r>
      <w:r>
        <w:rPr>
          <w:rFonts w:ascii="Arial" w:cs="Arial" w:eastAsia="Arial" w:hAnsi="Arial"/>
          <w:sz w:val="18"/>
          <w:szCs w:val="18"/>
          <w:color w:val="auto"/>
        </w:rPr>
        <w:t>.</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ind w:right="600" w:firstLine="464"/>
        <w:spacing w:after="0" w:line="261" w:lineRule="auto"/>
        <w:tabs>
          <w:tab w:leader="none" w:pos="71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80" w:lineRule="exact"/>
        <w:rPr>
          <w:rFonts w:ascii="Arial" w:cs="Arial" w:eastAsia="Arial" w:hAnsi="Arial"/>
          <w:sz w:val="18"/>
          <w:szCs w:val="18"/>
          <w:b w:val="1"/>
          <w:bCs w:val="1"/>
          <w:color w:val="auto"/>
        </w:rPr>
      </w:pPr>
    </w:p>
    <w:p>
      <w:pPr>
        <w:ind w:right="340" w:firstLine="464"/>
        <w:spacing w:after="0" w:line="266" w:lineRule="auto"/>
        <w:tabs>
          <w:tab w:leader="none" w:pos="72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preliminary prospectus and the Prospectus when filed complied in all material respects with the Securities Act and, if filed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electronic transmission pursuant to EDGAR, was identical (except as may be permitted by Regulation S-T under the Securities Act) to the copy thereof delivered to the Underwriters for use in connection with the offer and sale of the Offered Shares. Each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12" w:name="page213"/>
    <w:bookmarkEnd w:id="21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84" w:lineRule="exact"/>
        <w:rPr>
          <w:sz w:val="20"/>
          <w:szCs w:val="20"/>
          <w:color w:val="auto"/>
        </w:rPr>
      </w:pPr>
    </w:p>
    <w:p>
      <w:pPr>
        <w:ind w:right="20" w:firstLine="464"/>
        <w:spacing w:after="0" w:line="287" w:lineRule="auto"/>
        <w:tabs>
          <w:tab w:leader="none" w:pos="701"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 not,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used or referred to, and will not, without your prior written consent, which consent shall not be unreasonably withheld,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64" w:lineRule="exact"/>
        <w:rPr>
          <w:rFonts w:ascii="Arial" w:cs="Arial" w:eastAsia="Arial" w:hAnsi="Arial"/>
          <w:sz w:val="16"/>
          <w:szCs w:val="16"/>
          <w:b w:val="1"/>
          <w:bCs w:val="1"/>
          <w:color w:val="auto"/>
        </w:rPr>
      </w:pPr>
    </w:p>
    <w:p>
      <w:pPr>
        <w:ind w:firstLine="464"/>
        <w:spacing w:after="0" w:line="256" w:lineRule="auto"/>
        <w:tabs>
          <w:tab w:leader="none" w:pos="721"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in Section 2, (ii) the completion of the Underwriters’ distribution of the Offered Shares or (iii) the expiration of 25 days after the date of the Prospectus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which consent shall not be unreasonably withheld,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3" w:name="page214"/>
    <w:bookmarkEnd w:id="213"/>
    <w:p>
      <w:pPr>
        <w:ind w:left="700" w:hanging="236"/>
        <w:spacing w:after="0"/>
        <w:tabs>
          <w:tab w:leader="none" w:pos="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ind w:right="300" w:firstLine="464"/>
        <w:spacing w:after="0" w:line="261" w:lineRule="auto"/>
        <w:tabs>
          <w:tab w:leader="none" w:pos="68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or other securities of the Company.</w:t>
      </w:r>
    </w:p>
    <w:p>
      <w:pPr>
        <w:spacing w:after="0" w:line="180" w:lineRule="exact"/>
        <w:rPr>
          <w:rFonts w:ascii="Arial" w:cs="Arial" w:eastAsia="Arial" w:hAnsi="Arial"/>
          <w:sz w:val="18"/>
          <w:szCs w:val="18"/>
          <w:b w:val="1"/>
          <w:bCs w:val="1"/>
          <w:color w:val="auto"/>
        </w:rPr>
      </w:pPr>
    </w:p>
    <w:p>
      <w:pPr>
        <w:ind w:right="60" w:firstLine="464"/>
        <w:spacing w:after="0" w:line="266" w:lineRule="auto"/>
        <w:tabs>
          <w:tab w:leader="none" w:pos="71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176" w:lineRule="exact"/>
        <w:rPr>
          <w:rFonts w:ascii="Arial" w:cs="Arial" w:eastAsia="Arial" w:hAnsi="Arial"/>
          <w:sz w:val="18"/>
          <w:szCs w:val="18"/>
          <w:b w:val="1"/>
          <w:bCs w:val="1"/>
          <w:color w:val="auto"/>
        </w:rPr>
      </w:pPr>
    </w:p>
    <w:p>
      <w:pPr>
        <w:ind w:firstLine="464"/>
        <w:spacing w:after="0" w:line="269" w:lineRule="auto"/>
        <w:tabs>
          <w:tab w:leader="none" w:pos="721"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subsequent to the respective dates as of which information is given in the Registration Statement, the Time of Sale Prospectus and the Prospectus: (i) there has been no material adverse change, or any development that could reasonably be expected to result in a material adverse change, in the condition, financial or otherwise, or in the earnings, business, properties, operations, assets, liabilities or prospects</w:t>
      </w:r>
      <w:r>
        <w:rPr>
          <w:rFonts w:ascii="Arial" w:cs="Arial" w:eastAsia="Arial" w:hAnsi="Arial"/>
          <w:sz w:val="17"/>
          <w:szCs w:val="17"/>
          <w:b w:val="1"/>
          <w:bCs w:val="1"/>
          <w:color w:val="auto"/>
        </w:rPr>
        <w:t>,</w:t>
      </w:r>
      <w:r>
        <w:rPr>
          <w:rFonts w:ascii="Arial" w:cs="Arial" w:eastAsia="Arial" w:hAnsi="Arial"/>
          <w:sz w:val="17"/>
          <w:szCs w:val="17"/>
          <w:color w:val="auto"/>
        </w:rPr>
        <w:t xml:space="preserve"> whether or not arising from transactions in the ordinary course of business, of the Company and its subsidiaries, considered as one entity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76" w:lineRule="exact"/>
        <w:rPr>
          <w:rFonts w:ascii="Arial" w:cs="Arial" w:eastAsia="Arial" w:hAnsi="Arial"/>
          <w:sz w:val="17"/>
          <w:szCs w:val="17"/>
          <w:b w:val="1"/>
          <w:bCs w:val="1"/>
          <w:color w:val="auto"/>
        </w:rPr>
      </w:pPr>
    </w:p>
    <w:p>
      <w:pPr>
        <w:ind w:right="140" w:firstLine="464"/>
        <w:spacing w:after="0" w:line="255" w:lineRule="auto"/>
        <w:tabs>
          <w:tab w:leader="none" w:pos="67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Auditors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Deloitte &amp; Touche LLP, which has expressed its opinion with respect to the financial statements (which term as used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includes the related notes thereto) filed with the Commission as a part of the Registration Statement, the Time of Sale Prospectus and the Prospectus, is (i) an independent registered public accounting firm as required by the Securities Act, the Securities Exchange Act of 1934, as amended ,and the rules and regulations promulgated thereunder (collectively, the “</w:t>
      </w:r>
      <w:r>
        <w:rPr>
          <w:rFonts w:ascii="Arial" w:cs="Arial" w:eastAsia="Arial" w:hAnsi="Arial"/>
          <w:sz w:val="18"/>
          <w:szCs w:val="18"/>
          <w:b w:val="1"/>
          <w:bCs w:val="1"/>
          <w:color w:val="auto"/>
        </w:rPr>
        <w:t>Exchange Act</w:t>
      </w:r>
      <w:r>
        <w:rPr>
          <w:rFonts w:ascii="Arial" w:cs="Arial" w:eastAsia="Arial" w:hAnsi="Arial"/>
          <w:sz w:val="18"/>
          <w:szCs w:val="18"/>
          <w:color w:val="auto"/>
        </w:rPr>
        <w: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9" w:lineRule="exact"/>
        <w:rPr>
          <w:rFonts w:ascii="Arial" w:cs="Arial" w:eastAsia="Arial" w:hAnsi="Arial"/>
          <w:sz w:val="18"/>
          <w:szCs w:val="18"/>
          <w:b w:val="1"/>
          <w:bCs w:val="1"/>
          <w:color w:val="auto"/>
        </w:rPr>
      </w:pPr>
    </w:p>
    <w:p>
      <w:pPr>
        <w:ind w:right="120" w:firstLine="464"/>
        <w:spacing w:after="0" w:line="258" w:lineRule="auto"/>
        <w:tabs>
          <w:tab w:leader="none" w:pos="68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statements filed with the Commission as a part of the Registration Statement, the Time of Sale Prospectus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applied on a consistent basis throughout the periods involved, except as may be expressly stated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14" w:name="page215"/>
    <w:bookmarkEnd w:id="21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Historical Consolidated Financial and Other Data,” “Selected Historical Consolidated Financial and Other Data” and “Capitalization” fairly present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knowledge of the Company,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79" w:lineRule="exact"/>
        <w:rPr>
          <w:sz w:val="20"/>
          <w:szCs w:val="20"/>
          <w:color w:val="auto"/>
        </w:rPr>
      </w:pPr>
    </w:p>
    <w:p>
      <w:pPr>
        <w:ind w:right="40" w:firstLine="464"/>
        <w:spacing w:after="0" w:line="256" w:lineRule="auto"/>
        <w:tabs>
          <w:tab w:leader="none" w:pos="72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Company’s Accounting 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its subsidiaries make and keep books and records that are accurate in all material respects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7" w:lineRule="exact"/>
        <w:rPr>
          <w:rFonts w:ascii="Arial" w:cs="Arial" w:eastAsia="Arial" w:hAnsi="Arial"/>
          <w:sz w:val="18"/>
          <w:szCs w:val="18"/>
          <w:b w:val="1"/>
          <w:bCs w:val="1"/>
          <w:color w:val="auto"/>
        </w:rPr>
      </w:pPr>
    </w:p>
    <w:p>
      <w:pPr>
        <w:ind w:firstLine="464"/>
        <w:spacing w:after="0" w:line="290" w:lineRule="auto"/>
        <w:tabs>
          <w:tab w:leader="none" w:pos="671"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designed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of “disclosure controls and procedures” (as defined in Rule 13a-15(e) of the Exchange Act) that will comply with the requirements of the Exchange Act within the time period required and has been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59" w:lineRule="exact"/>
        <w:rPr>
          <w:rFonts w:ascii="Arial" w:cs="Arial" w:eastAsia="Arial" w:hAnsi="Arial"/>
          <w:sz w:val="16"/>
          <w:szCs w:val="16"/>
          <w:b w:val="1"/>
          <w:bCs w:val="1"/>
          <w:color w:val="auto"/>
        </w:rPr>
      </w:pPr>
    </w:p>
    <w:p>
      <w:pPr>
        <w:ind w:right="20" w:firstLine="464"/>
        <w:spacing w:after="0" w:line="291" w:lineRule="auto"/>
        <w:tabs>
          <w:tab w:leader="none" w:pos="771"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incorporated and is validly existing as a corporation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standing under the laws of the State of Delaware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Ohio and each other jurisdiction in which such qualification is required, whether by reason of the ownership or leasing of property or the conduct of business, except where the failure to be so qualified or be in good standing would not reasonably be expected, individually or in the aggregate, to result in a material adverse effect on the condition (financial or other), earnings, business, properties, operations, assets, liabilities or prospects, whether or not arising from transactions in the ordinary course of business, of the Company and its subsidiaries, considered as one entity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15" w:name="page216"/>
    <w:bookmarkEnd w:id="215"/>
    <w:p>
      <w:pPr>
        <w:ind w:left="-20" w:firstLine="464"/>
        <w:spacing w:after="0" w:line="287" w:lineRule="auto"/>
        <w:tabs>
          <w:tab w:leader="none" w:pos="70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this Agreement, as defined in Rule 405 under the Securities Act) has been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or be in good standing would not reasonably be expected, individually or in the aggregate, to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other than as disclosed in the Registration Statement, the Time of Sale Prospectus and the Prospectus ”), or except as otherwise would not reasonably be expected, individually or in the aggregate, to have a Material Adverse Effect. The Company does not own or control, directly or indirectly, any corporation, association or other entity other than the subsidiaries listed on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hereto.</w:t>
      </w:r>
    </w:p>
    <w:p>
      <w:pPr>
        <w:spacing w:after="0" w:line="168" w:lineRule="exact"/>
        <w:rPr>
          <w:rFonts w:ascii="Arial" w:cs="Arial" w:eastAsia="Arial" w:hAnsi="Arial"/>
          <w:sz w:val="16"/>
          <w:szCs w:val="16"/>
          <w:b w:val="1"/>
          <w:bCs w:val="1"/>
          <w:color w:val="auto"/>
        </w:rPr>
      </w:pPr>
    </w:p>
    <w:p>
      <w:pPr>
        <w:ind w:left="-20" w:right="20" w:firstLine="464"/>
        <w:spacing w:after="0" w:line="287" w:lineRule="auto"/>
        <w:tabs>
          <w:tab w:leader="none" w:pos="69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(or will conform when issued, as applicable) in all material respects to the description thereof contained in the Time of Sale Prospectus. All of the issued and outstanding Shares have been duly authorized and validly issued, are fully paid and non-assessable and have been issued in compliance with all applicable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168" w:lineRule="exact"/>
        <w:rPr>
          <w:rFonts w:ascii="Arial" w:cs="Arial" w:eastAsia="Arial" w:hAnsi="Arial"/>
          <w:sz w:val="16"/>
          <w:szCs w:val="16"/>
          <w:b w:val="1"/>
          <w:bCs w:val="1"/>
          <w:color w:val="auto"/>
        </w:rPr>
      </w:pPr>
    </w:p>
    <w:p>
      <w:pPr>
        <w:ind w:left="-20" w:right="360" w:firstLine="464"/>
        <w:spacing w:after="0" w:line="282" w:lineRule="auto"/>
        <w:tabs>
          <w:tab w:leader="none" w:pos="701"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approved for listing on The NASDAQ Global Select Market (the “</w:t>
      </w:r>
      <w:r>
        <w:rPr>
          <w:rFonts w:ascii="Arial" w:cs="Arial" w:eastAsia="Arial" w:hAnsi="Arial"/>
          <w:sz w:val="18"/>
          <w:szCs w:val="18"/>
          <w:b w:val="1"/>
          <w:bCs w:val="1"/>
          <w:color w:val="auto"/>
        </w:rPr>
        <w:t>NASDAQ</w:t>
      </w:r>
      <w:r>
        <w:rPr>
          <w:rFonts w:ascii="Arial" w:cs="Arial" w:eastAsia="Arial" w:hAnsi="Arial"/>
          <w:sz w:val="18"/>
          <w:szCs w:val="18"/>
          <w:color w:val="auto"/>
        </w:rPr>
        <w:t>”)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official notice of issuance.</w:t>
      </w:r>
    </w:p>
    <w:p>
      <w:pPr>
        <w:spacing w:after="0" w:line="161" w:lineRule="exact"/>
        <w:rPr>
          <w:rFonts w:ascii="Arial" w:cs="Arial" w:eastAsia="Arial" w:hAnsi="Arial"/>
          <w:sz w:val="18"/>
          <w:szCs w:val="18"/>
          <w:b w:val="1"/>
          <w:bCs w:val="1"/>
          <w:color w:val="auto"/>
        </w:rPr>
      </w:pPr>
    </w:p>
    <w:p>
      <w:pPr>
        <w:ind w:left="-20" w:right="60" w:firstLine="464"/>
        <w:spacing w:after="0" w:line="277" w:lineRule="auto"/>
        <w:tabs>
          <w:tab w:leader="none" w:pos="701"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Non-Contravention of Existing Instruments; No Further Authorizations or Approvals Required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in violation of its respective charter or by-laws, partnership agreement or operating agreement or similar organizational documents, as applicable, or is in default (or, with the giving of notice or lapse of time, would be in default) (“</w:t>
      </w:r>
      <w:r>
        <w:rPr>
          <w:rFonts w:ascii="Arial" w:cs="Arial" w:eastAsia="Arial" w:hAnsi="Arial"/>
          <w:sz w:val="17"/>
          <w:szCs w:val="17"/>
          <w:b w:val="1"/>
          <w:bCs w:val="1"/>
          <w:color w:val="auto"/>
        </w:rPr>
        <w:t>Default</w:t>
      </w:r>
      <w:r>
        <w:rPr>
          <w:rFonts w:ascii="Arial" w:cs="Arial" w:eastAsia="Arial" w:hAnsi="Arial"/>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0" w:right="239" w:bottom="1440" w:gutter="0" w:footer="0" w:header="0"/>
        </w:sectPr>
      </w:pPr>
    </w:p>
    <w:bookmarkStart w:id="216" w:name="page217"/>
    <w:bookmarkEnd w:id="2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except for such Defaults as would not reasonably be expected, individually or in the aggregate, to have a Material Adverse Effect.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Defaults, liens, charges, encumbrances or violations specified in subsections (ii) and (iii) above that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3" w:lineRule="exact"/>
        <w:rPr>
          <w:sz w:val="20"/>
          <w:szCs w:val="20"/>
          <w:color w:val="auto"/>
        </w:rPr>
      </w:pPr>
    </w:p>
    <w:p>
      <w:pPr>
        <w:ind w:right="60" w:firstLine="464"/>
        <w:spacing w:after="0" w:line="254" w:lineRule="auto"/>
        <w:tabs>
          <w:tab w:leader="none" w:pos="701"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disclosed in the Registration Statement, the Time of Sale Prospectus and the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governmental entity now pending or, to the knowledge of the Company, threatened against the Company or any of its subsidiaries, which if determined adversely to the Company or any of its subsidiaries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individually or in the aggregate, to have a Material Adverse Effect. No labor dispute with the employees of the Company or any of its subsidiaries exists or, to the knowledge of the Company, is threatened or imminent.</w:t>
      </w:r>
    </w:p>
    <w:p>
      <w:pPr>
        <w:spacing w:after="0" w:line="189" w:lineRule="exact"/>
        <w:rPr>
          <w:rFonts w:ascii="Arial" w:cs="Arial" w:eastAsia="Arial" w:hAnsi="Arial"/>
          <w:sz w:val="18"/>
          <w:szCs w:val="18"/>
          <w:b w:val="1"/>
          <w:bCs w:val="1"/>
          <w:color w:val="auto"/>
        </w:rPr>
      </w:pPr>
    </w:p>
    <w:p>
      <w:pPr>
        <w:ind w:right="140" w:firstLine="464"/>
        <w:spacing w:after="0" w:line="295" w:lineRule="auto"/>
        <w:tabs>
          <w:tab w:leader="none" w:pos="691"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own or possess all inventions, patent applications, patents, trademarks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and unregistered), trade names, service names, copyrights, trade secrets and other proprietary information described in the Registration Statement, the Time of Sale Prospectus or the Prospectus and as being owned or licensed by any of them or which is necessary for the conduct of, or material to, any of their respective businesses (collectively, the “</w:t>
      </w:r>
      <w:r>
        <w:rPr>
          <w:rFonts w:ascii="Arial" w:cs="Arial" w:eastAsia="Arial" w:hAnsi="Arial"/>
          <w:sz w:val="16"/>
          <w:szCs w:val="16"/>
          <w:b w:val="1"/>
          <w:bCs w:val="1"/>
          <w:color w:val="auto"/>
        </w:rPr>
        <w:t>Intellectual Property</w:t>
      </w:r>
      <w:r>
        <w:rPr>
          <w:rFonts w:ascii="Arial" w:cs="Arial" w:eastAsia="Arial" w:hAnsi="Arial"/>
          <w:sz w:val="16"/>
          <w:szCs w:val="16"/>
          <w:color w:val="auto"/>
        </w:rPr>
        <w:t>”), and the Company is unaware of any claim to the contrary or any challenge by any other person to the rights of the Company or any of its subsidiaries with respect to the Intellectual Property, except as would not reasonably be expected, individually or in the aggregate, to have a Material Adverse Effect; neither the Company nor any of its subsidiaries has infringed or is infringing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217" w:name="page218"/>
    <w:bookmarkEnd w:id="21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of a third party, and neither the Company nor any subsidiary has received notice of a claim by a third party to the contrary, except, in each case, as would not reasonably be expected, individually or in the aggregate, to have a Material Adverse Effect.</w:t>
      </w:r>
    </w:p>
    <w:p>
      <w:pPr>
        <w:spacing w:after="0" w:line="166" w:lineRule="exact"/>
        <w:rPr>
          <w:sz w:val="20"/>
          <w:szCs w:val="20"/>
          <w:color w:val="auto"/>
        </w:rPr>
      </w:pPr>
    </w:p>
    <w:p>
      <w:pPr>
        <w:ind w:firstLine="464"/>
        <w:spacing w:after="0" w:line="289" w:lineRule="auto"/>
        <w:tabs>
          <w:tab w:leader="none" w:pos="681"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Licenses,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possess, or qualify for applicable exemptions to, such valid and current certificates,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authorizations, permits or licenses required by 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Licenses</w:t>
      </w:r>
      <w:r>
        <w:rPr>
          <w:rFonts w:ascii="Arial" w:cs="Arial" w:eastAsia="Arial" w:hAnsi="Arial"/>
          <w:sz w:val="16"/>
          <w:szCs w:val="16"/>
          <w:color w:val="auto"/>
        </w:rPr>
        <w:t>”), including, without limitation, all such Licenses required by the United States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the United States Department of Health and Human Services (“</w:t>
      </w:r>
      <w:r>
        <w:rPr>
          <w:rFonts w:ascii="Arial" w:cs="Arial" w:eastAsia="Arial" w:hAnsi="Arial"/>
          <w:sz w:val="16"/>
          <w:szCs w:val="16"/>
          <w:b w:val="1"/>
          <w:bCs w:val="1"/>
          <w:color w:val="auto"/>
        </w:rPr>
        <w:t>HHS</w:t>
      </w:r>
      <w:r>
        <w:rPr>
          <w:rFonts w:ascii="Arial" w:cs="Arial" w:eastAsia="Arial" w:hAnsi="Arial"/>
          <w:sz w:val="16"/>
          <w:szCs w:val="16"/>
          <w:color w:val="auto"/>
        </w:rPr>
        <w:t>”), the European Medicines Agency (“</w:t>
      </w:r>
      <w:r>
        <w:rPr>
          <w:rFonts w:ascii="Arial" w:cs="Arial" w:eastAsia="Arial" w:hAnsi="Arial"/>
          <w:sz w:val="16"/>
          <w:szCs w:val="16"/>
          <w:b w:val="1"/>
          <w:bCs w:val="1"/>
          <w:color w:val="auto"/>
        </w:rPr>
        <w:t>EMA</w:t>
      </w:r>
      <w:r>
        <w:rPr>
          <w:rFonts w:ascii="Arial" w:cs="Arial" w:eastAsia="Arial" w:hAnsi="Arial"/>
          <w:sz w:val="16"/>
          <w:szCs w:val="16"/>
          <w:color w:val="auto"/>
        </w:rPr>
        <w:t>”) or any other applicable state, federal or foreign agencies or bodies engaged in the regulation of drugs, biologics, medical devices or diagnostics, or preclinical or clinical trials, tests or studies relating to any of the same, except where the failure to possess the same or so qualify would not reasonably be expected, individually or in the aggregate, to have a Material Adverse Effect. Neither the Company nor any of its subsidiaries is in violation of, or in default under, any of such Licenses or, has received any notice of proceedings relating to the revocation or modification of, or non-compliance with, any such License, except for any such violations, defaults or proceeds relating to the revocation or modification of, or non-compliance with, any such License that would not reasonably be expected, individually or in the aggregate, to have a Material Adverse Effect.</w:t>
      </w:r>
    </w:p>
    <w:p>
      <w:pPr>
        <w:spacing w:after="0" w:line="161" w:lineRule="exact"/>
        <w:rPr>
          <w:rFonts w:ascii="Arial" w:cs="Arial" w:eastAsia="Arial" w:hAnsi="Arial"/>
          <w:sz w:val="16"/>
          <w:szCs w:val="16"/>
          <w:b w:val="1"/>
          <w:bCs w:val="1"/>
          <w:color w:val="auto"/>
        </w:rPr>
      </w:pPr>
    </w:p>
    <w:p>
      <w:pPr>
        <w:ind w:right="20" w:firstLine="464"/>
        <w:spacing w:after="0" w:line="272" w:lineRule="auto"/>
        <w:tabs>
          <w:tab w:leader="none" w:pos="721"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Title to Properties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have good and marketable title to all of the real and personal property and other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other than as disclosed in the Registration Statement, the Time of Sale Prospectus and the Prospectus or except for such other security interests, mortgages, liens, encumbrances, equities, adverse claims and other defects as would not reasonably be expected, individually or in the aggregate, to have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72" w:lineRule="exact"/>
        <w:rPr>
          <w:rFonts w:ascii="Arial" w:cs="Arial" w:eastAsia="Arial" w:hAnsi="Arial"/>
          <w:sz w:val="17"/>
          <w:szCs w:val="17"/>
          <w:b w:val="1"/>
          <w:bCs w:val="1"/>
          <w:color w:val="auto"/>
        </w:rPr>
      </w:pPr>
    </w:p>
    <w:p>
      <w:pPr>
        <w:ind w:right="60" w:firstLine="464"/>
        <w:spacing w:after="0" w:line="273" w:lineRule="auto"/>
        <w:tabs>
          <w:tab w:leader="none" w:pos="711"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have filed all necessary federal, state and foreign income and franchise tax returns or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properly requested extensions thereof and have paid all taxes required to be paid by any of them and, if due and payable, any related or similar assessment, fine or penalty levied against any of them except as may be being contested in good faith and by appropriate proceedings, in each case except as would not reasonably be expected, individually or in the aggregate, to have a Material Adverse Effect. The Company has made adequate charges, accruals and reserves in the applicable financial statements referred to in Section 1(j) above in respect of all federal, state and foreign income and franchise taxes for all periods as to which the tax liability of the Company or any of its subsidiaries has not been finally determined, in each case, except as would not reasonably be expected, individually or in the aggregate, to have a Material Adverse Effect.</w:t>
      </w:r>
    </w:p>
    <w:p>
      <w:pPr>
        <w:spacing w:after="0" w:line="172" w:lineRule="exact"/>
        <w:rPr>
          <w:rFonts w:ascii="Arial" w:cs="Arial" w:eastAsia="Arial" w:hAnsi="Arial"/>
          <w:sz w:val="17"/>
          <w:szCs w:val="17"/>
          <w:b w:val="1"/>
          <w:bCs w:val="1"/>
          <w:color w:val="auto"/>
        </w:rPr>
      </w:pPr>
    </w:p>
    <w:p>
      <w:pPr>
        <w:ind w:right="100" w:firstLine="464"/>
        <w:spacing w:after="0" w:line="277" w:lineRule="auto"/>
        <w:tabs>
          <w:tab w:leader="none" w:pos="751"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Company and its subsidiaries are insured by recognized, institutions with policies in such amounts and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deductibles and covering such risks as the Company reasonably deems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18" w:name="page219"/>
    <w:bookmarkEnd w:id="218"/>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such policies expire or (ii) to obtain comparable coverage from similar institutions as may be necessary or appropriate to conduct its business as now conducted and at a cost that would not reasonably be expected, individually or in the aggregate, to have a Material Adverse Effect. Neither the Company nor any of its subsidiaries has been denied any material insurance coverage which it has sought or for which it has applied.</w:t>
      </w:r>
    </w:p>
    <w:p>
      <w:pPr>
        <w:spacing w:after="0" w:line="162" w:lineRule="exact"/>
        <w:rPr>
          <w:sz w:val="20"/>
          <w:szCs w:val="20"/>
          <w:color w:val="auto"/>
        </w:rPr>
      </w:pPr>
    </w:p>
    <w:p>
      <w:pPr>
        <w:ind w:left="720" w:hanging="256"/>
        <w:spacing w:after="0"/>
        <w:tabs>
          <w:tab w:leader="none" w:pos="720" w:val="left"/>
        </w:tabs>
        <w:numPr>
          <w:ilvl w:val="1"/>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have a Material Adverse</w:t>
      </w:r>
    </w:p>
    <w:p>
      <w:pPr>
        <w:spacing w:after="0" w:line="50" w:lineRule="exact"/>
        <w:rPr>
          <w:rFonts w:ascii="Arial" w:cs="Arial" w:eastAsia="Arial" w:hAnsi="Arial"/>
          <w:sz w:val="16"/>
          <w:szCs w:val="16"/>
          <w:b w:val="1"/>
          <w:bCs w:val="1"/>
          <w:color w:val="auto"/>
        </w:rPr>
      </w:pPr>
    </w:p>
    <w:p>
      <w:pPr>
        <w:ind w:right="8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w:t>
      </w:r>
    </w:p>
    <w:p>
      <w:pPr>
        <w:spacing w:after="0" w:line="4" w:lineRule="exact"/>
        <w:rPr>
          <w:rFonts w:ascii="Arial" w:cs="Arial" w:eastAsia="Arial" w:hAnsi="Arial"/>
          <w:sz w:val="16"/>
          <w:szCs w:val="16"/>
          <w:b w:val="1"/>
          <w:bCs w:val="1"/>
          <w:color w:val="auto"/>
        </w:rPr>
      </w:pPr>
    </w:p>
    <w:p>
      <w:pPr>
        <w:ind w:right="100" w:firstLine="8"/>
        <w:spacing w:after="0" w:line="270" w:lineRule="auto"/>
        <w:tabs>
          <w:tab w:leader="none" w:pos="26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74" w:lineRule="exact"/>
        <w:rPr>
          <w:rFonts w:ascii="Arial" w:cs="Arial" w:eastAsia="Arial" w:hAnsi="Arial"/>
          <w:sz w:val="17"/>
          <w:szCs w:val="17"/>
          <w:color w:val="auto"/>
        </w:rPr>
      </w:pPr>
    </w:p>
    <w:p>
      <w:pPr>
        <w:ind w:firstLine="464"/>
        <w:spacing w:after="0" w:line="268" w:lineRule="auto"/>
        <w:tabs>
          <w:tab w:leader="none" w:pos="711" w:val="left"/>
        </w:tabs>
        <w:numPr>
          <w:ilvl w:val="1"/>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ERISA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would not reasonably be expected, individually or in the aggregate, to result in a Material Adverse Effect,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7"/>
          <w:szCs w:val="17"/>
          <w:b w:val="1"/>
          <w:bCs w:val="1"/>
          <w:color w:val="auto"/>
        </w:rPr>
        <w:t>ERISA</w:t>
      </w:r>
      <w:r>
        <w:rPr>
          <w:rFonts w:ascii="Arial" w:cs="Arial" w:eastAsia="Arial" w:hAnsi="Arial"/>
          <w:sz w:val="17"/>
          <w:szCs w:val="17"/>
          <w:color w:val="auto"/>
        </w:rPr>
        <w:t>”)) established or maintained by the Company or its subsidiaries are in compliance with ERISA. “</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of which the Company or such subsidiary is a member. Except as would not reasonably be expected, individually or in the aggregate, to have a Material Adverse Effect, (i) no “reportable event” (as defined under ERISA), for which notice has not been waived, has occurred or would reasonably be expected to occur with respect to any “employee benefit plan” established or maintained by the Company, its subsidiaries or any of their ERISA Affiliates , (ii) no “employee benefit plan” established or maintained by the Company, its subsidiaries or any of their ERISA Affiliates has failed or would reasonably be expected to fail to satisfy the minimum funding standard under Section 412 of the Code, whether or not waived, (iii) neither the Company, its subsidiaries nor any of their ERISA Affiliates has incurred or would reasonably be expected to incur any liability under (A) Title IV of ERISA with respect to termination of, or withdrawal from, any “employee benefit plan” or (B) Sections 412, 4971, 4975 or 4980B of the Code and (iv) each employee benefit plan established or maintained by the Company or any of its subsidiaries that is intended to be qualified under Section 401(a) of the Code has been determined by the IRS to be so qualified or is in the process of being submitted for approval or will be so submitted during the applicable remedial amendment period and, to the knowledge of the Company, nothing has occurred since the date of such determination, whether by action or failure to act, which would cause the loss of such qualification.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9" w:name="page220"/>
    <w:bookmarkEnd w:id="219"/>
    <w:p>
      <w:pPr>
        <w:ind w:left="-20" w:right="180" w:firstLine="464"/>
        <w:spacing w:after="0" w:line="312" w:lineRule="auto"/>
        <w:tabs>
          <w:tab w:leader="none" w:pos="681"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Not an “Investment Company.” </w:t>
      </w:r>
      <w:r>
        <w:rPr>
          <w:rFonts w:ascii="Arial" w:cs="Arial" w:eastAsia="Arial" w:hAnsi="Arial"/>
          <w:sz w:val="16"/>
          <w:szCs w:val="16"/>
          <w:color w:val="auto"/>
        </w:rPr>
        <w:t>The Company is not, and will not be, either after receipt of payment for the Offered Shares or after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3" w:lineRule="exact"/>
        <w:rPr>
          <w:sz w:val="20"/>
          <w:szCs w:val="20"/>
          <w:color w:val="auto"/>
        </w:rPr>
      </w:pPr>
    </w:p>
    <w:p>
      <w:pPr>
        <w:jc w:val="both"/>
        <w:ind w:left="-20" w:right="80" w:firstLine="464"/>
        <w:spacing w:after="0" w:line="303" w:lineRule="auto"/>
        <w:tabs>
          <w:tab w:leader="none" w:pos="78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has taken,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indirectly, any action designed to or that might reasonably be expected to cause or result in stabilization or manipulation of the price of the Shares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Shares, whether to facilitate the sale or resale of the Offered Shares or otherwise, and has taken no action which would directly or indirectly violate Regulation M.</w:t>
      </w:r>
    </w:p>
    <w:p>
      <w:pPr>
        <w:spacing w:after="0" w:line="151" w:lineRule="exact"/>
        <w:rPr>
          <w:rFonts w:ascii="Arial" w:cs="Arial" w:eastAsia="Arial" w:hAnsi="Arial"/>
          <w:sz w:val="16"/>
          <w:szCs w:val="16"/>
          <w:b w:val="1"/>
          <w:bCs w:val="1"/>
          <w:color w:val="auto"/>
        </w:rPr>
      </w:pPr>
    </w:p>
    <w:p>
      <w:pPr>
        <w:ind w:left="-20" w:right="140" w:firstLine="464"/>
        <w:spacing w:after="0" w:line="266" w:lineRule="auto"/>
        <w:tabs>
          <w:tab w:leader="none" w:pos="801"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other person required to be described in the Registration Statement, the Time of Sale Prospectus or the Prospectus that have not been described as required.</w:t>
      </w:r>
    </w:p>
    <w:p>
      <w:pPr>
        <w:spacing w:after="0" w:line="176" w:lineRule="exact"/>
        <w:rPr>
          <w:rFonts w:ascii="Arial" w:cs="Arial" w:eastAsia="Arial" w:hAnsi="Arial"/>
          <w:sz w:val="18"/>
          <w:szCs w:val="18"/>
          <w:b w:val="1"/>
          <w:bCs w:val="1"/>
          <w:color w:val="auto"/>
        </w:rPr>
      </w:pPr>
    </w:p>
    <w:p>
      <w:pPr>
        <w:ind w:left="-20" w:right="100" w:firstLine="464"/>
        <w:spacing w:after="0" w:line="281" w:lineRule="auto"/>
        <w:tabs>
          <w:tab w:leader="none" w:pos="76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FINRA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of the information provided to the Underwriters or to counsel for the Underwriters by the Company, and to the knowledge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its counsel, its 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or NASD Conduct Rules is true, complete and correct.</w:t>
      </w:r>
    </w:p>
    <w:p>
      <w:pPr>
        <w:spacing w:after="0" w:line="164" w:lineRule="exact"/>
        <w:rPr>
          <w:rFonts w:ascii="Arial" w:cs="Arial" w:eastAsia="Arial" w:hAnsi="Arial"/>
          <w:sz w:val="17"/>
          <w:szCs w:val="17"/>
          <w:b w:val="1"/>
          <w:bCs w:val="1"/>
          <w:color w:val="auto"/>
        </w:rPr>
      </w:pPr>
    </w:p>
    <w:p>
      <w:pPr>
        <w:ind w:left="-20" w:firstLine="464"/>
        <w:spacing w:after="0" w:line="281" w:lineRule="auto"/>
        <w:tabs>
          <w:tab w:leader="none" w:pos="80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“Lock-up Agreement”</w:t>
      </w:r>
      <w:r>
        <w:rPr>
          <w:rFonts w:ascii="Arial" w:cs="Arial" w:eastAsia="Arial" w:hAnsi="Arial"/>
          <w:sz w:val="17"/>
          <w:szCs w:val="17"/>
          <w:color w:val="auto"/>
        </w:rPr>
        <w:t>) from each of the persons and entities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hereto. If any additional persons shall become directors or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prior to the end of the Company Lock-up Period (as defined below), the Company shall cause each such person, prior to or contemporaneously with their appointment or election as a director or officer of the Company, to execute and deliver to Jefferies a Lock-up Agreement.</w:t>
      </w:r>
    </w:p>
    <w:p>
      <w:pPr>
        <w:spacing w:after="0" w:line="164" w:lineRule="exact"/>
        <w:rPr>
          <w:rFonts w:ascii="Arial" w:cs="Arial" w:eastAsia="Arial" w:hAnsi="Arial"/>
          <w:sz w:val="17"/>
          <w:szCs w:val="17"/>
          <w:b w:val="1"/>
          <w:bCs w:val="1"/>
          <w:color w:val="auto"/>
        </w:rPr>
      </w:pPr>
    </w:p>
    <w:p>
      <w:pPr>
        <w:ind w:left="-20" w:right="80" w:firstLine="464"/>
        <w:spacing w:after="0" w:line="314" w:lineRule="auto"/>
        <w:tabs>
          <w:tab w:leader="none" w:pos="76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demographic and market-related data included in the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or the Prospectus, or any free writing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42" w:lineRule="exact"/>
        <w:rPr>
          <w:rFonts w:ascii="Arial" w:cs="Arial" w:eastAsia="Arial" w:hAnsi="Arial"/>
          <w:sz w:val="16"/>
          <w:szCs w:val="16"/>
          <w:b w:val="1"/>
          <w:bCs w:val="1"/>
          <w:color w:val="auto"/>
        </w:rPr>
      </w:pPr>
    </w:p>
    <w:p>
      <w:pPr>
        <w:ind w:left="-20" w:right="40" w:firstLine="464"/>
        <w:spacing w:after="0" w:line="261" w:lineRule="auto"/>
        <w:tabs>
          <w:tab w:leader="none" w:pos="721"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knowledge of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 agent acting on behalf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80" w:lineRule="exact"/>
        <w:rPr>
          <w:rFonts w:ascii="Arial" w:cs="Arial" w:eastAsia="Arial" w:hAnsi="Arial"/>
          <w:sz w:val="18"/>
          <w:szCs w:val="18"/>
          <w:b w:val="1"/>
          <w:bCs w:val="1"/>
          <w:color w:val="auto"/>
        </w:rPr>
      </w:pPr>
    </w:p>
    <w:p>
      <w:pPr>
        <w:ind w:left="-20" w:right="180" w:firstLine="464"/>
        <w:spacing w:after="0" w:line="277" w:lineRule="auto"/>
        <w:tabs>
          <w:tab w:leader="none" w:pos="78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to the knowledge of the Company, any director,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employee, controlled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220" w:name="page221"/>
    <w:bookmarkEnd w:id="22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FCPA</w:t>
      </w:r>
      <w:r>
        <w:rPr>
          <w:rFonts w:ascii="Arial" w:cs="Arial" w:eastAsia="Arial" w:hAnsi="Arial"/>
          <w:sz w:val="18"/>
          <w:szCs w:val="18"/>
          <w:color w:val="auto"/>
        </w:rPr>
        <w:t>”) or employee from corporate funds; (iii) violated or is in violation of any provision of the FCPA or any other applicable non-U.S. anti-bribery or anti-corruption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all other applicable non-U.S. anti-bribery or anti-corruption statutes or regulations, and have instituted and maintain policies and procedures designed to ensure, and which are reasonably expected to continue to ensure, continued compliance therewith.</w:t>
      </w:r>
    </w:p>
    <w:p>
      <w:pPr>
        <w:spacing w:after="0" w:line="188" w:lineRule="exact"/>
        <w:rPr>
          <w:sz w:val="20"/>
          <w:szCs w:val="20"/>
          <w:color w:val="auto"/>
        </w:rPr>
      </w:pPr>
    </w:p>
    <w:p>
      <w:pPr>
        <w:ind w:right="40" w:firstLine="464"/>
        <w:spacing w:after="0" w:line="274" w:lineRule="auto"/>
        <w:tabs>
          <w:tab w:leader="none" w:pos="821"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rFonts w:ascii="Arial" w:cs="Arial" w:eastAsia="Arial" w:hAnsi="Arial"/>
          <w:sz w:val="17"/>
          <w:szCs w:val="17"/>
          <w:b w:val="1"/>
          <w:bCs w:val="1"/>
          <w:color w:val="auto"/>
        </w:rPr>
      </w:pPr>
    </w:p>
    <w:p>
      <w:pPr>
        <w:ind w:firstLine="464"/>
        <w:spacing w:after="0" w:line="273" w:lineRule="auto"/>
        <w:tabs>
          <w:tab w:leader="none" w:pos="721"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to the best knowledge of the Company, any director, officer, agent,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controlled affiliate or other person acting on behalf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76" w:lineRule="exact"/>
        <w:rPr>
          <w:rFonts w:ascii="Arial" w:cs="Arial" w:eastAsia="Arial" w:hAnsi="Arial"/>
          <w:sz w:val="17"/>
          <w:szCs w:val="17"/>
          <w:b w:val="1"/>
          <w:bCs w:val="1"/>
          <w:color w:val="auto"/>
        </w:rPr>
      </w:pPr>
    </w:p>
    <w:p>
      <w:pPr>
        <w:ind w:right="420" w:firstLine="464"/>
        <w:spacing w:after="0" w:line="342" w:lineRule="auto"/>
        <w:tabs>
          <w:tab w:leader="none" w:pos="74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Sarbanes-Oxley Act. </w:t>
      </w:r>
      <w:r>
        <w:rPr>
          <w:rFonts w:ascii="Arial" w:cs="Arial" w:eastAsia="Arial" w:hAnsi="Arial"/>
          <w:sz w:val="16"/>
          <w:szCs w:val="16"/>
          <w:color w:val="auto"/>
        </w:rPr>
        <w:t>There has been no failure on the part of the Company or any of the Company’s directors or officers to comply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of the Sarbanes-Oxley Act of 2002 and the rules and regulations promulgated in connection therewith, including Section 402 relating to loans.</w:t>
      </w:r>
    </w:p>
    <w:p>
      <w:pPr>
        <w:spacing w:after="0" w:line="119" w:lineRule="exact"/>
        <w:rPr>
          <w:rFonts w:ascii="Arial" w:cs="Arial" w:eastAsia="Arial" w:hAnsi="Arial"/>
          <w:sz w:val="16"/>
          <w:szCs w:val="16"/>
          <w:b w:val="1"/>
          <w:bCs w:val="1"/>
          <w:color w:val="auto"/>
        </w:rPr>
      </w:pPr>
    </w:p>
    <w:p>
      <w:pPr>
        <w:ind w:right="140" w:firstLine="464"/>
        <w:spacing w:after="0" w:line="266" w:lineRule="auto"/>
        <w:tabs>
          <w:tab w:leader="none" w:pos="821"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are no contracts, agreements or understandings between the Company and any person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give rise to a valid claim against the Company for a brokerage commission, finder’s fee or other like payment in connection with the offer and sale of the Shares contemplated by this Agreement.</w:t>
      </w:r>
    </w:p>
    <w:p>
      <w:pPr>
        <w:spacing w:after="0" w:line="180" w:lineRule="exact"/>
        <w:rPr>
          <w:rFonts w:ascii="Arial" w:cs="Arial" w:eastAsia="Arial" w:hAnsi="Arial"/>
          <w:sz w:val="18"/>
          <w:szCs w:val="18"/>
          <w:b w:val="1"/>
          <w:bCs w:val="1"/>
          <w:color w:val="auto"/>
        </w:rPr>
      </w:pPr>
    </w:p>
    <w:p>
      <w:pPr>
        <w:ind w:firstLine="464"/>
        <w:spacing w:after="0" w:line="259" w:lineRule="auto"/>
        <w:tabs>
          <w:tab w:leader="none" w:pos="721"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or Section 21E of the Exchange Act) contained in the Registration Statement, the Time of Sale Prospectus or the Prospectus was so included by the Company in good faith and with reasonable basis after due consideration by the Company of the underlying assumptions, estimates and other applicable facts and circumstances.</w:t>
      </w:r>
    </w:p>
    <w:p>
      <w:pPr>
        <w:spacing w:after="0" w:line="186" w:lineRule="exact"/>
        <w:rPr>
          <w:rFonts w:ascii="Arial" w:cs="Arial" w:eastAsia="Arial" w:hAnsi="Arial"/>
          <w:sz w:val="18"/>
          <w:szCs w:val="18"/>
          <w:b w:val="1"/>
          <w:bCs w:val="1"/>
          <w:color w:val="auto"/>
        </w:rPr>
      </w:pPr>
    </w:p>
    <w:p>
      <w:pPr>
        <w:ind w:right="100" w:firstLine="464"/>
        <w:spacing w:after="0" w:line="312" w:lineRule="auto"/>
        <w:tabs>
          <w:tab w:leader="none" w:pos="92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Emerging Growth Company Status</w:t>
      </w:r>
      <w:r>
        <w:rPr>
          <w:rFonts w:ascii="Arial" w:cs="Arial" w:eastAsia="Arial" w:hAnsi="Arial"/>
          <w:sz w:val="16"/>
          <w:szCs w:val="16"/>
          <w:color w:val="auto"/>
        </w:rPr>
        <w:t>. From the time of initial confidential submission of the Registration Statement to the Commission (or,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21" w:name="page222"/>
    <w:bookmarkEnd w:id="221"/>
    <w:p>
      <w:pPr>
        <w:ind w:left="-20" w:right="20" w:firstLine="464"/>
        <w:spacing w:after="0" w:line="270" w:lineRule="auto"/>
        <w:tabs>
          <w:tab w:leader="none" w:pos="801"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w:t>
      </w:r>
      <w:r>
        <w:rPr>
          <w:rFonts w:ascii="Arial" w:cs="Arial" w:eastAsia="Arial" w:hAnsi="Arial"/>
          <w:sz w:val="17"/>
          <w:szCs w:val="17"/>
          <w:color w:val="auto"/>
        </w:rPr>
        <w:t>. The Company (i) has not alone engaged in communications with potential investors in reliance on Section 5(d) of the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Act), any confidentially submitted registration statement and registration statement amendments relating to the offer and sale of the Offered Shares.</w:t>
      </w:r>
    </w:p>
    <w:p>
      <w:pPr>
        <w:spacing w:after="0" w:line="173" w:lineRule="exact"/>
        <w:rPr>
          <w:rFonts w:ascii="Arial" w:cs="Arial" w:eastAsia="Arial" w:hAnsi="Arial"/>
          <w:sz w:val="17"/>
          <w:szCs w:val="17"/>
          <w:b w:val="1"/>
          <w:bCs w:val="1"/>
          <w:color w:val="auto"/>
        </w:rPr>
      </w:pPr>
    </w:p>
    <w:p>
      <w:pPr>
        <w:ind w:left="-20" w:right="20" w:firstLine="464"/>
        <w:spacing w:after="0" w:line="289" w:lineRule="auto"/>
        <w:tabs>
          <w:tab w:leader="none" w:pos="78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and clinical trials, tests, and other studies (collectively, “</w:t>
      </w:r>
      <w:r>
        <w:rPr>
          <w:rFonts w:ascii="Arial" w:cs="Arial" w:eastAsia="Arial" w:hAnsi="Arial"/>
          <w:sz w:val="16"/>
          <w:szCs w:val="16"/>
          <w:b w:val="1"/>
          <w:bCs w:val="1"/>
          <w:color w:val="auto"/>
        </w:rPr>
        <w:t>Studies</w:t>
      </w:r>
      <w:r>
        <w:rPr>
          <w:rFonts w:ascii="Arial" w:cs="Arial" w:eastAsia="Arial" w:hAnsi="Arial"/>
          <w:sz w:val="16"/>
          <w:szCs w:val="16"/>
          <w:color w:val="auto"/>
        </w:rPr>
        <w:t>”) conducted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and its subsidiaries are being and have been conducted in all material respects in accordance with the protocols designed for such Studies and in accordance with applicable laws; except as would not reasonably be expected, individually or in the aggregate, to have a Material Adverse Effect, the Company and its subsidiaries have made all such filings and obtained all such approvals as may be required by the FDA, HHS, the EMA or from any other federal, state or foreign government agency or body engaged in the regulation of drugs, biologics, medical devices or diagnostics, or of any Studies, or a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written notice of, or written correspondence or other official communication from, any Regulatory Agency requiring the termination, suspension or modification of any Studies, except as would not reasonably be expected, individually or in the aggregate, to have a Material Adverse Effect; the Company has not received written notice of any claim, litigation, arbitration, enforcement, hearing, investigation, proceeding, or similar action by a Regulatory Agency, and the Company and its subsidiaries have no knowledge that any Regulatory Agency is considering such action.</w:t>
      </w:r>
    </w:p>
    <w:p>
      <w:pPr>
        <w:spacing w:after="0" w:line="165" w:lineRule="exact"/>
        <w:rPr>
          <w:rFonts w:ascii="Arial" w:cs="Arial" w:eastAsia="Arial" w:hAnsi="Arial"/>
          <w:sz w:val="16"/>
          <w:szCs w:val="16"/>
          <w:b w:val="1"/>
          <w:bCs w:val="1"/>
          <w:color w:val="auto"/>
        </w:rPr>
      </w:pPr>
    </w:p>
    <w:p>
      <w:pPr>
        <w:ind w:left="-20" w:firstLine="464"/>
        <w:spacing w:after="0" w:line="286" w:lineRule="auto"/>
        <w:tabs>
          <w:tab w:leader="none" w:pos="80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Health Care Laws. </w:t>
      </w:r>
      <w:r>
        <w:rPr>
          <w:rFonts w:ascii="Arial" w:cs="Arial" w:eastAsia="Arial" w:hAnsi="Arial"/>
          <w:sz w:val="16"/>
          <w:szCs w:val="16"/>
          <w:color w:val="auto"/>
        </w:rPr>
        <w:t>Except as would not reasonably be expected, individually or in the aggregate, to have a Material Adverse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the Company, its subsidiaries, and, to the knowledge of the Company, the Company’s and its subsidiaries’ directors, officers, employees or other third parties acting on behalf of or at the direction of the Company are not in violation of any applicable Health Care Laws.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xml:space="preserve">” means (i) the United States Federal Food, Drug, and Cosmetic Act (21 U.S.C. Section 301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regulations promulgated thereunder; (ii) the U.S. Health Insurance Portability and Accountability Act of 1996 (42 U.S.C. Section 1320d </w:t>
      </w:r>
      <w:r>
        <w:rPr>
          <w:rFonts w:ascii="Arial" w:cs="Arial" w:eastAsia="Arial" w:hAnsi="Arial"/>
          <w:sz w:val="16"/>
          <w:szCs w:val="16"/>
          <w:i w:val="1"/>
          <w:iCs w:val="1"/>
          <w:color w:val="auto"/>
        </w:rPr>
        <w:t>et seq.</w:t>
      </w:r>
      <w:r>
        <w:rPr>
          <w:rFonts w:ascii="Arial" w:cs="Arial" w:eastAsia="Arial" w:hAnsi="Arial"/>
          <w:sz w:val="16"/>
          <w:szCs w:val="16"/>
          <w:color w:val="auto"/>
        </w:rPr>
        <w:t>) (“</w:t>
      </w:r>
      <w:r>
        <w:rPr>
          <w:rFonts w:ascii="Arial" w:cs="Arial" w:eastAsia="Arial" w:hAnsi="Arial"/>
          <w:sz w:val="16"/>
          <w:szCs w:val="16"/>
          <w:b w:val="1"/>
          <w:bCs w:val="1"/>
          <w:color w:val="auto"/>
        </w:rPr>
        <w:t>HIPAA</w:t>
      </w:r>
      <w:r>
        <w:rPr>
          <w:rFonts w:ascii="Arial" w:cs="Arial" w:eastAsia="Arial" w:hAnsi="Arial"/>
          <w:sz w:val="16"/>
          <w:szCs w:val="16"/>
          <w:color w:val="auto"/>
        </w:rPr>
        <w:t xml:space="preserve">”), as amended by the Health Information Technology for Economic and Clinical Health Act (42 U.S.C. Section 17921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regulations promulgated thereunder, and any comparable state privacy and security laws; (iii) federal, state, local and foreign health care related fraud and abuse laws, including, without limitation, the U.S. Anti-Kickback Statute (42 U.S.C. Section 1320a-7b(b)), the U.S. Civil False Claims Act (31 U.S.C. Section 3729 </w:t>
      </w:r>
      <w:r>
        <w:rPr>
          <w:rFonts w:ascii="Arial" w:cs="Arial" w:eastAsia="Arial" w:hAnsi="Arial"/>
          <w:sz w:val="16"/>
          <w:szCs w:val="16"/>
          <w:i w:val="1"/>
          <w:iCs w:val="1"/>
          <w:color w:val="auto"/>
        </w:rPr>
        <w:t>et seq.</w:t>
      </w:r>
      <w:r>
        <w:rPr>
          <w:rFonts w:ascii="Arial" w:cs="Arial" w:eastAsia="Arial" w:hAnsi="Arial"/>
          <w:sz w:val="16"/>
          <w:szCs w:val="16"/>
          <w:color w:val="auto"/>
        </w:rPr>
        <w:t>), the exclusion laws (42 U.S.C. Section 1320a-7 and 42 U.S.C. Section 1395nn, and the regulations promulgated pursuant to such statutes); (iv) the U.S. Controlled Substances Act; (v) Titles XVIII and XIX of the U.S. Social Security Act and the regulations promulgated thereunder; (vi) the Clinical Laboratory Improvement Amendments and the regulations promulgated thereunder; and (vii) any and all other applicable health care laws and regulations, in any jurisdiction where the Company or any of its subsidiaries conducts business. Additionally, neither the Company, nor, to the knowledge of the Company, any of its employees, officers, directors or other third parties acting on behalf of or at the direction of the Company in matters relating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222" w:name="page223"/>
    <w:bookmarkEnd w:id="222"/>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Health Care Laws has been excluded, suspended or debarred from participation in any federal health care program or is subject to or has been threatened in writing or via another official communication with an inquiry, investigation, proceeding, or other similar matter that would subject the Company, or any of its employees, officers, directors or other third parties acting on behalf of or at the direction of the Company, to exclusion, suspension or debarment.</w:t>
      </w:r>
    </w:p>
    <w:p>
      <w:pPr>
        <w:spacing w:after="0" w:line="147" w:lineRule="exact"/>
        <w:rPr>
          <w:sz w:val="20"/>
          <w:szCs w:val="20"/>
          <w:color w:val="auto"/>
        </w:rPr>
      </w:pPr>
    </w:p>
    <w:p>
      <w:pPr>
        <w:ind w:firstLine="464"/>
        <w:spacing w:after="0" w:line="257" w:lineRule="auto"/>
        <w:tabs>
          <w:tab w:leader="none" w:pos="82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Contract Terminations</w:t>
      </w:r>
      <w:r>
        <w:rPr>
          <w:rFonts w:ascii="Arial" w:cs="Arial" w:eastAsia="Arial" w:hAnsi="Arial"/>
          <w:sz w:val="18"/>
          <w:szCs w:val="18"/>
          <w:color w:val="auto"/>
        </w:rPr>
        <w:t>. Neither the Company nor any of its subsidiaries has sent or received any communication regarding termination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 not to renew, any material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knowledge of the Company, any other party to any such contract or agreement, which threat of termination or non-renewal has not been rescinded as of the date hereof.</w:t>
      </w:r>
    </w:p>
    <w:p>
      <w:pPr>
        <w:spacing w:after="0" w:line="188" w:lineRule="exact"/>
        <w:rPr>
          <w:rFonts w:ascii="Arial" w:cs="Arial" w:eastAsia="Arial" w:hAnsi="Arial"/>
          <w:sz w:val="18"/>
          <w:szCs w:val="18"/>
          <w:b w:val="1"/>
          <w:bCs w:val="1"/>
          <w:color w:val="auto"/>
        </w:rPr>
      </w:pPr>
    </w:p>
    <w:p>
      <w:pPr>
        <w:ind w:firstLine="464"/>
        <w:spacing w:after="0" w:line="302" w:lineRule="auto"/>
        <w:tabs>
          <w:tab w:leader="none" w:pos="781"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Dividend Restrictions</w:t>
      </w:r>
      <w:r>
        <w:rPr>
          <w:rFonts w:ascii="Arial" w:cs="Arial" w:eastAsia="Arial" w:hAnsi="Arial"/>
          <w:sz w:val="16"/>
          <w:szCs w:val="16"/>
          <w:color w:val="auto"/>
        </w:rPr>
        <w:t>. Except as otherwise disclosed in the Registration Statement, the Time of Sale Prospectus and the Prospectus, no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(and not by such officer in his or her personal capacity) to each Underwriter as to the matters covered thereby.</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 Purchase, Sale and Delivery of the Offered Shares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1" w:lineRule="auto"/>
        <w:tabs>
          <w:tab w:leader="none" w:pos="711"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 [●] Firm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The purchase price per Firm Share to be paid by the several Underwriters to the Company shall be $[●] per share.</w:t>
      </w:r>
    </w:p>
    <w:p>
      <w:pPr>
        <w:spacing w:after="0" w:line="164" w:lineRule="exact"/>
        <w:rPr>
          <w:rFonts w:ascii="Arial" w:cs="Arial" w:eastAsia="Arial" w:hAnsi="Arial"/>
          <w:sz w:val="17"/>
          <w:szCs w:val="17"/>
          <w:b w:val="1"/>
          <w:bCs w:val="1"/>
          <w:color w:val="auto"/>
        </w:rPr>
      </w:pPr>
    </w:p>
    <w:p>
      <w:pPr>
        <w:ind w:firstLine="464"/>
        <w:spacing w:after="0" w:line="255" w:lineRule="auto"/>
        <w:tabs>
          <w:tab w:leader="none" w:pos="72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certificates for the Firm Shares to be purchased by the Underwriters and payment therefor shall be made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offices of Gibson, Dunn &amp; Crutcher LLP (or such other place as may be agreed to by the Company and the Representatives) at 9:00 a.m. New York City time, on [●], 2016, or such other time and date not later than 1:30 p.m. New York City time, on [●], 2016, as the Representatives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23" w:name="page224"/>
    <w:bookmarkEnd w:id="223"/>
    <w:p>
      <w:pPr>
        <w:ind w:left="-20" w:firstLine="464"/>
        <w:spacing w:after="0" w:line="286" w:lineRule="auto"/>
        <w:tabs>
          <w:tab w:leader="none" w:pos="681"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“First Closing Date”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171" w:lineRule="exact"/>
        <w:rPr>
          <w:rFonts w:ascii="Arial" w:cs="Arial" w:eastAsia="Arial" w:hAnsi="Arial"/>
          <w:sz w:val="16"/>
          <w:szCs w:val="16"/>
          <w:b w:val="1"/>
          <w:bCs w:val="1"/>
          <w:color w:val="auto"/>
        </w:rPr>
      </w:pPr>
    </w:p>
    <w:p>
      <w:pPr>
        <w:jc w:val="both"/>
        <w:ind w:left="-20" w:right="20" w:firstLine="464"/>
        <w:spacing w:after="0" w:line="261" w:lineRule="auto"/>
        <w:tabs>
          <w:tab w:leader="none" w:pos="701"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80" w:lineRule="exact"/>
        <w:rPr>
          <w:rFonts w:ascii="Arial" w:cs="Arial" w:eastAsia="Arial" w:hAnsi="Arial"/>
          <w:sz w:val="18"/>
          <w:szCs w:val="18"/>
          <w:b w:val="1"/>
          <w:bCs w:val="1"/>
          <w:color w:val="auto"/>
        </w:rPr>
      </w:pPr>
    </w:p>
    <w:p>
      <w:pPr>
        <w:ind w:left="-20" w:right="440" w:firstLine="464"/>
        <w:spacing w:after="0" w:line="282" w:lineRule="auto"/>
        <w:tabs>
          <w:tab w:leader="none" w:pos="681"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165" w:lineRule="exact"/>
        <w:rPr>
          <w:rFonts w:ascii="Arial" w:cs="Arial" w:eastAsia="Arial" w:hAnsi="Arial"/>
          <w:sz w:val="18"/>
          <w:szCs w:val="18"/>
          <w:b w:val="1"/>
          <w:bCs w:val="1"/>
          <w:color w:val="auto"/>
        </w:rPr>
      </w:pPr>
    </w:p>
    <w:p>
      <w:pPr>
        <w:ind w:left="-20" w:right="40" w:firstLine="921"/>
        <w:spacing w:after="0" w:line="255" w:lineRule="auto"/>
        <w:tabs>
          <w:tab w:leader="none" w:pos="115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Credit Suisse,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9" w:lineRule="exact"/>
        <w:rPr>
          <w:rFonts w:ascii="Arial" w:cs="Arial" w:eastAsia="Arial" w:hAnsi="Arial"/>
          <w:sz w:val="18"/>
          <w:szCs w:val="18"/>
          <w:color w:val="auto"/>
        </w:rPr>
      </w:pPr>
    </w:p>
    <w:p>
      <w:pPr>
        <w:ind w:left="-20" w:right="100" w:firstLine="464"/>
        <w:spacing w:after="0" w:line="292" w:lineRule="auto"/>
        <w:tabs>
          <w:tab w:leader="none" w:pos="661"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through the book-entry facilities of the Depository Trust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accounts of the several Underwriters, the Firm Shares to be sold by them at the First Closing Date, against release of a wire transfer of immediately available funds for the amount of the purchase price therefor. The Company shall also deliver, or cause to be delivered, through the book-entry facilities of the DTC for the accounts of the several Underwriters, the Optional Shares the Underwriters have agreed to purchase from them at the First Closing Date or the applicable Option Closing Date, as the case may be, against the release of a wire transfer of immediately available funds for the amount of the purchase price therefor. The Offered Shares shall be delivered to such accounts and in such denominations as the Representatives shall have requested at least two full business days prior to the First Closing Date (or the applicable Option Closing Date, as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0" w:right="239" w:bottom="1440" w:gutter="0" w:footer="0" w:header="0"/>
        </w:sectPr>
      </w:pPr>
    </w:p>
    <w:bookmarkStart w:id="224" w:name="page225"/>
    <w:bookmarkEnd w:id="224"/>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 Additional Covenants of the Company</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ind w:firstLine="464"/>
        <w:spacing w:after="0" w:line="276" w:lineRule="auto"/>
        <w:tabs>
          <w:tab w:leader="none" w:pos="711"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2" w:lineRule="exact"/>
        <w:rPr>
          <w:rFonts w:ascii="Arial" w:cs="Arial" w:eastAsia="Arial" w:hAnsi="Arial"/>
          <w:sz w:val="17"/>
          <w:szCs w:val="17"/>
          <w:b w:val="1"/>
          <w:bCs w:val="1"/>
          <w:color w:val="auto"/>
        </w:rPr>
      </w:pPr>
    </w:p>
    <w:p>
      <w:pPr>
        <w:ind w:right="120" w:firstLine="464"/>
        <w:spacing w:after="0" w:line="270" w:lineRule="auto"/>
        <w:tabs>
          <w:tab w:leader="none" w:pos="721"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Shares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177" w:lineRule="exact"/>
        <w:rPr>
          <w:rFonts w:ascii="Arial" w:cs="Arial" w:eastAsia="Arial" w:hAnsi="Arial"/>
          <w:sz w:val="17"/>
          <w:szCs w:val="17"/>
          <w:b w:val="1"/>
          <w:bCs w:val="1"/>
          <w:color w:val="auto"/>
        </w:rPr>
      </w:pPr>
    </w:p>
    <w:p>
      <w:pPr>
        <w:ind w:right="20" w:firstLine="464"/>
        <w:spacing w:after="0" w:line="286" w:lineRule="auto"/>
        <w:tabs>
          <w:tab w:leader="none" w:pos="701"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5" w:name="page226"/>
    <w:bookmarkEnd w:id="225"/>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prevailing at such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71" w:lineRule="exact"/>
        <w:rPr>
          <w:sz w:val="20"/>
          <w:szCs w:val="20"/>
          <w:color w:val="auto"/>
        </w:rPr>
      </w:pPr>
    </w:p>
    <w:p>
      <w:pPr>
        <w:ind w:right="380" w:firstLine="464"/>
        <w:spacing w:after="0" w:line="264" w:lineRule="auto"/>
        <w:tabs>
          <w:tab w:leader="none" w:pos="721" w:val="left"/>
        </w:tabs>
        <w:numPr>
          <w:ilvl w:val="1"/>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Filing of Underwriter Free Writing Prospectuses</w:t>
      </w:r>
      <w:r>
        <w:rPr>
          <w:rFonts w:ascii="Arial" w:cs="Arial" w:eastAsia="Arial" w:hAnsi="Arial"/>
          <w:sz w:val="18"/>
          <w:szCs w:val="18"/>
          <w:color w:val="auto"/>
        </w:rPr>
        <w:t>. 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81" w:lineRule="exact"/>
        <w:rPr>
          <w:rFonts w:ascii="Arial" w:cs="Arial" w:eastAsia="Arial" w:hAnsi="Arial"/>
          <w:sz w:val="18"/>
          <w:szCs w:val="18"/>
          <w:b w:val="1"/>
          <w:bCs w:val="1"/>
          <w:color w:val="auto"/>
        </w:rPr>
      </w:pPr>
    </w:p>
    <w:p>
      <w:pPr>
        <w:ind w:right="20" w:firstLine="464"/>
        <w:spacing w:after="0" w:line="269" w:lineRule="auto"/>
        <w:tabs>
          <w:tab w:leader="none" w:pos="701"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75" w:lineRule="exact"/>
        <w:rPr>
          <w:rFonts w:ascii="Arial" w:cs="Arial" w:eastAsia="Arial" w:hAnsi="Arial"/>
          <w:sz w:val="17"/>
          <w:szCs w:val="17"/>
          <w:b w:val="1"/>
          <w:bCs w:val="1"/>
          <w:color w:val="auto"/>
        </w:rPr>
      </w:pPr>
    </w:p>
    <w:p>
      <w:pPr>
        <w:ind w:left="680" w:hanging="216"/>
        <w:spacing w:after="0"/>
        <w:tabs>
          <w:tab w:leader="none" w:pos="680" w:val="left"/>
        </w:tabs>
        <w:numPr>
          <w:ilvl w:val="1"/>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 writing of:</w:t>
      </w:r>
    </w:p>
    <w:p>
      <w:pPr>
        <w:spacing w:after="0" w:line="50" w:lineRule="exact"/>
        <w:rPr>
          <w:rFonts w:ascii="Arial" w:cs="Arial" w:eastAsia="Arial" w:hAnsi="Arial"/>
          <w:sz w:val="16"/>
          <w:szCs w:val="16"/>
          <w:b w:val="1"/>
          <w:bCs w:val="1"/>
          <w:color w:val="auto"/>
        </w:rPr>
      </w:pPr>
    </w:p>
    <w:p>
      <w:pPr>
        <w:ind w:right="60" w:firstLine="8"/>
        <w:spacing w:after="0" w:line="286" w:lineRule="auto"/>
        <w:tabs>
          <w:tab w:leader="none" w:pos="2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6" w:name="page227"/>
    <w:bookmarkEnd w:id="226"/>
    <w:p>
      <w:pPr>
        <w:ind w:left="-20" w:firstLine="464"/>
        <w:spacing w:after="0" w:line="286" w:lineRule="auto"/>
        <w:tabs>
          <w:tab w:leader="none" w:pos="691"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Amendments and Supplements to the Prospectus and Other Securities Act Matters. </w:t>
      </w:r>
      <w:r>
        <w:rPr>
          <w:rFonts w:ascii="Arial" w:cs="Arial" w:eastAsia="Arial" w:hAnsi="Arial"/>
          <w:sz w:val="16"/>
          <w:szCs w:val="16"/>
          <w:color w:val="auto"/>
        </w:rPr>
        <w:t>During the Prospectus Delivery Period (as defined below),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67" w:lineRule="exact"/>
        <w:rPr>
          <w:rFonts w:ascii="Arial" w:cs="Arial" w:eastAsia="Arial" w:hAnsi="Arial"/>
          <w:sz w:val="16"/>
          <w:szCs w:val="16"/>
          <w:b w:val="1"/>
          <w:bCs w:val="1"/>
          <w:color w:val="auto"/>
        </w:rPr>
      </w:pPr>
    </w:p>
    <w:p>
      <w:pPr>
        <w:ind w:left="-20" w:firstLine="464"/>
        <w:spacing w:after="0" w:line="290" w:lineRule="auto"/>
        <w:tabs>
          <w:tab w:leader="none" w:pos="701"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Blue Sky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cooperate with the Representatives and counsel for the Underwriters to qualify or register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for sale under (or obtain exemptions from the application of) the state securities or blue sky laws or Canadian provincial securities laws (or other foreign laws as the Representatives shall reasonably request)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159" w:lineRule="exact"/>
        <w:rPr>
          <w:rFonts w:ascii="Arial" w:cs="Arial" w:eastAsia="Arial" w:hAnsi="Arial"/>
          <w:sz w:val="16"/>
          <w:szCs w:val="16"/>
          <w:b w:val="1"/>
          <w:bCs w:val="1"/>
          <w:color w:val="auto"/>
        </w:rPr>
      </w:pPr>
    </w:p>
    <w:p>
      <w:pPr>
        <w:ind w:left="-20" w:right="20" w:firstLine="464"/>
        <w:spacing w:after="0" w:line="282" w:lineRule="auto"/>
        <w:tabs>
          <w:tab w:leader="none" w:pos="651"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 the caption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Proceeds” in the Registration Statement, the Time of Sale Prospectus and the Prospectus.</w:t>
      </w:r>
    </w:p>
    <w:p>
      <w:pPr>
        <w:spacing w:after="0" w:line="161" w:lineRule="exact"/>
        <w:rPr>
          <w:rFonts w:ascii="Arial" w:cs="Arial" w:eastAsia="Arial" w:hAnsi="Arial"/>
          <w:sz w:val="18"/>
          <w:szCs w:val="18"/>
          <w:b w:val="1"/>
          <w:bCs w:val="1"/>
          <w:color w:val="auto"/>
        </w:rPr>
      </w:pPr>
    </w:p>
    <w:p>
      <w:pPr>
        <w:ind w:left="660" w:hanging="216"/>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left="-20" w:right="560" w:firstLine="464"/>
        <w:spacing w:after="0" w:line="261" w:lineRule="auto"/>
        <w:tabs>
          <w:tab w:leader="none" w:pos="701"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27" w:name="page228"/>
    <w:bookmarkEnd w:id="227"/>
    <w:p>
      <w:pPr>
        <w:ind w:left="-8" w:right="40" w:firstLine="464"/>
        <w:spacing w:after="0" w:line="274" w:lineRule="auto"/>
        <w:tabs>
          <w:tab w:leader="none" w:pos="663"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Compliance with Securities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comply with the Securities Act and the Exchange Act so as to permit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distribution of the Offered Shares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w:t>
      </w:r>
    </w:p>
    <w:p>
      <w:pPr>
        <w:spacing w:after="0" w:line="173" w:lineRule="exact"/>
        <w:rPr>
          <w:rFonts w:ascii="Arial" w:cs="Arial" w:eastAsia="Arial" w:hAnsi="Arial"/>
          <w:sz w:val="17"/>
          <w:szCs w:val="17"/>
          <w:b w:val="1"/>
          <w:bCs w:val="1"/>
          <w:color w:val="auto"/>
        </w:rPr>
      </w:pPr>
    </w:p>
    <w:p>
      <w:pPr>
        <w:ind w:left="772" w:hanging="316"/>
        <w:spacing w:after="0"/>
        <w:tabs>
          <w:tab w:leader="none" w:pos="772"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the NASDAQ.</w:t>
      </w:r>
    </w:p>
    <w:p>
      <w:pPr>
        <w:spacing w:after="0" w:line="225" w:lineRule="exact"/>
        <w:rPr>
          <w:rFonts w:ascii="Arial" w:cs="Arial" w:eastAsia="Arial" w:hAnsi="Arial"/>
          <w:sz w:val="18"/>
          <w:szCs w:val="18"/>
          <w:b w:val="1"/>
          <w:bCs w:val="1"/>
          <w:color w:val="auto"/>
        </w:rPr>
      </w:pPr>
    </w:p>
    <w:p>
      <w:pPr>
        <w:ind w:left="-8" w:right="200" w:firstLine="464"/>
        <w:spacing w:after="0" w:line="287" w:lineRule="auto"/>
        <w:tabs>
          <w:tab w:leader="none" w:pos="713"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Time of Sale Prospectus, and any amendment or supplement thereto, that meets each of the following conditions:</w:t>
      </w:r>
    </w:p>
    <w:p>
      <w:pPr>
        <w:spacing w:after="0" w:line="2" w:lineRule="exact"/>
        <w:rPr>
          <w:rFonts w:ascii="Arial" w:cs="Arial" w:eastAsia="Arial" w:hAnsi="Arial"/>
          <w:sz w:val="16"/>
          <w:szCs w:val="16"/>
          <w:b w:val="1"/>
          <w:bCs w:val="1"/>
          <w:color w:val="auto"/>
        </w:rPr>
      </w:pPr>
    </w:p>
    <w:p>
      <w:pPr>
        <w:ind w:left="-8" w:firstLine="8"/>
        <w:spacing w:after="0" w:line="287" w:lineRule="auto"/>
        <w:tabs>
          <w:tab w:leader="none" w:pos="20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it shall be encoded in an electronic format, reasonably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reasonably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62" w:lineRule="exact"/>
        <w:rPr>
          <w:rFonts w:ascii="Arial" w:cs="Arial" w:eastAsia="Arial" w:hAnsi="Arial"/>
          <w:sz w:val="16"/>
          <w:szCs w:val="16"/>
          <w:color w:val="auto"/>
        </w:rPr>
      </w:pPr>
    </w:p>
    <w:p>
      <w:pPr>
        <w:ind w:left="-8" w:right="60" w:firstLine="464"/>
        <w:spacing w:after="0" w:line="287" w:lineRule="auto"/>
        <w:tabs>
          <w:tab w:leader="none" w:pos="703" w:val="left"/>
        </w:tabs>
        <w:numPr>
          <w:ilvl w:val="1"/>
          <w:numId w:val="1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180th day following the date of the Prospectus (such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Company will not, without the prior written consent of Jefferies (which consent may be withheld in its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Shares); or (viii) publicly announce the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 effect the transactions contemplated hereby, (B) issue Shares or options to purchase Shares, or issue Shares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pursuant to any stock option, stock bonus or other stock</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0" w:right="239" w:bottom="1440" w:gutter="0" w:footer="0" w:header="0"/>
        </w:sectPr>
      </w:pPr>
    </w:p>
    <w:bookmarkStart w:id="228" w:name="page229"/>
    <w:bookmarkEnd w:id="22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or arrangement described in the Registration Statement, the Time of Sale Prospectus and the Prospectus, but only if the holders of such Shares or options agree in writing with the Underwriters not to sell, offer, dispose of or otherwise transfer any such Shares or options during such Lock-up Period without the prior written consent of Jefferies (which consent may be withheld in its sole discretion), (C) file a registration statement on Form S-8 with respect to any securities issued or issuable pursuant to any stock option, stock bonus or other stock plan or arrangement described in the Registration Statement, (D) assist any stockholder of the Company in the establishment of a trading plan by such stockholder pursuant to Rule 10b5-1 under the Exchange Act for the transfer of shares of Common Stock; provided that such plan does not provide for the transfer of shares of Common Stock during the Lock-up Period, and the establishment of such plan does not require or otherwise result in any public filing or other public announcement of such plan during such Lock-up Period and such plan is otherwise permitted to be implemented during the Lock-up Period pursuant to the terms of the lock-up agreement between such stockholder and the Underwriters in connection with the offering of the Offered Shares, (E) issue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(F) issue shares of Common Stock, of restricted stock awards or of options to purchase shares of Common Stock, in each case, in connection with joint ventures, commercial relationships or other strategic transactions; provided that, in the case of immediately preceding clauses (E) and (F),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offering of the Offered Shares pursuant to this Agreement and the recipients of the shares of Common Stock or Related Securities agrees in writing to be bound by the same terms described in the agreement attached hereto as Exhibit A.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73" w:lineRule="exact"/>
        <w:rPr>
          <w:sz w:val="20"/>
          <w:szCs w:val="20"/>
          <w:color w:val="auto"/>
        </w:rPr>
      </w:pPr>
    </w:p>
    <w:p>
      <w:pPr>
        <w:ind w:right="20" w:firstLine="464"/>
        <w:spacing w:after="0" w:line="297" w:lineRule="auto"/>
        <w:tabs>
          <w:tab w:leader="none" w:pos="721"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three years hereafter, the Company will furnish to the Representatives, c/o Jefferies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at 520 Madison Avenue, New York, New York 10022, Attention: Global Head of Syndicate, as soon as practicable after the filing or furnishing thereof, copies of each proxy statement, Annual Report on Form 10-K, Quarterly Report on Form 10-Q, Current Report on Form 8-K or other report filed or furnished by the Company with or to the Commission or any securities exchange;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requirements of this Section 3(p) shall be satisfied to the extent that such reports, statement, communications, financial statements or other documents are available on EDGAR.</w:t>
      </w:r>
    </w:p>
    <w:p>
      <w:pPr>
        <w:spacing w:after="0" w:line="154" w:lineRule="exact"/>
        <w:rPr>
          <w:rFonts w:ascii="Arial" w:cs="Arial" w:eastAsia="Arial" w:hAnsi="Arial"/>
          <w:sz w:val="16"/>
          <w:szCs w:val="16"/>
          <w:b w:val="1"/>
          <w:bCs w:val="1"/>
          <w:color w:val="auto"/>
        </w:rPr>
      </w:pPr>
    </w:p>
    <w:p>
      <w:pPr>
        <w:ind w:right="20" w:firstLine="464"/>
        <w:spacing w:after="0" w:line="347" w:lineRule="auto"/>
        <w:tabs>
          <w:tab w:leader="none" w:pos="721"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Offered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 manner as would require the Company or any of its subsidiaries to register as an investment company under the Investment Company Act.</w:t>
      </w:r>
    </w:p>
    <w:p>
      <w:pPr>
        <w:spacing w:after="0" w:line="116" w:lineRule="exact"/>
        <w:rPr>
          <w:rFonts w:ascii="Arial" w:cs="Arial" w:eastAsia="Arial" w:hAnsi="Arial"/>
          <w:sz w:val="16"/>
          <w:szCs w:val="16"/>
          <w:b w:val="1"/>
          <w:bCs w:val="1"/>
          <w:color w:val="auto"/>
        </w:rPr>
      </w:pPr>
    </w:p>
    <w:p>
      <w:pPr>
        <w:ind w:right="40" w:firstLine="464"/>
        <w:spacing w:after="0" w:line="303" w:lineRule="auto"/>
        <w:tabs>
          <w:tab w:leader="none" w:pos="701"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not take, and will ensure that no controlled affiliate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acting on behalf of the Company will take, directly or indirectly, any action designed to or that might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9" w:name="page230"/>
    <w:bookmarkEnd w:id="229"/>
    <w:p>
      <w:pPr>
        <w:ind w:right="60" w:firstLine="464"/>
        <w:spacing w:after="0" w:line="298" w:lineRule="auto"/>
        <w:tabs>
          <w:tab w:leader="none" w:pos="691"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Lock-up Period, the Company will enforce all agreements between the Company and any of its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 holders pursuant to Section 6(i) hereof.</w:t>
      </w:r>
    </w:p>
    <w:p>
      <w:pPr>
        <w:spacing w:after="0" w:line="154" w:lineRule="exact"/>
        <w:rPr>
          <w:rFonts w:ascii="Arial" w:cs="Arial" w:eastAsia="Arial" w:hAnsi="Arial"/>
          <w:sz w:val="16"/>
          <w:szCs w:val="16"/>
          <w:b w:val="1"/>
          <w:bCs w:val="1"/>
          <w:color w:val="auto"/>
        </w:rPr>
      </w:pPr>
    </w:p>
    <w:p>
      <w:pPr>
        <w:ind w:right="100" w:firstLine="464"/>
        <w:spacing w:after="0" w:line="261" w:lineRule="auto"/>
        <w:tabs>
          <w:tab w:leader="none" w:pos="68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furnish the Underwriters, as soon as they have been prepared by or are available to the Company, a copy of any unaudited interim financial statements of the Company for any quarterly period subsequent to the quarter covered by the most recent financial statements appearing in the Registration Statement and the Prospectus.</w:t>
      </w:r>
    </w:p>
    <w:p>
      <w:pPr>
        <w:spacing w:after="0" w:line="180" w:lineRule="exact"/>
        <w:rPr>
          <w:rFonts w:ascii="Arial" w:cs="Arial" w:eastAsia="Arial" w:hAnsi="Arial"/>
          <w:sz w:val="18"/>
          <w:szCs w:val="18"/>
          <w:b w:val="1"/>
          <w:bCs w:val="1"/>
          <w:color w:val="auto"/>
        </w:rPr>
      </w:pPr>
    </w:p>
    <w:p>
      <w:pPr>
        <w:ind w:right="40" w:firstLine="464"/>
        <w:spacing w:after="0" w:line="256" w:lineRule="auto"/>
        <w:tabs>
          <w:tab w:leader="none" w:pos="72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Amendments and Supplements to Permitted Section 5(d) Communications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at any time following the distribution of any Permitted Section 5(d)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during the Prospectus Delivery Period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87" w:lineRule="exact"/>
        <w:rPr>
          <w:rFonts w:ascii="Arial" w:cs="Arial" w:eastAsia="Arial" w:hAnsi="Arial"/>
          <w:sz w:val="18"/>
          <w:szCs w:val="18"/>
          <w:b w:val="1"/>
          <w:bCs w:val="1"/>
          <w:color w:val="auto"/>
        </w:rPr>
      </w:pPr>
    </w:p>
    <w:p>
      <w:pPr>
        <w:ind w:right="280" w:firstLine="464"/>
        <w:spacing w:after="0" w:line="261" w:lineRule="auto"/>
        <w:tabs>
          <w:tab w:leader="none" w:pos="71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0" w:lineRule="exact"/>
        <w:rPr>
          <w:rFonts w:ascii="Arial" w:cs="Arial" w:eastAsia="Arial" w:hAnsi="Arial"/>
          <w:sz w:val="18"/>
          <w:szCs w:val="18"/>
          <w:b w:val="1"/>
          <w:bCs w:val="1"/>
          <w:color w:val="auto"/>
        </w:rPr>
      </w:pPr>
    </w:p>
    <w:p>
      <w:pPr>
        <w:ind w:firstLine="464"/>
        <w:spacing w:after="0" w:line="291" w:lineRule="auto"/>
        <w:tabs>
          <w:tab w:leader="none" w:pos="751"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meaning of Rule 16a-1(f) under the Exchange Act) of the Company from any of the restrictions imposed by any Lock-Up Agreement, by issuing, through a major news service, a press release in form and substance satisfactory to the Representatives promptly following the Company’s receipt of any notification from the Representatives in which such intention is indicated, but in any case not later than the close of the third business day prior to the date on which such release or waiver is to become effective;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shall prevent the Representatives, on behalf of the Underwriters, from announcing the same through a major news service, irrespective of whether the Company has made the required announcement; and provided, further,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6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Section 4. Payment of Expenses</w:t>
      </w:r>
      <w:r>
        <w:rPr>
          <w:rFonts w:ascii="Arial" w:cs="Arial" w:eastAsia="Arial" w:hAnsi="Arial"/>
          <w:sz w:val="18"/>
          <w:szCs w:val="18"/>
          <w:color w:val="auto"/>
        </w:rPr>
        <w:t>. The Company agrees to pay all costs, fees and expenses incurred in connection with the performance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in connection with the transactions contemplated hereby, including without limitation (i) all expenses incident to the issuance and delivery of the Offered Shares (including all printing and engraving costs), (ii) all fees and expenses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0" w:right="279" w:bottom="1440" w:gutter="0" w:footer="0" w:header="0"/>
        </w:sectPr>
      </w:pPr>
    </w:p>
    <w:bookmarkStart w:id="230" w:name="page231"/>
    <w:bookmarkEnd w:id="230"/>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reasonable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(not to exceed $30,000 with respect to this clause (vii)), and disbursements by, counsel to the Underwriters,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with the other 50% being paid by the Underwriters, (ix) the fees and expenses associated with listing the Offered Shares on the NASDAQ,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w:t>
      </w:r>
    </w:p>
    <w:p>
      <w:pPr>
        <w:spacing w:after="0" w:line="164" w:lineRule="exact"/>
        <w:rPr>
          <w:sz w:val="20"/>
          <w:szCs w:val="20"/>
          <w:color w:val="auto"/>
        </w:rPr>
      </w:pPr>
    </w:p>
    <w:p>
      <w:pPr>
        <w:jc w:val="both"/>
        <w:ind w:right="120" w:firstLine="913"/>
        <w:spacing w:after="0" w:line="314" w:lineRule="auto"/>
        <w:rPr>
          <w:sz w:val="20"/>
          <w:szCs w:val="20"/>
          <w:color w:val="auto"/>
        </w:rPr>
      </w:pPr>
      <w:r>
        <w:rPr>
          <w:rFonts w:ascii="Arial" w:cs="Arial" w:eastAsia="Arial" w:hAnsi="Arial"/>
          <w:sz w:val="16"/>
          <w:szCs w:val="16"/>
          <w:b w:val="1"/>
          <w:bCs w:val="1"/>
          <w:color w:val="auto"/>
        </w:rPr>
        <w:t>Section 5. Covenant of the Underwriters</w:t>
      </w:r>
      <w:r>
        <w:rPr>
          <w:rFonts w:ascii="Arial" w:cs="Arial" w:eastAsia="Arial" w:hAnsi="Arial"/>
          <w:sz w:val="16"/>
          <w:szCs w:val="16"/>
          <w:color w:val="auto"/>
        </w:rPr>
        <w:t>. Each Underwriter severally and not jointly covenants with the Company not to take any action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7"/>
          <w:szCs w:val="17"/>
          <w:b w:val="1"/>
          <w:bCs w:val="1"/>
          <w:color w:val="auto"/>
        </w:rPr>
        <w:t>Section 6. Conditions of the Obligations of the Underwriters</w:t>
      </w:r>
      <w:r>
        <w:rPr>
          <w:rFonts w:ascii="Arial" w:cs="Arial" w:eastAsia="Arial" w:hAnsi="Arial"/>
          <w:sz w:val="17"/>
          <w:szCs w:val="17"/>
          <w:color w:val="auto"/>
        </w:rPr>
        <w:t>. The respective obligations of the several Underwriters hereunder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68" w:lineRule="exact"/>
        <w:rPr>
          <w:sz w:val="20"/>
          <w:szCs w:val="20"/>
          <w:color w:val="auto"/>
        </w:rPr>
      </w:pPr>
    </w:p>
    <w:p>
      <w:pPr>
        <w:ind w:firstLine="464"/>
        <w:spacing w:after="0" w:line="277" w:lineRule="auto"/>
        <w:tabs>
          <w:tab w:leader="none" w:pos="711"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date hereof, the Representatives shall have received from Deloitte &amp; Touche LLP, independent registered public accountants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1" w:name="page232"/>
    <w:bookmarkEnd w:id="231"/>
    <w:p>
      <w:pPr>
        <w:ind w:left="720" w:hanging="256"/>
        <w:spacing w:after="0"/>
        <w:tabs>
          <w:tab w:leader="none" w:pos="720"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right="120" w:firstLine="921"/>
        <w:spacing w:after="0" w:line="312" w:lineRule="auto"/>
        <w:tabs>
          <w:tab w:leader="none" w:pos="112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46" w:lineRule="exact"/>
        <w:rPr>
          <w:rFonts w:ascii="Arial" w:cs="Arial" w:eastAsia="Arial" w:hAnsi="Arial"/>
          <w:sz w:val="16"/>
          <w:szCs w:val="16"/>
          <w:color w:val="auto"/>
        </w:rPr>
      </w:pPr>
    </w:p>
    <w:p>
      <w:pPr>
        <w:ind w:right="60" w:firstLine="921"/>
        <w:spacing w:after="0" w:line="342" w:lineRule="auto"/>
        <w:tabs>
          <w:tab w:leader="none" w:pos="117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post-effective amendment to the Registration Statement shall be in effect, and no proceedings for such purpose shall have been instituted or, to the knowledge of the Company, threatened by the Commission.</w:t>
      </w:r>
    </w:p>
    <w:p>
      <w:pPr>
        <w:spacing w:after="0" w:line="123" w:lineRule="exact"/>
        <w:rPr>
          <w:rFonts w:ascii="Arial" w:cs="Arial" w:eastAsia="Arial" w:hAnsi="Arial"/>
          <w:sz w:val="16"/>
          <w:szCs w:val="16"/>
          <w:color w:val="auto"/>
        </w:rPr>
      </w:pPr>
    </w:p>
    <w:p>
      <w:pPr>
        <w:ind w:left="1240" w:hanging="319"/>
        <w:spacing w:after="0"/>
        <w:tabs>
          <w:tab w:leader="none" w:pos="124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1" w:lineRule="exact"/>
        <w:rPr>
          <w:rFonts w:ascii="Arial" w:cs="Arial" w:eastAsia="Arial" w:hAnsi="Arial"/>
          <w:sz w:val="18"/>
          <w:szCs w:val="18"/>
          <w:color w:val="auto"/>
        </w:rPr>
      </w:pPr>
    </w:p>
    <w:p>
      <w:pPr>
        <w:ind w:right="160" w:firstLine="464"/>
        <w:spacing w:after="0" w:line="313" w:lineRule="auto"/>
        <w:tabs>
          <w:tab w:leader="none" w:pos="701" w:val="left"/>
        </w:tabs>
        <w:numPr>
          <w:ilvl w:val="1"/>
          <w:numId w:val="1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Closing Date and, with respect to any Optional Shares purchased after the First Closing Date, each Option Closing Date:</w:t>
      </w:r>
    </w:p>
    <w:p>
      <w:pPr>
        <w:spacing w:after="0" w:line="142" w:lineRule="exact"/>
        <w:rPr>
          <w:rFonts w:ascii="Arial" w:cs="Arial" w:eastAsia="Arial" w:hAnsi="Arial"/>
          <w:sz w:val="17"/>
          <w:szCs w:val="17"/>
          <w:b w:val="1"/>
          <w:bCs w:val="1"/>
          <w:color w:val="auto"/>
        </w:rPr>
      </w:pPr>
    </w:p>
    <w:p>
      <w:pPr>
        <w:ind w:left="1140" w:hanging="219"/>
        <w:spacing w:after="0"/>
        <w:tabs>
          <w:tab w:leader="none" w:pos="114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225" w:lineRule="exact"/>
        <w:rPr>
          <w:rFonts w:ascii="Arial" w:cs="Arial" w:eastAsia="Arial" w:hAnsi="Arial"/>
          <w:sz w:val="18"/>
          <w:szCs w:val="18"/>
          <w:color w:val="auto"/>
        </w:rPr>
      </w:pPr>
    </w:p>
    <w:p>
      <w:pPr>
        <w:jc w:val="both"/>
        <w:ind w:right="380" w:firstLine="921"/>
        <w:spacing w:after="0" w:line="312" w:lineRule="auto"/>
        <w:tabs>
          <w:tab w:leader="none" w:pos="117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42" w:lineRule="exact"/>
        <w:rPr>
          <w:rFonts w:ascii="Arial" w:cs="Arial" w:eastAsia="Arial" w:hAnsi="Arial"/>
          <w:sz w:val="16"/>
          <w:szCs w:val="16"/>
          <w:color w:val="auto"/>
        </w:rPr>
      </w:pPr>
    </w:p>
    <w:p>
      <w:pPr>
        <w:ind w:right="80" w:firstLine="464"/>
        <w:spacing w:after="0" w:line="266" w:lineRule="auto"/>
        <w:tabs>
          <w:tab w:leader="none" w:pos="721"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opinion of Latham &amp; Watkins LLP, counsel for the Company, dated as of such date, in such form and substance as previously agreed to with the Representatives.</w:t>
      </w:r>
    </w:p>
    <w:p>
      <w:pPr>
        <w:spacing w:after="0" w:line="176" w:lineRule="exact"/>
        <w:rPr>
          <w:rFonts w:ascii="Arial" w:cs="Arial" w:eastAsia="Arial" w:hAnsi="Arial"/>
          <w:sz w:val="18"/>
          <w:szCs w:val="18"/>
          <w:b w:val="1"/>
          <w:bCs w:val="1"/>
          <w:color w:val="auto"/>
        </w:rPr>
      </w:pPr>
    </w:p>
    <w:p>
      <w:pPr>
        <w:ind w:right="100" w:firstLine="464"/>
        <w:spacing w:after="0" w:line="266" w:lineRule="auto"/>
        <w:tabs>
          <w:tab w:leader="none" w:pos="701"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the General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the General Counsel for the Company, dated as of such date, in such form and substance as previously agreed to with the Representatives.</w:t>
      </w:r>
    </w:p>
    <w:p>
      <w:pPr>
        <w:spacing w:after="0" w:line="176" w:lineRule="exact"/>
        <w:rPr>
          <w:rFonts w:ascii="Arial" w:cs="Arial" w:eastAsia="Arial" w:hAnsi="Arial"/>
          <w:sz w:val="18"/>
          <w:szCs w:val="18"/>
          <w:b w:val="1"/>
          <w:bCs w:val="1"/>
          <w:color w:val="auto"/>
        </w:rPr>
      </w:pPr>
    </w:p>
    <w:p>
      <w:pPr>
        <w:jc w:val="both"/>
        <w:ind w:right="60" w:firstLine="464"/>
        <w:spacing w:after="0" w:line="314" w:lineRule="auto"/>
        <w:tabs>
          <w:tab w:leader="none" w:pos="681" w:val="left"/>
        </w:tabs>
        <w:numPr>
          <w:ilvl w:val="1"/>
          <w:numId w:val="1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opinion of Gibson, Dunn &amp; Crutcher LLP, counsel for the Underwriters in connection with the offer and sale of the Offered Shares, in form and substance satisfactory to the Underwriters, dated as of such date, with executed copies for each of the other Underwriters named on the Prospectus cover page.</w:t>
      </w:r>
    </w:p>
    <w:p>
      <w:pPr>
        <w:spacing w:after="0" w:line="142" w:lineRule="exact"/>
        <w:rPr>
          <w:rFonts w:ascii="Arial" w:cs="Arial" w:eastAsia="Arial" w:hAnsi="Arial"/>
          <w:sz w:val="16"/>
          <w:szCs w:val="16"/>
          <w:b w:val="1"/>
          <w:bCs w:val="1"/>
          <w:color w:val="auto"/>
        </w:rPr>
      </w:pPr>
    </w:p>
    <w:p>
      <w:pPr>
        <w:ind w:firstLine="464"/>
        <w:spacing w:after="0" w:line="293" w:lineRule="auto"/>
        <w:tabs>
          <w:tab w:leader="none" w:pos="711" w:val="left"/>
        </w:tabs>
        <w:numPr>
          <w:ilvl w:val="1"/>
          <w:numId w:val="1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a certificate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Chief Executive Officer of the Company and the Chief Financial Officer of the Company, dated as of such date, to the effect set forth in Section 6(b)</w:t>
      </w:r>
    </w:p>
    <w:p>
      <w:pPr>
        <w:spacing w:after="0" w:line="1" w:lineRule="exact"/>
        <w:rPr>
          <w:rFonts w:ascii="Arial" w:cs="Arial" w:eastAsia="Arial" w:hAnsi="Arial"/>
          <w:sz w:val="16"/>
          <w:szCs w:val="16"/>
          <w:b w:val="1"/>
          <w:bCs w:val="1"/>
          <w:color w:val="auto"/>
        </w:rPr>
      </w:pPr>
    </w:p>
    <w:p>
      <w:pPr>
        <w:ind w:left="280" w:hanging="272"/>
        <w:spacing w:after="0"/>
        <w:tabs>
          <w:tab w:leader="none" w:pos="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and further to the effect that:</w:t>
      </w:r>
    </w:p>
    <w:p>
      <w:pPr>
        <w:spacing w:after="0" w:line="210" w:lineRule="exact"/>
        <w:rPr>
          <w:rFonts w:ascii="Arial" w:cs="Arial" w:eastAsia="Arial" w:hAnsi="Arial"/>
          <w:sz w:val="18"/>
          <w:szCs w:val="18"/>
          <w:color w:val="auto"/>
        </w:rPr>
      </w:pPr>
    </w:p>
    <w:p>
      <w:pPr>
        <w:ind w:left="1140" w:hanging="219"/>
        <w:spacing w:after="0"/>
        <w:tabs>
          <w:tab w:leader="none" w:pos="114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32" w:name="page233"/>
    <w:bookmarkEnd w:id="232"/>
    <w:p>
      <w:pPr>
        <w:ind w:left="-8" w:right="400" w:firstLine="921"/>
        <w:spacing w:after="0" w:line="277" w:lineRule="auto"/>
        <w:tabs>
          <w:tab w:leader="none" w:pos="1170" w:val="left"/>
        </w:tabs>
        <w:numPr>
          <w:ilvl w:val="2"/>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left="-8" w:right="700" w:firstLine="921"/>
        <w:spacing w:after="0" w:line="277" w:lineRule="auto"/>
        <w:tabs>
          <w:tab w:leader="none" w:pos="122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left="-8" w:right="20" w:firstLine="464"/>
        <w:spacing w:after="0" w:line="259" w:lineRule="auto"/>
        <w:tabs>
          <w:tab w:leader="none" w:pos="713"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CFO’s Certificate</w:t>
      </w:r>
      <w:r>
        <w:rPr>
          <w:rFonts w:ascii="Arial" w:cs="Arial" w:eastAsia="Arial" w:hAnsi="Arial"/>
          <w:sz w:val="18"/>
          <w:szCs w:val="18"/>
          <w:color w:val="auto"/>
        </w:rPr>
        <w:t>. On the date hereof and on the First Closing Date and each applicable Option Closing Date, the Representatives shall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Company’s Chief Financial Officer a certificate with respect to certain financial information contained in the Registration Statement, the Preliminary Prospectus, Time of Sale Prospectus, and each free writing prospectus, if any, and the Prospectus, in form and substance reasonably satisfactory to the Representatives.</w:t>
      </w:r>
    </w:p>
    <w:p>
      <w:pPr>
        <w:spacing w:after="0" w:line="182" w:lineRule="exact"/>
        <w:rPr>
          <w:rFonts w:ascii="Arial" w:cs="Arial" w:eastAsia="Arial" w:hAnsi="Arial"/>
          <w:sz w:val="18"/>
          <w:szCs w:val="18"/>
          <w:b w:val="1"/>
          <w:bCs w:val="1"/>
          <w:color w:val="auto"/>
        </w:rPr>
      </w:pPr>
    </w:p>
    <w:p>
      <w:pPr>
        <w:ind w:left="672" w:hanging="216"/>
        <w:spacing w:after="0"/>
        <w:tabs>
          <w:tab w:leader="none" w:pos="672" w:val="left"/>
        </w:tabs>
        <w:numPr>
          <w:ilvl w:val="1"/>
          <w:numId w:val="1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Bring-down 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from Deloitte</w:t>
      </w:r>
    </w:p>
    <w:p>
      <w:pPr>
        <w:spacing w:after="0" w:line="50" w:lineRule="exact"/>
        <w:rPr>
          <w:rFonts w:ascii="Arial" w:cs="Arial" w:eastAsia="Arial" w:hAnsi="Arial"/>
          <w:sz w:val="16"/>
          <w:szCs w:val="16"/>
          <w:b w:val="1"/>
          <w:bCs w:val="1"/>
          <w:color w:val="auto"/>
        </w:rPr>
      </w:pPr>
    </w:p>
    <w:p>
      <w:pPr>
        <w:jc w:val="both"/>
        <w:ind w:left="-8" w:firstLine="8"/>
        <w:spacing w:after="0" w:line="254" w:lineRule="auto"/>
        <w:tabs>
          <w:tab w:leader="none" w:pos="1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Touche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89" w:lineRule="exact"/>
        <w:rPr>
          <w:rFonts w:ascii="Arial" w:cs="Arial" w:eastAsia="Arial" w:hAnsi="Arial"/>
          <w:sz w:val="18"/>
          <w:szCs w:val="18"/>
          <w:color w:val="auto"/>
        </w:rPr>
      </w:pPr>
    </w:p>
    <w:p>
      <w:pPr>
        <w:jc w:val="both"/>
        <w:ind w:left="-8" w:right="140" w:firstLine="464"/>
        <w:spacing w:after="0" w:line="264" w:lineRule="auto"/>
        <w:tabs>
          <w:tab w:leader="none" w:pos="673"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from each of the persons listed on Exhibit B hereto, and each such agreement shall be in full force and effect on each of the First Closing Date and each Option Closing Date.</w:t>
      </w:r>
    </w:p>
    <w:p>
      <w:pPr>
        <w:spacing w:after="0" w:line="177" w:lineRule="exact"/>
        <w:rPr>
          <w:rFonts w:ascii="Arial" w:cs="Arial" w:eastAsia="Arial" w:hAnsi="Arial"/>
          <w:sz w:val="18"/>
          <w:szCs w:val="18"/>
          <w:b w:val="1"/>
          <w:bCs w:val="1"/>
          <w:color w:val="auto"/>
        </w:rPr>
      </w:pPr>
    </w:p>
    <w:p>
      <w:pPr>
        <w:ind w:left="-8" w:right="40" w:firstLine="464"/>
        <w:spacing w:after="0" w:line="266" w:lineRule="auto"/>
        <w:tabs>
          <w:tab w:leader="none" w:pos="713"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such Rule 462(b) Registration Statement shall have been filed with the Commission on the date of this Agreement and shall have become effective automatically upon such filing.</w:t>
      </w:r>
    </w:p>
    <w:p>
      <w:pPr>
        <w:spacing w:after="0" w:line="180" w:lineRule="exact"/>
        <w:rPr>
          <w:rFonts w:ascii="Arial" w:cs="Arial" w:eastAsia="Arial" w:hAnsi="Arial"/>
          <w:sz w:val="18"/>
          <w:szCs w:val="18"/>
          <w:b w:val="1"/>
          <w:bCs w:val="1"/>
          <w:color w:val="auto"/>
        </w:rPr>
      </w:pPr>
    </w:p>
    <w:p>
      <w:pPr>
        <w:ind w:left="-8" w:right="360" w:firstLine="464"/>
        <w:spacing w:after="0" w:line="277" w:lineRule="auto"/>
        <w:tabs>
          <w:tab w:leader="none" w:pos="663"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Shares shall have been approved for listing on the NASDAQ, subject only to official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issuance.</w:t>
      </w:r>
    </w:p>
    <w:p>
      <w:pPr>
        <w:spacing w:after="0" w:line="170" w:lineRule="exact"/>
        <w:rPr>
          <w:rFonts w:ascii="Arial" w:cs="Arial" w:eastAsia="Arial" w:hAnsi="Arial"/>
          <w:sz w:val="18"/>
          <w:szCs w:val="18"/>
          <w:b w:val="1"/>
          <w:bCs w:val="1"/>
          <w:color w:val="auto"/>
        </w:rPr>
      </w:pPr>
    </w:p>
    <w:p>
      <w:pPr>
        <w:ind w:left="-8" w:right="200" w:firstLine="464"/>
        <w:spacing w:after="0" w:line="273" w:lineRule="auto"/>
        <w:tabs>
          <w:tab w:leader="none" w:pos="763" w:val="left"/>
        </w:tabs>
        <w:numPr>
          <w:ilvl w:val="1"/>
          <w:numId w:val="1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233" w:name="page234"/>
    <w:bookmarkEnd w:id="233"/>
    <w:p>
      <w:pPr>
        <w:ind w:right="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condition specified in this Section 6 is not satisfied when and as required to be satisfied, this Agreement may be terminated by the Representatives by written notice from Jefferies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6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color w:val="auto"/>
        </w:rPr>
        <w:t>Section 7. Reimbursement of Underwriters’ Expenses</w:t>
      </w:r>
      <w:r>
        <w:rPr>
          <w:rFonts w:ascii="Arial" w:cs="Arial" w:eastAsia="Arial" w:hAnsi="Arial"/>
          <w:sz w:val="17"/>
          <w:szCs w:val="17"/>
          <w:color w:val="auto"/>
        </w:rPr>
        <w:t>. If this Agreement is terminated by the Representatives pursuant to Section 6,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11 or Section 12(i)(a), (v) or (vi),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Section 8. Effectiveness of this Agreement</w:t>
      </w:r>
      <w:r>
        <w:rPr>
          <w:rFonts w:ascii="Arial" w:cs="Arial" w:eastAsia="Arial" w:hAnsi="Arial"/>
          <w:sz w:val="16"/>
          <w:szCs w:val="16"/>
          <w:color w:val="auto"/>
        </w:rPr>
        <w:t>. 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 Indemnification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5" w:lineRule="auto"/>
        <w:tabs>
          <w:tab w:leader="none" w:pos="711"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reasonable and documented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34" w:name="page235"/>
    <w:bookmarkEnd w:id="234"/>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81" w:lineRule="exact"/>
        <w:rPr>
          <w:sz w:val="20"/>
          <w:szCs w:val="20"/>
          <w:color w:val="auto"/>
        </w:rPr>
      </w:pPr>
    </w:p>
    <w:p>
      <w:pPr>
        <w:ind w:firstLine="464"/>
        <w:spacing w:after="0" w:line="282" w:lineRule="auto"/>
        <w:tabs>
          <w:tab w:leader="none" w:pos="721" w:val="left"/>
        </w:tabs>
        <w:numPr>
          <w:ilvl w:val="1"/>
          <w:numId w:val="1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 harmless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Marketing Materials, any Section 5(d) Written Communication or the Prospectus (or any such amendment or supplement) or the omission or alleged omission to state therein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Marketing Materials,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(i) the second sentence of the third paragraph under the caption “Underwriting,” (ii) the first paragraph under the caption “Underwriting—Commission and Expenses,” (iii) the statements concerning stabilizing transactions and syndicate covering transactions under the caption “Underwriting—Stabilization” and</w:t>
      </w:r>
    </w:p>
    <w:p>
      <w:pPr>
        <w:spacing w:after="0" w:line="12" w:lineRule="exact"/>
        <w:rPr>
          <w:rFonts w:ascii="Arial" w:cs="Arial" w:eastAsia="Arial" w:hAnsi="Arial"/>
          <w:sz w:val="16"/>
          <w:szCs w:val="16"/>
          <w:b w:val="1"/>
          <w:bCs w:val="1"/>
          <w:color w:val="auto"/>
        </w:rPr>
      </w:pPr>
    </w:p>
    <w:p>
      <w:pPr>
        <w:ind w:right="80" w:firstLine="8"/>
        <w:spacing w:after="0" w:line="290" w:lineRule="auto"/>
        <w:tabs>
          <w:tab w:leader="none" w:pos="30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first sentence of the first paragraph under the caption “Underwriting—Electronic Distribution” in the Preliminary Prospectus and the Prospectus. The indemnity agreement set forth in this Section 9(b) shall be in addition to any liabilities that each Underwriter may otherwise have.</w:t>
      </w:r>
    </w:p>
    <w:p>
      <w:pPr>
        <w:spacing w:after="0" w:line="157" w:lineRule="exact"/>
        <w:rPr>
          <w:rFonts w:ascii="Arial" w:cs="Arial" w:eastAsia="Arial" w:hAnsi="Arial"/>
          <w:sz w:val="17"/>
          <w:szCs w:val="17"/>
          <w:color w:val="auto"/>
        </w:rPr>
      </w:pPr>
    </w:p>
    <w:p>
      <w:pPr>
        <w:ind w:right="60" w:firstLine="464"/>
        <w:spacing w:after="0" w:line="277" w:lineRule="auto"/>
        <w:tabs>
          <w:tab w:leader="none" w:pos="701" w:val="left"/>
        </w:tabs>
        <w:numPr>
          <w:ilvl w:val="1"/>
          <w:numId w:val="1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Notifications and Other Indemnification Procedures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Promptly after receipt by an indemnified party under this Section 9 of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35" w:name="page236"/>
    <w:bookmarkEnd w:id="23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otherwise than on account of this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such approval not to be unreasonably withheld or delayed,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one local counsel in each relevant jurisdiction), representing the indemnified parties who are parties to such action), which counsel (together with one local counsel in each relevant jurisdiction)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4" w:lineRule="exact"/>
        <w:rPr>
          <w:sz w:val="20"/>
          <w:szCs w:val="20"/>
          <w:color w:val="auto"/>
        </w:rPr>
      </w:pPr>
    </w:p>
    <w:p>
      <w:pPr>
        <w:ind w:right="20" w:firstLine="464"/>
        <w:spacing w:after="0" w:line="287" w:lineRule="auto"/>
        <w:tabs>
          <w:tab w:leader="none" w:pos="721"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the date of such settlement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9"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Section 10. Contribution</w:t>
      </w:r>
      <w:r>
        <w:rPr>
          <w:rFonts w:ascii="Arial" w:cs="Arial" w:eastAsia="Arial" w:hAnsi="Arial"/>
          <w:sz w:val="18"/>
          <w:szCs w:val="18"/>
          <w:color w:val="auto"/>
        </w:rPr>
        <w:t>. If the indemnification provided for in Section 9 is for any reason held to be unavailable to or otherwise insufficient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hold harmless an indemnified party in respect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36" w:name="page237"/>
    <w:bookmarkEnd w:id="23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9(c), any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9(c) for purposes of indemnification.</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93"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Section 11. Default of One or More of the Several Underwriters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on the First Closing Date or any Option Closing Date any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several Underwriters shall fail or refuse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37" w:name="page238"/>
    <w:bookmarkEnd w:id="2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in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shall be deemed to include any person substituted for a defaulting Underwriter under this Section</w:t>
      </w:r>
    </w:p>
    <w:p>
      <w:pPr>
        <w:spacing w:after="0" w:line="50" w:lineRule="exact"/>
        <w:rPr>
          <w:sz w:val="20"/>
          <w:szCs w:val="20"/>
          <w:color w:val="auto"/>
        </w:rPr>
      </w:pPr>
    </w:p>
    <w:p>
      <w:pPr>
        <w:ind w:right="80" w:firstLine="8"/>
        <w:spacing w:after="0" w:line="290" w:lineRule="auto"/>
        <w:tabs>
          <w:tab w:leader="none" w:pos="25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action taken under this Section 11 shall not relieve any defaulting Underwriter from liability in respect of any default of such Underwriter under this Agreement.</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Jefferies by notice given to the Company if at any time: (i)(a) trading or quotation in any of the Company’s securities shall have been suspended or limited by the Commission or by the NASDAQ, or (b)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or New York authorities; (iii) a material disruption in commercial banking or securities settlement or clearance services in the United States; (iv)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Jefferies is material and adverse and makes it impracticable to market the Offered Shares in the manner and on the terms described in the Time of Sale Prospectus or the Prospectus or to enforce contracts for the sale of securities; (v) in the judgment of Jefferies there shall have occurred any Material Adverse Change; or (vi) the Company shall have sustained a loss by strike, fire, flood, earthquake, accident or other calamity of such character as in the judgment of Jefferies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provisions of Section 9 and Section 10 shall at all times be effective and shall survive such termination.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38" w:name="page239"/>
    <w:bookmarkEnd w:id="238"/>
    <w:p>
      <w:pPr>
        <w:ind w:firstLine="913"/>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 No Advisory or Fiduciary Relationship</w:t>
      </w:r>
      <w:r>
        <w:rPr>
          <w:rFonts w:ascii="Arial" w:cs="Arial" w:eastAsia="Arial" w:hAnsi="Arial"/>
          <w:sz w:val="17"/>
          <w:szCs w:val="17"/>
          <w:color w:val="auto"/>
        </w:rPr>
        <w:t>. The Company acknowledges and agrees that (a) the purchase and sale of the Offered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4"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 warranties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84"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follows:</w:t>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14" w:lineRule="exact"/>
        <w:rPr>
          <w:sz w:val="20"/>
          <w:szCs w:val="20"/>
          <w:color w:val="auto"/>
        </w:rPr>
      </w:pPr>
    </w:p>
    <w:p>
      <w:pPr>
        <w:sectPr>
          <w:pgSz w:w="11900" w:h="16838" w:orient="portrait"/>
          <w:cols w:equalWidth="0" w:num="2">
            <w:col w:w="3000" w:space="720"/>
            <w:col w:w="7700"/>
          </w:cols>
          <w:pgMar w:left="240" w:top="270" w:right="239" w:bottom="1440" w:gutter="0" w:footer="0" w:header="0"/>
          <w:type w:val="continuous"/>
        </w:sectPr>
      </w:pPr>
    </w:p>
    <w:p>
      <w:pPr>
        <w:ind w:left="3720"/>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New York, New York 10010-3629</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Facsimile: (212) 325-4296</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Attention: GC-IBCM</w:t>
      </w:r>
    </w:p>
    <w:p>
      <w:pPr>
        <w:sectPr>
          <w:pgSz w:w="11900" w:h="16838" w:orient="portrait"/>
          <w:cols w:equalWidth="0" w:num="1">
            <w:col w:w="11420"/>
          </w:cols>
          <w:pgMar w:left="240" w:top="270" w:right="239" w:bottom="1440" w:gutter="0" w:footer="0" w:header="0"/>
          <w:type w:val="continuous"/>
        </w:sectPr>
      </w:pP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10166-0193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(212) 351-6333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Glenn R. Pollner</w:t>
      </w:r>
    </w:p>
    <w:p>
      <w:pPr>
        <w:spacing w:after="0" w:line="103" w:lineRule="exact"/>
        <w:rPr>
          <w:sz w:val="20"/>
          <w:szCs w:val="20"/>
          <w:color w:val="auto"/>
        </w:rPr>
      </w:pPr>
    </w:p>
    <w:p>
      <w:pPr>
        <w:sectPr>
          <w:pgSz w:w="11900" w:h="16838" w:orient="portrait"/>
          <w:cols w:equalWidth="0" w:num="2">
            <w:col w:w="3000" w:space="720"/>
            <w:col w:w="770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(513) 579-0444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166" w:lineRule="exact"/>
        <w:rPr>
          <w:sz w:val="20"/>
          <w:szCs w:val="20"/>
          <w:color w:val="auto"/>
        </w:rPr>
      </w:pPr>
    </w:p>
    <w:p>
      <w:pPr>
        <w:sectPr>
          <w:pgSz w:w="11900" w:h="16838" w:orient="portrait"/>
          <w:cols w:equalWidth="0" w:num="2">
            <w:col w:w="3000" w:space="720"/>
            <w:col w:w="770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0" w:right="239" w:bottom="1440" w:gutter="0" w:footer="0" w:header="0"/>
          <w:type w:val="continuous"/>
        </w:sectPr>
      </w:pPr>
    </w:p>
    <w:bookmarkStart w:id="239" w:name="page240"/>
    <w:bookmarkEnd w:id="239"/>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-215900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885 3rd Ave.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(212) 751-4864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Gregory P. Rodgers</w:t>
      </w:r>
    </w:p>
    <w:p>
      <w:pPr>
        <w:spacing w:after="0" w:line="200" w:lineRule="exact"/>
        <w:rPr>
          <w:sz w:val="20"/>
          <w:szCs w:val="20"/>
          <w:color w:val="auto"/>
        </w:rPr>
      </w:pPr>
    </w:p>
    <w:p>
      <w:pPr>
        <w:sectPr>
          <w:pgSz w:w="11900" w:h="16838" w:orient="portrait"/>
          <w:cols w:equalWidth="0" w:num="2">
            <w:col w:w="3000" w:space="720"/>
            <w:col w:w="7680"/>
          </w:cols>
          <w:pgMar w:left="240" w:top="274" w:right="25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Section 16. Successors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inure to the benefit of and be binding upon the parties hereto, including any substitute Underwriters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Shares as such from any of the Underwriters merely by reason of such purchase.</w:t>
      </w:r>
    </w:p>
    <w:p>
      <w:pPr>
        <w:spacing w:after="0" w:line="16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b w:val="1"/>
          <w:bCs w:val="1"/>
          <w:color w:val="auto"/>
        </w:rPr>
        <w:t>Section 18. Governing Law Provisions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internal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8"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Section 19. Waiver of Jury Trial</w:t>
      </w:r>
      <w:r>
        <w:rPr>
          <w:rFonts w:ascii="Arial" w:cs="Arial" w:eastAsia="Arial" w:hAnsi="Arial"/>
          <w:sz w:val="18"/>
          <w:szCs w:val="18"/>
          <w:color w:val="auto"/>
        </w:rPr>
        <w:t>. The Company hereby irrevocably waives, to the fullest extent permitted by applicable law, any and all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a jury in any legal proceeding arising out of or relating to this Agreement or the transactions contemplated hereby.</w:t>
      </w:r>
    </w:p>
    <w:p>
      <w:pPr>
        <w:spacing w:after="0" w:line="162"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Section 20. General Provisions</w:t>
      </w:r>
      <w:r>
        <w:rPr>
          <w:rFonts w:ascii="Arial" w:cs="Arial" w:eastAsia="Arial" w:hAnsi="Arial"/>
          <w:sz w:val="17"/>
          <w:szCs w:val="17"/>
          <w:color w:val="auto"/>
        </w:rPr>
        <w:t>. 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type w:val="continuous"/>
        </w:sectPr>
      </w:pPr>
    </w:p>
    <w:bookmarkStart w:id="240" w:name="page241"/>
    <w:bookmarkEnd w:id="240"/>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41" w:name="page242"/>
    <w:bookmarkEnd w:id="241"/>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MEDPACE HOLDINGS,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Underwriting Agreement</w:t>
      </w:r>
      <w:r>
        <w:rPr>
          <w:rFonts w:ascii="Arial" w:cs="Arial" w:eastAsia="Arial" w:hAnsi="Arial"/>
          <w:sz w:val="18"/>
          <w:szCs w:val="18"/>
          <w:color w:val="auto"/>
        </w:rPr>
        <w:t>]</w:t>
      </w:r>
    </w:p>
    <w:p>
      <w:pPr>
        <w:sectPr>
          <w:pgSz w:w="11900" w:h="16838" w:orient="portrait"/>
          <w:cols w:equalWidth="0" w:num="1">
            <w:col w:w="10740"/>
          </w:cols>
          <w:pgMar w:left="240" w:top="274" w:right="919" w:bottom="1440" w:gutter="0" w:footer="0" w:header="0"/>
        </w:sectPr>
      </w:pPr>
    </w:p>
    <w:bookmarkStart w:id="242" w:name="page243"/>
    <w:bookmarkEnd w:id="24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Underwriting Agreement is hereby confirmed and accepted by the Representatives in New York, New York 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Underwriting Agreement</w:t>
      </w:r>
      <w:r>
        <w:rPr>
          <w:rFonts w:ascii="Arial" w:cs="Arial" w:eastAsia="Arial" w:hAnsi="Arial"/>
          <w:sz w:val="18"/>
          <w:szCs w:val="18"/>
          <w:color w:val="auto"/>
        </w:rPr>
        <w:t>]</w:t>
      </w:r>
    </w:p>
    <w:p>
      <w:pPr>
        <w:sectPr>
          <w:pgSz w:w="11900" w:h="16838" w:orient="portrait"/>
          <w:cols w:equalWidth="0" w:num="1">
            <w:col w:w="11080"/>
          </w:cols>
          <w:pgMar w:left="240" w:top="274" w:right="57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sz w:val="20"/>
                <w:szCs w:val="20"/>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b w:val="1"/>
                <w:bCs w:val="1"/>
                <w:color w:val="auto"/>
                <w:w w:val="87"/>
              </w:rPr>
              <w:t>Schedule A</w:t>
            </w:r>
          </w:p>
        </w:tc>
        <w:tc>
          <w:tcPr>
            <w:tcW w:w="0" w:type="dxa"/>
            <w:vAlign w:val="bottom"/>
          </w:tcPr>
          <w:p>
            <w:pPr>
              <w:spacing w:after="0"/>
              <w:rPr>
                <w:sz w:val="1"/>
                <w:szCs w:val="1"/>
                <w:color w:val="auto"/>
              </w:rPr>
            </w:pPr>
          </w:p>
        </w:tc>
      </w:tr>
      <w:tr>
        <w:trPr>
          <w:trHeight w:val="369"/>
        </w:trPr>
        <w:tc>
          <w:tcPr>
            <w:tcW w:w="1034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034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85"/>
        </w:trPr>
        <w:tc>
          <w:tcPr>
            <w:tcW w:w="1034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to be Purchased</w:t>
            </w: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3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Free Writing Prospectuses Included in the Time of Sale Prospectus</w:t>
      </w:r>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[to be added]</w:t>
      </w:r>
    </w:p>
    <w:p>
      <w:pPr>
        <w:sectPr>
          <w:pgSz w:w="11900" w:h="16838" w:orient="portrait"/>
          <w:cols w:equalWidth="0" w:num="1">
            <w:col w:w="10220"/>
          </w:cols>
          <w:pgMar w:left="1440" w:top="270"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titled “Medpace / January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titled “Medpace / June 2016.”</w:t>
      </w:r>
    </w:p>
    <w:p>
      <w:pPr>
        <w:sectPr>
          <w:pgSz w:w="11900" w:h="16838" w:orient="portrait"/>
          <w:cols w:equalWidth="0" w:num="1">
            <w:col w:w="11420"/>
          </w:cols>
          <w:pgMar w:left="240" w:top="27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Subsidiaries</w:t>
      </w:r>
    </w:p>
    <w:p>
      <w:pPr>
        <w:sectPr>
          <w:pgSz w:w="11900" w:h="16838" w:orient="portrait"/>
          <w:cols w:equalWidth="0" w:num="1">
            <w:col w:w="11420"/>
          </w:cols>
          <w:pgMar w:left="240" w:top="270"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Beijing Medpace Medical Sci. &amp; Tech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C-MARC,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Imagepace,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(Thailand)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Acquisition,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Argentina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Austria GesmbH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Belgium BVBA</w:t>
      </w:r>
    </w:p>
    <w:p>
      <w:pPr>
        <w:spacing w:after="0" w:line="9" w:lineRule="exact"/>
        <w:rPr>
          <w:sz w:val="20"/>
          <w:szCs w:val="20"/>
          <w:color w:val="auto"/>
        </w:rPr>
      </w:pPr>
    </w:p>
    <w:p>
      <w:pPr>
        <w:ind w:right="2280"/>
        <w:spacing w:after="0" w:line="250" w:lineRule="auto"/>
        <w:rPr>
          <w:sz w:val="20"/>
          <w:szCs w:val="20"/>
          <w:color w:val="auto"/>
        </w:rPr>
      </w:pPr>
      <w:r>
        <w:rPr>
          <w:rFonts w:ascii="Arial" w:cs="Arial" w:eastAsia="Arial" w:hAnsi="Arial"/>
          <w:sz w:val="18"/>
          <w:szCs w:val="18"/>
          <w:color w:val="auto"/>
        </w:rPr>
        <w:t>Medpace Bioanalytical Laboratories, LLC Medpace Brazil LTDA Medpace Canada,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Medpace Chile Limitada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Clinical Pharmacology,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Medpace Clinical Research India Pvt.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Medpace Czech Republika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Europe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Hellas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Hungary kft.</w:t>
      </w:r>
    </w:p>
    <w:p>
      <w:pPr>
        <w:spacing w:after="0" w:line="9" w:lineRule="exact"/>
        <w:rPr>
          <w:sz w:val="20"/>
          <w:szCs w:val="20"/>
          <w:color w:val="auto"/>
        </w:rPr>
      </w:pPr>
    </w:p>
    <w:p>
      <w:pPr>
        <w:ind w:right="2260"/>
        <w:spacing w:after="0" w:line="261" w:lineRule="auto"/>
        <w:rPr>
          <w:sz w:val="20"/>
          <w:szCs w:val="20"/>
          <w:color w:val="auto"/>
        </w:rPr>
      </w:pPr>
      <w:r>
        <w:rPr>
          <w:rFonts w:ascii="Arial" w:cs="Arial" w:eastAsia="Arial" w:hAnsi="Arial"/>
          <w:sz w:val="18"/>
          <w:szCs w:val="18"/>
          <w:color w:val="auto"/>
        </w:rPr>
        <w:t>Medpace Imaging Core Lab France SARL Medpace, Inc.</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Medpace IntermediateCo.,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Medpace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Laboratories BVBA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Medpace Medical Consulting GmbH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Medpace Medical Device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Medical Device,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Medpace Mexico S. de R.L. de C.V.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Medpace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Poland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Portugal Lda.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Medpace Reference Laboratories,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Medpace Russia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South Africa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Switzerland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Taiwan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Turkey Limited Sirketi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Ukraine, LLC</w:t>
      </w:r>
    </w:p>
    <w:p>
      <w:pPr>
        <w:sectPr>
          <w:pgSz w:w="11900" w:h="16838" w:orient="portrait"/>
          <w:cols w:equalWidth="0" w:num="2">
            <w:col w:w="5340" w:space="720"/>
            <w:col w:w="5360"/>
          </w:cols>
          <w:pgMar w:left="240" w:top="270" w:right="2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ind w:left="600" w:hanging="592"/>
        <w:spacing w:after="0"/>
        <w:tabs>
          <w:tab w:leader="none" w:pos="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GC-IBCM</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Medpace Holdings, Inc.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undersigned is an owner of shares of common stock, par value $0.01 per share, of the Company (“</w:t>
      </w:r>
      <w:r>
        <w:rPr>
          <w:rFonts w:ascii="Arial" w:cs="Arial" w:eastAsia="Arial" w:hAnsi="Arial"/>
          <w:sz w:val="17"/>
          <w:szCs w:val="17"/>
          <w:b w:val="1"/>
          <w:bCs w:val="1"/>
          <w:color w:val="auto"/>
        </w:rPr>
        <w:t>Shares</w:t>
      </w:r>
      <w:r>
        <w:rPr>
          <w:rFonts w:ascii="Arial" w:cs="Arial" w:eastAsia="Arial" w:hAnsi="Arial"/>
          <w:sz w:val="17"/>
          <w:szCs w:val="17"/>
          <w:color w:val="auto"/>
        </w:rPr>
        <w:t>”) or of securities convertible into or exchangeable or exercisable for Shares. The Company proposes to conduct a public offering of Shares (the “</w:t>
      </w:r>
      <w:r>
        <w:rPr>
          <w:rFonts w:ascii="Arial" w:cs="Arial" w:eastAsia="Arial" w:hAnsi="Arial"/>
          <w:sz w:val="17"/>
          <w:szCs w:val="17"/>
          <w:b w:val="1"/>
          <w:bCs w:val="1"/>
          <w:color w:val="auto"/>
        </w:rPr>
        <w:t>Offering</w:t>
      </w:r>
      <w:r>
        <w:rPr>
          <w:rFonts w:ascii="Arial" w:cs="Arial" w:eastAsia="Arial" w:hAnsi="Arial"/>
          <w:sz w:val="17"/>
          <w:szCs w:val="17"/>
          <w:color w:val="auto"/>
        </w:rPr>
        <w:t>”) for which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Credit Suisse Securities (USA) LLC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other underwriting arrangements with the Company with respect to the Offering.</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use its reasonable best efforts to cause any Family Member not to, without the prior written consent of Jefferies, which may withhold its consent in its sole discretion:</w:t>
      </w:r>
    </w:p>
    <w:p>
      <w:pPr>
        <w:spacing w:after="0" w:line="87" w:lineRule="exact"/>
        <w:rPr>
          <w:sz w:val="20"/>
          <w:szCs w:val="20"/>
          <w:color w:val="auto"/>
        </w:rPr>
      </w:pPr>
    </w:p>
    <w:p>
      <w:pPr>
        <w:ind w:left="900" w:right="6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48" w:name="page249"/>
    <w:bookmarkEnd w:id="248"/>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any Swap,</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will not apply to the registration of the offer and sale of the Shares, and the sale of the Shares to the underwriters, in each case as contemplated by the Underwriting Agreement. In addition, the foregoing restrictions shall not apply:</w:t>
      </w:r>
    </w:p>
    <w:p>
      <w:pPr>
        <w:spacing w:after="0" w:line="76" w:lineRule="exact"/>
        <w:rPr>
          <w:sz w:val="20"/>
          <w:szCs w:val="20"/>
          <w:color w:val="auto"/>
        </w:rPr>
      </w:pPr>
    </w:p>
    <w:p>
      <w:pPr>
        <w:ind w:left="900" w:right="36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75" w:lineRule="exact"/>
        <w:rPr>
          <w:rFonts w:ascii="Arial" w:cs="Arial" w:eastAsia="Arial" w:hAnsi="Arial"/>
          <w:sz w:val="18"/>
          <w:szCs w:val="18"/>
          <w:color w:val="auto"/>
        </w:rPr>
      </w:pPr>
    </w:p>
    <w:p>
      <w:pPr>
        <w:ind w:left="900" w:right="40" w:hanging="446"/>
        <w:spacing w:after="0" w:line="279"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transfers to a nominee or custodian of a person or entity to whom a disposition or transfer would be permissible under clauses (i) through (iv);</w:t>
      </w:r>
    </w:p>
    <w:p>
      <w:pPr>
        <w:spacing w:after="0" w:line="153" w:lineRule="exact"/>
        <w:rPr>
          <w:rFonts w:ascii="Arial" w:cs="Arial" w:eastAsia="Arial" w:hAnsi="Arial"/>
          <w:sz w:val="16"/>
          <w:szCs w:val="16"/>
          <w:color w:val="auto"/>
        </w:rPr>
      </w:pPr>
    </w:p>
    <w:p>
      <w:pPr>
        <w:ind w:left="900" w:right="40" w:hanging="446"/>
        <w:spacing w:after="0" w:line="271"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transfers to the Company (1) pursuant to the exercise, in each case on a “cashless” or “net exercise” basis, of any option to purchase Shares granted by the Company pursuant to any employee benefit plans or arrangements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provided that in the case of any transfer 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249" w:name="page250"/>
    <w:bookmarkEnd w:id="249"/>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pursuant this clause, any filing under Section 16(a) of the Exchange Act shall state that such transfer to the Company relates to a “cashless” or “net exercise” of stock options or a tax withholding of shares in connection with the exercise of stock options or the vesting of a restricted stock award, as applicable, and that any Shares received by the undersigned upon any such exercise or vesting and not transferred to the Company will be continue to be subject to the terms of this lock-up agreement;</w:t>
      </w:r>
    </w:p>
    <w:p>
      <w:pPr>
        <w:spacing w:after="0" w:line="92" w:lineRule="exact"/>
        <w:rPr>
          <w:sz w:val="20"/>
          <w:szCs w:val="20"/>
          <w:color w:val="auto"/>
        </w:rPr>
      </w:pPr>
    </w:p>
    <w:p>
      <w:pPr>
        <w:ind w:left="900" w:right="4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transfers pursuant to an order of a court or regulatory agency; provided that in the case of any transfer pursuant this clause, any filing under Section 16(a) of the Exchange Act, reporting a reduction in beneficial ownership of Shares, shall state that such transfer is pursuant to an order of a court or regulatory agency, unless such a statement would be prohibited by any applicable law, regulation or order of a court or regulatory authority;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transfers of Shares acquired in open market transactions after the completion of the Offering;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response to a bona fide third-party takeover bid made to all holders of Shares or any other, merger, consolidation, stock exchange or other similar transaction whereby all or substantially all of the Shares are acquired by a third party;</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 any transfer or distribution pursuant to clauses (i) - (v) above, it shall be a condition to such transfer that both</w:t>
      </w:r>
      <w:r>
        <w:rPr>
          <w:rFonts w:ascii="Arial" w:cs="Arial" w:eastAsia="Arial" w:hAnsi="Arial"/>
          <w:sz w:val="18"/>
          <w:szCs w:val="18"/>
          <w:i w:val="1"/>
          <w:iCs w:val="1"/>
          <w:color w:val="auto"/>
        </w:rPr>
        <w:t xml:space="preserve"> </w:t>
      </w:r>
      <w:r>
        <w:rPr>
          <w:rFonts w:ascii="Arial" w:cs="Arial" w:eastAsia="Arial" w:hAnsi="Arial"/>
          <w:sz w:val="18"/>
          <w:szCs w:val="18"/>
          <w:color w:val="auto"/>
        </w:rPr>
        <w:t>clauses (I) and (II) below are satisfied and (B) any transfer pursuant to clause (viii) above, it shall be a condition to such transfer that clause (II) below is satisfied:</w:t>
      </w:r>
    </w:p>
    <w:p>
      <w:pPr>
        <w:spacing w:after="0" w:line="87" w:lineRule="exact"/>
        <w:rPr>
          <w:sz w:val="20"/>
          <w:szCs w:val="20"/>
          <w:color w:val="auto"/>
        </w:rPr>
      </w:pPr>
    </w:p>
    <w:p>
      <w:pPr>
        <w:ind w:left="1480" w:right="120" w:hanging="567"/>
        <w:spacing w:after="0" w:line="257" w:lineRule="auto"/>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transferee executes and delivers to Jefferies or already has in effect an agreement in form and substance satisfactory to Jefferies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94" w:lineRule="exact"/>
        <w:rPr>
          <w:sz w:val="20"/>
          <w:szCs w:val="20"/>
          <w:color w:val="auto"/>
        </w:rPr>
      </w:pPr>
    </w:p>
    <w:p>
      <w:pPr>
        <w:ind w:left="1480" w:right="240" w:hanging="567"/>
        <w:spacing w:after="0" w:line="264"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restrictions described in this letter agreement shall not apply to the establishment of a trading plan pursuant to Rule 10b5-1 under the Exchange Act during the Lock-Up Period, provided that no transfers occur under such plan during such Lock-up Period and no public announcement or filing shall be required or voluntarily made by any person in connection therewith during the Lock-Up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50" w:name="page251"/>
    <w:bookmarkEnd w:id="250"/>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if the undersigned is an officer or director of the Company, (i) Jefferies agrees that, at least three business days before the effective date of any release or waiver of the foregoing restrictions in connection with a transfer of Shares, Jefferies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9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use reasonable efforts to cause any Family Member not to take, directly or indirectly, any such action.</w:t>
      </w:r>
    </w:p>
    <w:p>
      <w:pPr>
        <w:spacing w:after="0" w:line="14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4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(i) the Company notifies Jefferies in writing that it does not intend to proceed with the Offering, (ii) the Underwriting Agreement is not executed before October 31, 2016 or (iii) the Underwriting Agreement (other than the provisions thereof that survive termination) terminates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240" w:top="274" w:right="339" w:bottom="1440" w:gutter="0" w:footer="0" w:header="0"/>
        </w:sectPr>
      </w:pPr>
    </w:p>
    <w:bookmarkStart w:id="251" w:name="page252"/>
    <w:bookmarkEnd w:id="25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is terminated prior to payment for and delivery of the Shares,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28987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8775" cy="88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 signing as custodian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19"/>
          </w:cols>
          <w:pgMar w:left="240" w:top="517" w:right="1440" w:bottom="1440" w:gutter="0" w:footer="0" w:header="0"/>
        </w:sectPr>
      </w:pPr>
    </w:p>
    <w:bookmarkStart w:id="253" w:name="page254"/>
    <w:bookmarkEnd w:id="25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letter agreement to which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is attached and of which it is made a part:</w:t>
      </w:r>
    </w:p>
    <w:p>
      <w:pPr>
        <w:spacing w:after="0" w:line="127"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00" w:hanging="446"/>
        <w:spacing w:after="0" w:line="25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89" w:lineRule="exact"/>
        <w:rPr>
          <w:rFonts w:ascii="Arial" w:cs="Arial" w:eastAsia="Arial" w:hAnsi="Arial"/>
          <w:sz w:val="18"/>
          <w:szCs w:val="18"/>
          <w:color w:val="auto"/>
        </w:rPr>
      </w:pPr>
    </w:p>
    <w:p>
      <w:pPr>
        <w:ind w:left="900" w:right="160" w:hanging="446"/>
        <w:spacing w:after="0" w:line="282"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180 days after the date of the Prospectus (as defined in the Underwriting Agreement).</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00" w:right="180" w:hanging="446"/>
        <w:spacing w:after="0" w:line="347"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21" w:lineRule="exact"/>
        <w:rPr>
          <w:sz w:val="20"/>
          <w:szCs w:val="20"/>
          <w:color w:val="auto"/>
        </w:rPr>
      </w:pPr>
    </w:p>
    <w:p>
      <w:pPr>
        <w:ind w:left="1520" w:hanging="179"/>
        <w:spacing w:after="0"/>
        <w:tabs>
          <w:tab w:leader="none" w:pos="1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sell, offer to sell, contract to sell or lend,</w:t>
      </w:r>
    </w:p>
    <w:p>
      <w:pPr>
        <w:spacing w:after="0" w:line="117" w:lineRule="exact"/>
        <w:rPr>
          <w:rFonts w:ascii="Arial" w:cs="Arial" w:eastAsia="Arial" w:hAnsi="Arial"/>
          <w:sz w:val="18"/>
          <w:szCs w:val="18"/>
          <w:color w:val="auto"/>
        </w:rPr>
      </w:pPr>
    </w:p>
    <w:p>
      <w:pPr>
        <w:ind w:left="1560" w:hanging="183"/>
        <w:spacing w:after="0"/>
        <w:tabs>
          <w:tab w:leader="none" w:pos="15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effect any short sale or establish or increase a Put Equivalent Position or liquidate or decrease any Call Equivalent Position</w:t>
      </w:r>
    </w:p>
    <w:p>
      <w:pPr>
        <w:spacing w:after="0" w:line="128" w:lineRule="exact"/>
        <w:rPr>
          <w:rFonts w:ascii="Arial" w:cs="Arial" w:eastAsia="Arial" w:hAnsi="Arial"/>
          <w:sz w:val="17"/>
          <w:szCs w:val="17"/>
          <w:color w:val="auto"/>
        </w:rPr>
      </w:pPr>
    </w:p>
    <w:p>
      <w:pPr>
        <w:ind w:left="1520" w:hanging="179"/>
        <w:spacing w:after="0"/>
        <w:tabs>
          <w:tab w:leader="none" w:pos="1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pledge, hypothecate or grant any security interest in, or</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in any other way transfer or dispose of,</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00" w:right="120" w:hanging="446"/>
        <w:spacing w:after="0" w:line="313"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Capitalized terms not defined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shall have the meanings given to them in the body of this lock-up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80"/>
          </w:cols>
          <w:pgMar w:left="240" w:top="270" w:right="37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Directors, Officers and Others</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Signing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236220</wp:posOffset>
            </wp:positionV>
            <wp:extent cx="15176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be added]</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20"/>
          </w:cols>
          <w:pgMar w:left="1440" w:top="270"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 General Corporation Law of the State of Delaware)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Medpace Holdings, Inc., a corporation organized and existing under the laws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as follows:</w:t>
      </w:r>
    </w:p>
    <w:p>
      <w:pPr>
        <w:spacing w:after="0" w:line="248" w:lineRule="exact"/>
        <w:rPr>
          <w:sz w:val="20"/>
          <w:szCs w:val="20"/>
          <w:color w:val="auto"/>
        </w:rPr>
      </w:pPr>
    </w:p>
    <w:p>
      <w:pPr>
        <w:ind w:right="20" w:firstLine="921"/>
        <w:spacing w:after="0" w:line="279" w:lineRule="auto"/>
        <w:tabs>
          <w:tab w:leader="none" w:pos="116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present name of the corporation is Medpace Holdings, Inc. The corporation was incorporated under the name “Camargo Holdings, Inc.” by the filing of its original certificate of incorporation with the Secretary of State of the State of Delaware on February 18, 2014, which was subsequently amended by that (i) certain certificate of amendment, dated as of February 19, 2014, (ii) certain certificate of amendment, dated as of March 27, 2014 and (iii) certain certificate of amendment, dated as of May 29, 2014 (as amended,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921"/>
        <w:spacing w:after="0" w:line="264" w:lineRule="auto"/>
        <w:tabs>
          <w:tab w:leader="none" w:pos="11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of the Corporation (this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which restates and integrates and also further amends the provisions of the Certificate of Incorporation, was duly adopted in accordance with the provisions of Sections 242 and 245 of the General Corporation Law of the State of Delaware.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Certificate of Incorporation is hereby amended, integrated and restated to read in its entirety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 is: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address of the registered office of the Corporation in the State of Delaware is Corporation Trust Center, 1209 Orange Street, Wilmington, New Castle County, Delaware 19801. The name of the registered agent of the Corporation in the State of Delaware at such address is The Corporation Trust Company.</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The nature of the business of the Corporation and the objects or purposes to be transacted, promoted or carried on by it are as follows: To engage in any lawful act or activity for which corporations may be organized and incorporated under the General Corporation Law of the State of Delaware (the “</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or any applicable successor act thereto, as the same may be amended from time to time.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total number of shares of all classes of capital stock that the Corporation is authorized to issue is 255,000,000 shares. The Corporation is authorized to issue two classes of shares, designated “</w:t>
      </w:r>
      <w:r>
        <w:rPr>
          <w:rFonts w:ascii="Arial" w:cs="Arial" w:eastAsia="Arial" w:hAnsi="Arial"/>
          <w:sz w:val="18"/>
          <w:szCs w:val="18"/>
          <w:u w:val="single" w:color="auto"/>
          <w:color w:val="auto"/>
        </w:rPr>
        <w:t>Common Stock</w:t>
      </w:r>
      <w:r>
        <w:rPr>
          <w:rFonts w:ascii="Arial" w:cs="Arial" w:eastAsia="Arial" w:hAnsi="Arial"/>
          <w:sz w:val="18"/>
          <w:szCs w:val="18"/>
          <w:color w:val="auto"/>
        </w:rPr>
        <w:t>” and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total number of shares of Common Stock authorized to be issued is 250,000,000 shares, $0.01 par value per share. The total number of shares of Preferred Stock authorized to be issued is 5,000,000 shares, $0.01 par value per share.</w:t>
      </w:r>
    </w:p>
    <w:p>
      <w:pPr>
        <w:sectPr>
          <w:pgSz w:w="11900" w:h="16838" w:orient="portrait"/>
          <w:cols w:equalWidth="0" w:num="1">
            <w:col w:w="11420"/>
          </w:cols>
          <w:pgMar w:left="240" w:top="121" w:right="239" w:bottom="1440" w:gutter="0" w:footer="0" w:header="0"/>
        </w:sectPr>
      </w:pPr>
    </w:p>
    <w:bookmarkStart w:id="256" w:name="page257"/>
    <w:bookmarkEnd w:id="256"/>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040" w:hanging="179"/>
        <w:spacing w:after="0"/>
        <w:tabs>
          <w:tab w:leader="none" w:pos="10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20" w:firstLine="1492"/>
        <w:spacing w:after="0" w:line="342" w:lineRule="auto"/>
        <w:tabs>
          <w:tab w:leader="none" w:pos="16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Each holder of Common Stock entitled to vote at any meeting of stockholders of the Corporation shall be entitled to one vote, in person or by proxy, for each share of Common Stock held by such holder on the applicable record date which has voting power upon the matter in question.</w:t>
      </w:r>
    </w:p>
    <w:p>
      <w:pPr>
        <w:spacing w:after="0" w:line="123" w:lineRule="exact"/>
        <w:rPr>
          <w:rFonts w:ascii="Arial" w:cs="Arial" w:eastAsia="Arial" w:hAnsi="Arial"/>
          <w:sz w:val="16"/>
          <w:szCs w:val="16"/>
          <w:color w:val="auto"/>
        </w:rPr>
      </w:pPr>
    </w:p>
    <w:p>
      <w:pPr>
        <w:ind w:left="-60" w:right="40" w:firstLine="1492"/>
        <w:spacing w:after="0" w:line="276" w:lineRule="auto"/>
        <w:tabs>
          <w:tab w:leader="none" w:pos="1678" w:val="left"/>
        </w:tabs>
        <w:numPr>
          <w:ilvl w:val="1"/>
          <w:numId w:val="146"/>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Stock, the number of authorized shares of the Common Stock or Preferred Stock may be increased or decreased (but not below the number of shares thereof then outstanding) by the affirmative vote of the holders of a majority in voting power of all of the outstanding shares of capital stock of the Corporation entitled to vote thereon, without a separate vote of any holders of the Common Stock or Preferred Stock, or of any series thereof, unless a separate vote of any such holders is required pursuant to the terms of any Preferred Stock Designation (as defined below) irrespective of the provisions of Section 242(b)(2) of the General Corporation Law.</w:t>
      </w:r>
    </w:p>
    <w:p>
      <w:pPr>
        <w:spacing w:after="0" w:line="172" w:lineRule="exact"/>
        <w:rPr>
          <w:rFonts w:ascii="Arial" w:cs="Arial" w:eastAsia="Arial" w:hAnsi="Arial"/>
          <w:sz w:val="17"/>
          <w:szCs w:val="17"/>
          <w:color w:val="auto"/>
        </w:rPr>
      </w:pPr>
    </w:p>
    <w:p>
      <w:pPr>
        <w:ind w:left="-60" w:firstLine="1492"/>
        <w:spacing w:after="0" w:line="255" w:lineRule="auto"/>
        <w:tabs>
          <w:tab w:leader="none" w:pos="16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Except as otherwise required by law, holders of Common Stock, as such, shall not be entitled to vote on any amendment to this Amended and Restated Certificate of Incorporation (this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or to a Preferred Stock Designation that alters or changes the powers, preferences, rights or other terms of one or more outstanding series of Preferred Stock if the holders of such affected series are entitled, either separately or together with the holders of one or more other series of Preferred Stock, to vote thereon as a separate class pursuant to this Amended and Restated Certificate of Incorporation or a Preferred Stock Designation or pursuant to the General Corporation Law as currently in effect or as the same may hereafter be amended.</w:t>
      </w:r>
    </w:p>
    <w:p>
      <w:pPr>
        <w:spacing w:after="0" w:line="193" w:lineRule="exact"/>
        <w:rPr>
          <w:rFonts w:ascii="Arial" w:cs="Arial" w:eastAsia="Arial" w:hAnsi="Arial"/>
          <w:sz w:val="18"/>
          <w:szCs w:val="18"/>
          <w:color w:val="auto"/>
        </w:rPr>
      </w:pPr>
    </w:p>
    <w:p>
      <w:pPr>
        <w:ind w:left="-60" w:right="40" w:firstLine="921"/>
        <w:spacing w:after="0" w:line="259" w:lineRule="auto"/>
        <w:tabs>
          <w:tab w:leader="none" w:pos="103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rights, if any, of the holders of any outstanding series of Preferred Stock, the holders of shares of Common Stock shall be entitled to receive such dividends and other distributions in cash, property or shares of capital stock of the Corporation as, if and when declared thereon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from time to time out of assets or funds of the Corporation legally available therefor.</w:t>
      </w:r>
    </w:p>
    <w:p>
      <w:pPr>
        <w:spacing w:after="0" w:line="186" w:lineRule="exact"/>
        <w:rPr>
          <w:rFonts w:ascii="Arial" w:cs="Arial" w:eastAsia="Arial" w:hAnsi="Arial"/>
          <w:sz w:val="18"/>
          <w:szCs w:val="18"/>
          <w:color w:val="auto"/>
        </w:rPr>
      </w:pPr>
    </w:p>
    <w:p>
      <w:pPr>
        <w:ind w:left="-60" w:right="20" w:firstLine="921"/>
        <w:spacing w:after="0" w:line="272" w:lineRule="auto"/>
        <w:tabs>
          <w:tab w:leader="none" w:pos="103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Subject to applicable law and the rights, if any, of the holders of any class or series of Preferred Stock, in the event of any voluntary or involuntary dissolution, liquidation or winding up of the affairs of the Corporation after payment or provision for payment of the debts and other liabilities of the Corporation and after making provision for the holders of any series of Preferred Stock entitled thereto, the remaining assets and funds of the Corporation available for distribution, if any, shall be divided among and paid ratably to the holders of the shares of Common Stock in proportion to the number of shares of Common Stock held by each such Common Stock holder. A consolidation, reorganization or merger of the Corporation with any other person or persons, or a sale of all or substantially all of the assets of the Corporation, shall not be considered to be a dissolution, liquidation, or winding up of the Corporation within the meaning of this Article FOURTH, Section A.3.</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4" w:right="299" w:bottom="1440" w:gutter="0" w:footer="0" w:header="0"/>
        </w:sectPr>
      </w:pPr>
    </w:p>
    <w:bookmarkStart w:id="257" w:name="page258"/>
    <w:bookmarkEnd w:id="257"/>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7"/>
          <w:szCs w:val="17"/>
          <w:u w:val="single" w:color="auto"/>
          <w:color w:val="auto"/>
        </w:rPr>
        <w:t>Preferred Stock</w:t>
      </w:r>
      <w:r>
        <w:rPr>
          <w:rFonts w:ascii="Arial" w:cs="Arial" w:eastAsia="Arial" w:hAnsi="Arial"/>
          <w:sz w:val="17"/>
          <w:szCs w:val="17"/>
          <w:color w:val="auto"/>
        </w:rPr>
        <w:t>. Shares of Preferred Stock may be issued from time to time in one or more series. The Board of Directors is hereby authorized to provide, by resolution or resolutions from time to time, for the issuance, out of the unissued shares of Preferred Stock, of one or more series of Preferred Stock, without approval of the stockholders of the Corporation, by filing a certificate pursuant to the applicable law of the State of Delaware (the “</w:t>
      </w:r>
      <w:r>
        <w:rPr>
          <w:rFonts w:ascii="Arial" w:cs="Arial" w:eastAsia="Arial" w:hAnsi="Arial"/>
          <w:sz w:val="17"/>
          <w:szCs w:val="17"/>
          <w:u w:val="single" w:color="auto"/>
          <w:color w:val="auto"/>
        </w:rPr>
        <w:t>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Designation</w:t>
      </w:r>
      <w:r>
        <w:rPr>
          <w:rFonts w:ascii="Arial" w:cs="Arial" w:eastAsia="Arial" w:hAnsi="Arial"/>
          <w:sz w:val="17"/>
          <w:szCs w:val="17"/>
          <w:color w:val="auto"/>
        </w:rPr>
        <w:t>”), setting forth such resolution and, with respect to each such series, establishing the number of shares to be included in such series, and fixing the voting powers, full or limited, or no voting power of the shares of such series, and the designations, preferences and relative, participating, optional or other special rights, if any, of the shares of each such series and any qualifications, limitations or restrictions thereof. The powers, designations, preferences and relative, participating, optional and other special rights, if any, of each series of Preferred Stock and the qualifications, limitations and restrictions thereof may differ from those of any and all other series at any time outstanding. The authority of the Board of Directors with respect to each series of Preferred Stock shall include, but not be limited to, the determination of the following:</w:t>
      </w:r>
    </w:p>
    <w:p>
      <w:pPr>
        <w:spacing w:after="0" w:line="182" w:lineRule="exact"/>
        <w:rPr>
          <w:sz w:val="20"/>
          <w:szCs w:val="20"/>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ind w:right="420" w:firstLine="1492"/>
        <w:spacing w:after="0" w:line="277" w:lineRule="auto"/>
        <w:tabs>
          <w:tab w:leader="none" w:pos="17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70" w:lineRule="exact"/>
        <w:rPr>
          <w:rFonts w:ascii="Arial" w:cs="Arial" w:eastAsia="Arial" w:hAnsi="Arial"/>
          <w:sz w:val="18"/>
          <w:szCs w:val="18"/>
          <w:color w:val="auto"/>
        </w:rPr>
      </w:pPr>
    </w:p>
    <w:p>
      <w:pPr>
        <w:ind w:right="80" w:firstLine="1492"/>
        <w:spacing w:after="0" w:line="277" w:lineRule="auto"/>
        <w:tabs>
          <w:tab w:leader="none" w:pos="17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dates on which dividends, if any, shall be payable;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1720" w:hanging="228"/>
        <w:spacing w:after="0"/>
        <w:tabs>
          <w:tab w:leader="none" w:pos="1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terms and amount of any sinking fund, if any, provided for the purchase or redemption of shares of the series;</w:t>
      </w:r>
    </w:p>
    <w:p>
      <w:pPr>
        <w:spacing w:after="0" w:line="225" w:lineRule="exact"/>
        <w:rPr>
          <w:rFonts w:ascii="Arial" w:cs="Arial" w:eastAsia="Arial" w:hAnsi="Arial"/>
          <w:sz w:val="18"/>
          <w:szCs w:val="18"/>
          <w:color w:val="auto"/>
        </w:rPr>
      </w:pPr>
    </w:p>
    <w:p>
      <w:pPr>
        <w:ind w:right="260" w:firstLine="1492"/>
        <w:spacing w:after="0" w:line="277" w:lineRule="auto"/>
        <w:tabs>
          <w:tab w:leader="none" w:pos="17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ind w:right="40" w:firstLine="1492"/>
        <w:spacing w:after="0" w:line="259" w:lineRule="auto"/>
        <w:tabs>
          <w:tab w:leader="none" w:pos="17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58" w:name="page259"/>
    <w:bookmarkEnd w:id="258"/>
    <w:p>
      <w:pPr>
        <w:ind w:left="1700" w:hanging="208"/>
        <w:spacing w:after="0"/>
        <w:tabs>
          <w:tab w:leader="none" w:pos="1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the issuance of shares of the same series or any other class or series;</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225" w:lineRule="exact"/>
        <w:rPr>
          <w:rFonts w:ascii="Arial" w:cs="Arial" w:eastAsia="Arial" w:hAnsi="Arial"/>
          <w:sz w:val="18"/>
          <w:szCs w:val="18"/>
          <w:color w:val="auto"/>
        </w:rPr>
      </w:pPr>
    </w:p>
    <w:p>
      <w:pPr>
        <w:ind w:right="300" w:firstLine="1492"/>
        <w:spacing w:after="0" w:line="277" w:lineRule="auto"/>
        <w:tabs>
          <w:tab w:leader="none" w:pos="17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of each series of Preferred Stock, and any qualifications, limitations or restrictions of such shares,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of which as may be determined from time to time by the Board of Directors and stated in the resolution or resolutions providing for the issuance of such Preferred Stock. Without limiting the generality of the foregoing, the resolutions providing for the issuance of any series of Preferred Stock may provide that such series shall be superior, rank equally or be junior to any other series of Preferred Stock to the extent permitted by law. Any shares of Preferred Stock which may be redeemed, purchased or acquired by the Corporation may be reissued except as otherwise provided by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This Article FIFTH is inserted for the management of the business and for the conduct of the affairs of the Corporation.</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 except as otherwise provided by law.</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Number</w:t>
      </w:r>
      <w:r>
        <w:rPr>
          <w:rFonts w:ascii="Arial" w:cs="Arial" w:eastAsia="Arial" w:hAnsi="Arial"/>
          <w:sz w:val="18"/>
          <w:szCs w:val="18"/>
          <w:color w:val="auto"/>
        </w:rPr>
        <w:t>. Except as otherwise provided for or fixed pursuant to the provisions of Article FOURTH of this Amended and Restated Certificate of Incorporation relating to the rights of the holders of any series of Preferred Stock to elect additional directors, the total number of directors (each a “</w:t>
      </w:r>
      <w:r>
        <w:rPr>
          <w:rFonts w:ascii="Arial" w:cs="Arial" w:eastAsia="Arial" w:hAnsi="Arial"/>
          <w:sz w:val="18"/>
          <w:szCs w:val="18"/>
          <w:u w:val="single" w:color="auto"/>
          <w:color w:val="auto"/>
        </w:rPr>
        <w:t>Director</w:t>
      </w:r>
      <w:r>
        <w:rPr>
          <w:rFonts w:ascii="Arial" w:cs="Arial" w:eastAsia="Arial" w:hAnsi="Arial"/>
          <w:sz w:val="18"/>
          <w:szCs w:val="18"/>
          <w:color w:val="auto"/>
        </w:rPr>
        <w:t>”) constituting the entire Board of Directors shall be fixed from time to time solely by resolution adopted by a majority of the total number of authorized Directors. The initial number of Directors shall be six (6), which may be subsequently modified in accordance with this Amended and Restated Certificate of Incorporation.</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Classification</w:t>
      </w:r>
      <w:r>
        <w:rPr>
          <w:rFonts w:ascii="Arial" w:cs="Arial" w:eastAsia="Arial" w:hAnsi="Arial"/>
          <w:sz w:val="17"/>
          <w:szCs w:val="17"/>
          <w:color w:val="auto"/>
        </w:rPr>
        <w:t>. The Board of Directors (other than those Directors elected by the holders of any series of Preferred Stock provided for or fixed pursuant to the provisions of Article FOURTH of this Amended and Restated Certificate of Incorporation (the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shall be divided into three classes, as nearly equal in number as possible, designated Class I, Class II and Class III. Class I Directors shall initially serve until the first annual meeting of stockholders following the original effectiveness of this Amended and Restated Certificate of Incorporation; Class II Directors shall initially serve until the second annual meeting of stockholders following the original effectiveness of this Amended and Restated Certificate of Incorporation; and Class III Directors shall initially serve until the third annual meeting of stockholders following the original effectiveness of this Amended and Restated Certificate of Incorporation. Commencing with the first annual meeting of stockholders following the original effectiveness of this Amended and Restated Certificate of Incorporation, Directors of each class the term of which shall then expire shall be elected to hold office for 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9" w:name="page260"/>
    <w:bookmarkEnd w:id="25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 The Board of Directors is authorized to assign members of the Board of Directors already in office as of the date hereof to Class I, Class II or Class III such that such Directors shall be divided into such three classes as nearly equal in number as possible.</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Except as otherwise required by law and subject to the rights of the holders of any series of Preferred Stock then outstanding, unless the Board of Directors otherwise determines newly created directorships resulting from any increase in the authorized number of Directors or any vacancies on the Board of Directors resulting from death, resignation, retirement, disqualification, removal from office or other cause shall be filled solely by the affirmative vote of a majority of the remaining Directors then in office and entitled to vote thereon, even though less than a quorum or by a sole remaining Director entitled to vote thereon, and not by the stockholders of the Corporation. Any Director so chosen shall hold office until the next election of the class for which such Director shall have been chosen and until his successor shall be elected and qualified. Any such Directors shall be apportioned among Class I, Class II and Class III as nearly equal as possible. No decrease in the number of Directors shall shorten the term of any incumbent Director.</w:t>
      </w:r>
    </w:p>
    <w:p>
      <w:pPr>
        <w:spacing w:after="0" w:line="192" w:lineRule="exact"/>
        <w:rPr>
          <w:sz w:val="20"/>
          <w:szCs w:val="20"/>
          <w:color w:val="auto"/>
        </w:rPr>
      </w:pPr>
    </w:p>
    <w:p>
      <w:pPr>
        <w:ind w:right="80" w:firstLine="456"/>
        <w:spacing w:after="0" w:line="30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Except for such additional Directors, if any, as are elected by the holders of any series of Preferred Stock then outstanding as provided for or fixed pursuant to the provisions of Article FOURTH of this Amended and Restated Certificate of Incorporation, any Director, or the entire Board of Directors, may be removed from office at any time, but only for cause, at a meeting called for that purpose, and any such removal will require the affirmative vote of the stockholders of the Corporation representing at least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votes eligible to be cast in an election of Directors.</w:t>
      </w:r>
    </w:p>
    <w:p>
      <w:pPr>
        <w:spacing w:after="0" w:line="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Preferred Stock</w:t>
      </w:r>
      <w:r>
        <w:rPr>
          <w:rFonts w:ascii="Arial" w:cs="Arial" w:eastAsia="Arial" w:hAnsi="Arial"/>
          <w:sz w:val="16"/>
          <w:szCs w:val="16"/>
          <w:color w:val="auto"/>
        </w:rPr>
        <w:t>. During any period when the holders of any series of Preferred Stock have the right to elect additional Directors as provided for or fixed pursuant to the provisions of Article FOURTH of this Amended and Restated Certificate of Incorporation,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Stockholder Nominations and Introduction of Business</w:t>
      </w:r>
      <w:r>
        <w:rPr>
          <w:rFonts w:ascii="Arial" w:cs="Arial" w:eastAsia="Arial" w:hAnsi="Arial"/>
          <w:sz w:val="18"/>
          <w:szCs w:val="18"/>
          <w:color w:val="auto"/>
        </w:rPr>
        <w:t>. Advance notice of stockholder nominations for election of Directors and other business to be brought by stockholders of the Corporation before a meeting of stockholders of the Corporation shall be given in the manner provided by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60" w:name="page261"/>
    <w:bookmarkEnd w:id="260"/>
    <w:p>
      <w:pPr>
        <w:ind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SIXTH</w:t>
      </w:r>
      <w:r>
        <w:rPr>
          <w:rFonts w:ascii="Arial" w:cs="Arial" w:eastAsia="Arial" w:hAnsi="Arial"/>
          <w:sz w:val="18"/>
          <w:szCs w:val="18"/>
          <w:color w:val="auto"/>
        </w:rPr>
        <w:t>: In furtherance and not in limitation of the power conferred by statute, the Board of Directors is expressly authorized to make, alter or repeal the Bylaws subject to any limitations contained therein.</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No Director shall be liable to the Corporation or its stockholders for monetary damages for breach of fiduciary duty as a Director, except to the extent such exemption from liability or limitation thereof is not permitted under the General Corporation Law as the same exists or may hereafter be amended. Furthermore, the Corporation shall indemnify and hold harmless, to the fullest extent permitted by the General Corporation Law the Directors and officers of the Corporation (each an “</w:t>
      </w:r>
      <w:r>
        <w:rPr>
          <w:rFonts w:ascii="Arial" w:cs="Arial" w:eastAsia="Arial" w:hAnsi="Arial"/>
          <w:sz w:val="17"/>
          <w:szCs w:val="17"/>
          <w:u w:val="single" w:color="auto"/>
          <w:color w:val="auto"/>
        </w:rPr>
        <w:t>Officer</w:t>
      </w:r>
      <w:r>
        <w:rPr>
          <w:rFonts w:ascii="Arial" w:cs="Arial" w:eastAsia="Arial" w:hAnsi="Arial"/>
          <w:sz w:val="17"/>
          <w:szCs w:val="17"/>
          <w:color w:val="auto"/>
        </w:rPr>
        <w:t>”) if any such person was or is made or is threatened to be made a party or is otherwise involved in any action, suit or proceeding, whether civil, criminal, administrative or investigative by reason of the fact that he or she is or was a Director or Officer or, while a Director or Officer, is or was serving at the request of the Corporation as a director, officer, employee or agent of another corporation or of a partnership, limited liability company, joint venture, trust, enterprise or nonprofit entity. Any amendment, modification or repeal of either (or both) of the two preceding sentences shall not adversely affect any right or protection of a Director or Officer hereunder in respect of any act or omission occurring prior to the time of such amendment, modification or repeal.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Unless and except to the extent that the Bylaws shall so require, the election of Directors need not be by written ballot.</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xml:space="preserve">: The Corporation reserves the right at any time and from time to time to amend, alter, change or repeal any provisions contained in this Amended and Restated Certificate of Incorporation and other provisions authorized by the laws of the State of Delaware at the time in force may be added or inserted, in the manner now or hereafter prescribed by the General Corporation Law. An affirmative vote of the stockholders of the Corporation representing at least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votes eligible to be cast in an election of Directors will be required to amend or repeal or to adopt any provision inconsistent with any of the provisions of Articles FOURTH, FIFTH, NINTH, TENTH, ELEVENTH and TWELFTH of this Amended and Restated Certificate of Incorporation. All rights conferred upon stockholders, directors or any other person herein are granted subject to this reservation.</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Except as otherwise provided for or fixed pursuant to the provisions of Article FOURTH of this Amended and Restated Certificate of Incorporation relating to the rights of holders of any series of Preferred Stock or as otherwise previously approved by the affirmative vote of Directors constituting a majority of the Board of Directors, no action that is required or permitted to be taken by the stockholders of the Corporation at any annual or special meeting of stockholders of the Corporation may be effected by written consent of stockholders of the Corporation in lieu of a meeting of stockholders of the Corporation. Furthermore, stockholders of the Corporation at an annual meeting may only consider proposals or nominations specified in the notice of the annual meeting or brought before the annual meeting by or at the direction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61" w:name="page262"/>
    <w:bookmarkEnd w:id="261"/>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or by a qualified stockholder of the Corporation who is of record on the record date for the annual meeting, who is entitled to vote at the annual meeting, who has delivered timely written notice in proper form to the secretary of the Corporation of such qualified stockholder’s intention to bring such business before the annual meeting in accordance with the Bylaws and who otherwise meet the requirements set forth in the Bylaws.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 To the fullest extent permitted by law, special meetings of stockholders of the Corporation for any purpose or purposes may be called at any time only by a resolution adopted by the affirmative vote of the majority of the Directors then in office and may not be called by any other person or persons.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TWELFTH</w:t>
      </w:r>
      <w:r>
        <w:rPr>
          <w:rFonts w:ascii="Arial" w:cs="Arial" w:eastAsia="Arial" w:hAnsi="Arial"/>
          <w:sz w:val="16"/>
          <w:szCs w:val="16"/>
          <w:color w:val="auto"/>
        </w:rPr>
        <w:t>: 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(2) any action asserting a claim of breach of a fiduciary duty owed by any Director, Officer or other employee of the Corporation to the Corporation or the Corporation’s stockholders, (3) any action asserting a claim arising pursuant to any provision of the General Corporation Law, this Amended and Restated Certificate of Incorporation or the Bylaws or as to which the General Corporation Law confers jurisdiction on the Court of Chancery of the State of Delaware, or (4) any action asserting a claim against the Corporation governed by the internal affairs doctrine. Any person or entity purchasing or otherwise acquiring or holding any interest in shares of capital stock of the Corporation shall be deemed to have notice of and consented to the provisions of this Article TWELFTH.</w:t>
      </w:r>
    </w:p>
    <w:p>
      <w:pPr>
        <w:spacing w:after="0" w:line="16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u w:val="single" w:color="auto"/>
          <w:color w:val="auto"/>
        </w:rPr>
        <w:t>THIRTEENTH</w:t>
      </w:r>
      <w:r>
        <w:rPr>
          <w:rFonts w:ascii="Arial" w:cs="Arial" w:eastAsia="Arial" w:hAnsi="Arial"/>
          <w:sz w:val="16"/>
          <w:szCs w:val="16"/>
          <w:color w:val="auto"/>
        </w:rPr>
        <w:t>: To the fullest extent permitted by law, each of Cinven Capital Management (V) General Partner Limited, a Guernsey limited company (“</w:t>
      </w:r>
      <w:r>
        <w:rPr>
          <w:rFonts w:ascii="Arial" w:cs="Arial" w:eastAsia="Arial" w:hAnsi="Arial"/>
          <w:sz w:val="16"/>
          <w:szCs w:val="16"/>
          <w:u w:val="single" w:color="auto"/>
          <w:color w:val="auto"/>
        </w:rPr>
        <w:t>Cinven</w:t>
      </w:r>
      <w:r>
        <w:rPr>
          <w:rFonts w:ascii="Arial" w:cs="Arial" w:eastAsia="Arial" w:hAnsi="Arial"/>
          <w:sz w:val="16"/>
          <w:szCs w:val="16"/>
          <w:color w:val="auto"/>
        </w:rPr>
        <w:t>”), or any of its direct or indirect affiliates or any Director who is not employed by the Corporation (including any Director who is not an employee of the Corporation but who serves as an Officer, in both his or her Director and Officer capacities) or his or her or its affiliates has no duty to refrain from (i) engaging in a corporate opportunity in the same or similar lines of business in which the Corporation or any of its affiliates engage or propose to engage or</w:t>
      </w:r>
    </w:p>
    <w:p>
      <w:pPr>
        <w:spacing w:after="0" w:line="2" w:lineRule="exact"/>
        <w:rPr>
          <w:sz w:val="20"/>
          <w:szCs w:val="20"/>
          <w:color w:val="auto"/>
        </w:rPr>
      </w:pPr>
    </w:p>
    <w:p>
      <w:pPr>
        <w:ind w:right="40" w:firstLine="8"/>
        <w:spacing w:after="0" w:line="251" w:lineRule="auto"/>
        <w:tabs>
          <w:tab w:leader="none" w:pos="26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otherwise competing with the Corporation or any of its affiliates. In addition, to the fullest extent permitted by law, in the event that Cinven or any Director that is not an employee of the Corporation acquires knowledge of a potential transaction or other business opportunity which may be a corporate opportunity for itself or himself or herself or its or his or her affiliates or for the Corporation or its affiliates, such person or entity will have no duty to communicate or offer such transaction or business opportunity to the Corporation or any of its affiliates and such person or entity may take any such opportunity for himself or herself or itself, or offer it to another person or entity. To the fullest extent permitted under Section 122(17) of the General Corporation Law, the Corporation renounces any interest or expectancy of the Corporation in, or in being offered an opportunity to participate in, potential corporate or business opportunities that are from time to time presented to (1) Cinven or any of its direct or indirect affiliates or (2) one or more of the Directors or stockholders who are not employed by the Corporation (including, any Director who is not an employee of the Corporation but who serves as an Officer, in both his or her Director and Officer capacities) or his or her affiliates. Additionally, to the fullest extent permitted by law, no corporate or business opportunity will be deemed to be a potential corporate or business opportunity for the Corporation unless (i) the Corporation would be permitted to undertake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62" w:name="page263"/>
    <w:bookmarkEnd w:id="26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opportunity under this Amended and Restated Certificate of Incorporation, (ii) at the time that the Corporation receives notice of such opportunity, the Corporation has sufficient financial resources to undertake such opportunity and (iii) such opportunity is in line and consistent with the business activities conducted by the Corporation at the time that the Corporation receives notice of such opportunity.</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240" w:top="274" w:right="579" w:bottom="1440" w:gutter="0" w:footer="0" w:header="0"/>
        </w:sectPr>
      </w:pPr>
    </w:p>
    <w:bookmarkStart w:id="263" w:name="page264"/>
    <w:bookmarkEnd w:id="26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has caused this Amended and Restated Certificate of Incorporation to be executed by the undersigned duly authorized officer this [ ● ]th day of [ ● ],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MEDPACE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248920</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MEDPACE HOLDINGS, INC.</w:t>
      </w:r>
    </w:p>
    <w:p>
      <w:pPr>
        <w:spacing w:after="0" w:line="22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as of [ ●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194945</wp:posOffset>
            </wp:positionV>
            <wp:extent cx="724662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6880" w:type="dxa"/>
            <w:vAlign w:val="bottom"/>
          </w:tcPr>
          <w:p>
            <w:pPr>
              <w:ind w:left="3480"/>
              <w:spacing w:after="0"/>
              <w:rPr>
                <w:sz w:val="20"/>
                <w:szCs w:val="20"/>
                <w:color w:val="auto"/>
              </w:rPr>
            </w:pPr>
            <w:r>
              <w:rPr>
                <w:rFonts w:ascii="Arial" w:cs="Arial" w:eastAsia="Arial" w:hAnsi="Arial"/>
                <w:sz w:val="18"/>
                <w:szCs w:val="18"/>
                <w:b w:val="1"/>
                <w:bCs w:val="1"/>
                <w:color w:val="auto"/>
              </w:rPr>
              <w:t>CONTENTS</w:t>
            </w:r>
          </w:p>
        </w:tc>
        <w:tc>
          <w:tcPr>
            <w:tcW w:w="2700" w:type="dxa"/>
            <w:vAlign w:val="bottom"/>
          </w:tcPr>
          <w:p>
            <w:pPr>
              <w:spacing w:after="0"/>
              <w:rPr>
                <w:sz w:val="20"/>
                <w:szCs w:val="20"/>
                <w:color w:val="auto"/>
              </w:rPr>
            </w:pPr>
          </w:p>
        </w:tc>
      </w:tr>
      <w:tr>
        <w:trPr>
          <w:trHeight w:val="407"/>
        </w:trPr>
        <w:tc>
          <w:tcPr>
            <w:tcW w:w="17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620" w:type="dxa"/>
            <w:vAlign w:val="bottom"/>
            <w:gridSpan w:val="2"/>
          </w:tcPr>
          <w:p>
            <w:pPr>
              <w:spacing w:after="0"/>
              <w:rPr>
                <w:sz w:val="20"/>
                <w:szCs w:val="20"/>
                <w:color w:val="auto"/>
              </w:rPr>
            </w:pPr>
            <w:r>
              <w:rPr>
                <w:rFonts w:ascii="Arial" w:cs="Arial" w:eastAsia="Arial" w:hAnsi="Arial"/>
                <w:sz w:val="18"/>
                <w:szCs w:val="18"/>
                <w:color w:val="auto"/>
              </w:rPr>
              <w:t>Article I. Meetings of Stockholders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1.01   Place of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1.02</w:t>
            </w:r>
          </w:p>
        </w:tc>
        <w:tc>
          <w:tcPr>
            <w:tcW w:w="6880" w:type="dxa"/>
            <w:vAlign w:val="bottom"/>
          </w:tcPr>
          <w:p>
            <w:pPr>
              <w:ind w:left="40"/>
              <w:spacing w:after="0"/>
              <w:rPr>
                <w:sz w:val="20"/>
                <w:szCs w:val="20"/>
                <w:color w:val="auto"/>
              </w:rPr>
            </w:pPr>
            <w:r>
              <w:rPr>
                <w:rFonts w:ascii="Arial" w:cs="Arial" w:eastAsia="Arial" w:hAnsi="Arial"/>
                <w:sz w:val="18"/>
                <w:szCs w:val="18"/>
                <w:color w:val="auto"/>
              </w:rPr>
              <w:t>Annual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1.03</w:t>
            </w:r>
          </w:p>
        </w:tc>
        <w:tc>
          <w:tcPr>
            <w:tcW w:w="688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1.04   Notice of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1.05</w:t>
            </w:r>
          </w:p>
        </w:tc>
        <w:tc>
          <w:tcPr>
            <w:tcW w:w="6880" w:type="dxa"/>
            <w:vAlign w:val="bottom"/>
          </w:tcPr>
          <w:p>
            <w:pPr>
              <w:ind w:left="40"/>
              <w:spacing w:after="0"/>
              <w:rPr>
                <w:sz w:val="20"/>
                <w:szCs w:val="20"/>
                <w:color w:val="auto"/>
              </w:rPr>
            </w:pPr>
            <w:r>
              <w:rPr>
                <w:rFonts w:ascii="Arial" w:cs="Arial" w:eastAsia="Arial" w:hAnsi="Arial"/>
                <w:sz w:val="18"/>
                <w:szCs w:val="18"/>
                <w:color w:val="auto"/>
              </w:rPr>
              <w:t>Adjournments</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1.06</w:t>
            </w:r>
          </w:p>
        </w:tc>
        <w:tc>
          <w:tcPr>
            <w:tcW w:w="6880" w:type="dxa"/>
            <w:vAlign w:val="bottom"/>
          </w:tcPr>
          <w:p>
            <w:pPr>
              <w:ind w:left="40"/>
              <w:spacing w:after="0"/>
              <w:rPr>
                <w:sz w:val="20"/>
                <w:szCs w:val="20"/>
                <w:color w:val="auto"/>
              </w:rPr>
            </w:pPr>
            <w:r>
              <w:rPr>
                <w:rFonts w:ascii="Arial" w:cs="Arial" w:eastAsia="Arial" w:hAnsi="Arial"/>
                <w:sz w:val="18"/>
                <w:szCs w:val="18"/>
                <w:color w:val="auto"/>
              </w:rPr>
              <w:t>Quorum</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1.07</w:t>
            </w:r>
          </w:p>
        </w:tc>
        <w:tc>
          <w:tcPr>
            <w:tcW w:w="688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1.08</w:t>
            </w:r>
          </w:p>
        </w:tc>
        <w:tc>
          <w:tcPr>
            <w:tcW w:w="6880" w:type="dxa"/>
            <w:vAlign w:val="bottom"/>
          </w:tcPr>
          <w:p>
            <w:pPr>
              <w:ind w:left="40"/>
              <w:spacing w:after="0"/>
              <w:rPr>
                <w:sz w:val="20"/>
                <w:szCs w:val="20"/>
                <w:color w:val="auto"/>
              </w:rPr>
            </w:pPr>
            <w:r>
              <w:rPr>
                <w:rFonts w:ascii="Arial" w:cs="Arial" w:eastAsia="Arial" w:hAnsi="Arial"/>
                <w:sz w:val="18"/>
                <w:szCs w:val="18"/>
                <w:color w:val="auto"/>
              </w:rPr>
              <w:t>Voting; Proxies</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1.09   Fixing Date for Determination of Stockholders of Record</w:t>
            </w:r>
          </w:p>
        </w:tc>
        <w:tc>
          <w:tcPr>
            <w:tcW w:w="2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1.10   List of Stockholders Entitled to Vote</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1.11   Action by Written Consent of Stockholders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1.12   Inspectors of Election</w:t>
            </w: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1.13   Conduct of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1.14   Notice of Stockholder Business and Nominations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1.15   Submission of Questionnaire, Representation and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740" w:type="dxa"/>
            <w:vAlign w:val="bottom"/>
          </w:tcPr>
          <w:p>
            <w:pPr>
              <w:ind w:left="640"/>
              <w:spacing w:after="0"/>
              <w:rPr>
                <w:sz w:val="20"/>
                <w:szCs w:val="20"/>
                <w:color w:val="auto"/>
              </w:rPr>
            </w:pPr>
            <w:r>
              <w:rPr>
                <w:rFonts w:ascii="Arial" w:cs="Arial" w:eastAsia="Arial" w:hAnsi="Arial"/>
                <w:sz w:val="18"/>
                <w:szCs w:val="18"/>
                <w:color w:val="auto"/>
              </w:rPr>
              <w:t>Section 2.01</w:t>
            </w:r>
          </w:p>
        </w:tc>
        <w:tc>
          <w:tcPr>
            <w:tcW w:w="6880" w:type="dxa"/>
            <w:vAlign w:val="bottom"/>
          </w:tcPr>
          <w:p>
            <w:pPr>
              <w:ind w:left="40"/>
              <w:spacing w:after="0"/>
              <w:rPr>
                <w:sz w:val="20"/>
                <w:szCs w:val="20"/>
                <w:color w:val="auto"/>
              </w:rPr>
            </w:pPr>
            <w:r>
              <w:rPr>
                <w:rFonts w:ascii="Arial" w:cs="Arial" w:eastAsia="Arial" w:hAnsi="Arial"/>
                <w:sz w:val="18"/>
                <w:szCs w:val="18"/>
                <w:color w:val="auto"/>
              </w:rPr>
              <w:t>Number; Qualifications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2.02   Election; Resignation; Vacancies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2.03</w:t>
            </w:r>
          </w:p>
        </w:tc>
        <w:tc>
          <w:tcPr>
            <w:tcW w:w="688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2.04</w:t>
            </w:r>
          </w:p>
        </w:tc>
        <w:tc>
          <w:tcPr>
            <w:tcW w:w="688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2.05   Telephonic Meetings Permitted</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2.06   Quorum; Vote Required for Action</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2.07</w:t>
            </w:r>
          </w:p>
        </w:tc>
        <w:tc>
          <w:tcPr>
            <w:tcW w:w="688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2.08   Action by Unanimous Consent of Directors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2.09   Compensation of Directors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w w:val="97"/>
              </w:rPr>
              <w:t>Article III. Committees</w:t>
            </w:r>
          </w:p>
        </w:tc>
        <w:tc>
          <w:tcPr>
            <w:tcW w:w="68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740" w:type="dxa"/>
            <w:vAlign w:val="bottom"/>
          </w:tcPr>
          <w:p>
            <w:pPr>
              <w:ind w:left="640"/>
              <w:spacing w:after="0"/>
              <w:rPr>
                <w:sz w:val="20"/>
                <w:szCs w:val="20"/>
                <w:color w:val="auto"/>
              </w:rPr>
            </w:pPr>
            <w:r>
              <w:rPr>
                <w:rFonts w:ascii="Arial" w:cs="Arial" w:eastAsia="Arial" w:hAnsi="Arial"/>
                <w:sz w:val="18"/>
                <w:szCs w:val="18"/>
                <w:color w:val="auto"/>
              </w:rPr>
              <w:t>Section 3.01</w:t>
            </w:r>
          </w:p>
        </w:tc>
        <w:tc>
          <w:tcPr>
            <w:tcW w:w="688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740" w:type="dxa"/>
            <w:vAlign w:val="bottom"/>
          </w:tcPr>
          <w:p>
            <w:pPr>
              <w:ind w:left="640"/>
              <w:spacing w:after="0"/>
              <w:rPr>
                <w:sz w:val="20"/>
                <w:szCs w:val="20"/>
                <w:color w:val="auto"/>
              </w:rPr>
            </w:pPr>
            <w:r>
              <w:rPr>
                <w:rFonts w:ascii="Arial" w:cs="Arial" w:eastAsia="Arial" w:hAnsi="Arial"/>
                <w:sz w:val="18"/>
                <w:szCs w:val="18"/>
                <w:color w:val="auto"/>
              </w:rPr>
              <w:t>Section 3.02</w:t>
            </w:r>
          </w:p>
        </w:tc>
        <w:tc>
          <w:tcPr>
            <w:tcW w:w="6880" w:type="dxa"/>
            <w:vAlign w:val="bottom"/>
          </w:tcPr>
          <w:p>
            <w:pPr>
              <w:ind w:left="40"/>
              <w:spacing w:after="0"/>
              <w:rPr>
                <w:sz w:val="20"/>
                <w:szCs w:val="20"/>
                <w:color w:val="auto"/>
              </w:rPr>
            </w:pPr>
            <w:r>
              <w:rPr>
                <w:rFonts w:ascii="Arial" w:cs="Arial" w:eastAsia="Arial" w:hAnsi="Arial"/>
                <w:sz w:val="18"/>
                <w:szCs w:val="18"/>
                <w:color w:val="auto"/>
              </w:rPr>
              <w:t>Committee Rules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Article IV. Officers</w:t>
            </w:r>
          </w:p>
        </w:tc>
        <w:tc>
          <w:tcPr>
            <w:tcW w:w="68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740" w:type="dxa"/>
            <w:vAlign w:val="bottom"/>
          </w:tcPr>
          <w:p>
            <w:pPr>
              <w:ind w:left="640"/>
              <w:spacing w:after="0"/>
              <w:rPr>
                <w:sz w:val="20"/>
                <w:szCs w:val="20"/>
                <w:color w:val="auto"/>
              </w:rPr>
            </w:pPr>
            <w:r>
              <w:rPr>
                <w:rFonts w:ascii="Arial" w:cs="Arial" w:eastAsia="Arial" w:hAnsi="Arial"/>
                <w:sz w:val="18"/>
                <w:szCs w:val="18"/>
                <w:color w:val="auto"/>
              </w:rPr>
              <w:t>Section 4.01</w:t>
            </w:r>
          </w:p>
        </w:tc>
        <w:tc>
          <w:tcPr>
            <w:tcW w:w="6880" w:type="dxa"/>
            <w:vAlign w:val="bottom"/>
          </w:tcPr>
          <w:p>
            <w:pPr>
              <w:ind w:left="40"/>
              <w:spacing w:after="0"/>
              <w:rPr>
                <w:sz w:val="20"/>
                <w:szCs w:val="20"/>
                <w:color w:val="auto"/>
              </w:rPr>
            </w:pPr>
            <w:r>
              <w:rPr>
                <w:rFonts w:ascii="Arial" w:cs="Arial" w:eastAsia="Arial" w:hAnsi="Arial"/>
                <w:sz w:val="18"/>
                <w:szCs w:val="18"/>
                <w:color w:val="auto"/>
              </w:rPr>
              <w:t>Officers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4.02   Removal, Resignation and Vacancies</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4.03</w:t>
            </w:r>
          </w:p>
        </w:tc>
        <w:tc>
          <w:tcPr>
            <w:tcW w:w="6880" w:type="dxa"/>
            <w:vAlign w:val="bottom"/>
          </w:tcPr>
          <w:p>
            <w:pPr>
              <w:ind w:left="40"/>
              <w:spacing w:after="0"/>
              <w:rPr>
                <w:sz w:val="20"/>
                <w:szCs w:val="20"/>
                <w:color w:val="auto"/>
              </w:rPr>
            </w:pPr>
            <w:r>
              <w:rPr>
                <w:rFonts w:ascii="Arial" w:cs="Arial" w:eastAsia="Arial" w:hAnsi="Arial"/>
                <w:sz w:val="18"/>
                <w:szCs w:val="18"/>
                <w:color w:val="auto"/>
              </w:rPr>
              <w:t>Chairperson</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4.04   Chief Executive Officer</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gridSpan w:val="2"/>
          </w:tcPr>
          <w:p>
            <w:pPr>
              <w:ind w:left="640"/>
              <w:spacing w:after="0"/>
              <w:rPr>
                <w:sz w:val="20"/>
                <w:szCs w:val="20"/>
                <w:color w:val="auto"/>
              </w:rPr>
            </w:pPr>
            <w:r>
              <w:rPr>
                <w:rFonts w:ascii="Arial" w:cs="Arial" w:eastAsia="Arial" w:hAnsi="Arial"/>
                <w:sz w:val="18"/>
                <w:szCs w:val="18"/>
                <w:color w:val="auto"/>
              </w:rPr>
              <w:t>Section 4.05   Chief Financial Officer</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40" w:type="dxa"/>
            <w:vAlign w:val="bottom"/>
          </w:tcPr>
          <w:p>
            <w:pPr>
              <w:ind w:left="640"/>
              <w:spacing w:after="0"/>
              <w:rPr>
                <w:sz w:val="20"/>
                <w:szCs w:val="20"/>
                <w:color w:val="auto"/>
              </w:rPr>
            </w:pPr>
            <w:r>
              <w:rPr>
                <w:rFonts w:ascii="Arial" w:cs="Arial" w:eastAsia="Arial" w:hAnsi="Arial"/>
                <w:sz w:val="18"/>
                <w:szCs w:val="18"/>
                <w:color w:val="auto"/>
              </w:rPr>
              <w:t>Section 4.06</w:t>
            </w:r>
          </w:p>
        </w:tc>
        <w:tc>
          <w:tcPr>
            <w:tcW w:w="6880" w:type="dxa"/>
            <w:vAlign w:val="bottom"/>
          </w:tcPr>
          <w:p>
            <w:pPr>
              <w:ind w:left="40"/>
              <w:spacing w:after="0"/>
              <w:rPr>
                <w:sz w:val="20"/>
                <w:szCs w:val="20"/>
                <w:color w:val="auto"/>
              </w:rPr>
            </w:pPr>
            <w:r>
              <w:rPr>
                <w:rFonts w:ascii="Arial" w:cs="Arial" w:eastAsia="Arial" w:hAnsi="Arial"/>
                <w:sz w:val="18"/>
                <w:szCs w:val="18"/>
                <w:color w:val="auto"/>
              </w:rPr>
              <w:t>President</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40" w:type="dxa"/>
            <w:vAlign w:val="bottom"/>
          </w:tcPr>
          <w:p>
            <w:pPr>
              <w:ind w:left="640"/>
              <w:spacing w:after="0"/>
              <w:rPr>
                <w:sz w:val="20"/>
                <w:szCs w:val="20"/>
                <w:color w:val="auto"/>
              </w:rPr>
            </w:pPr>
            <w:r>
              <w:rPr>
                <w:rFonts w:ascii="Arial" w:cs="Arial" w:eastAsia="Arial" w:hAnsi="Arial"/>
                <w:sz w:val="18"/>
                <w:szCs w:val="18"/>
                <w:color w:val="auto"/>
              </w:rPr>
              <w:t>Section 4.07</w:t>
            </w:r>
          </w:p>
        </w:tc>
        <w:tc>
          <w:tcPr>
            <w:tcW w:w="6880" w:type="dxa"/>
            <w:vAlign w:val="bottom"/>
          </w:tcPr>
          <w:p>
            <w:pPr>
              <w:ind w:left="40"/>
              <w:spacing w:after="0"/>
              <w:rPr>
                <w:sz w:val="20"/>
                <w:szCs w:val="20"/>
                <w:color w:val="auto"/>
              </w:rPr>
            </w:pPr>
            <w:r>
              <w:rPr>
                <w:rFonts w:ascii="Arial" w:cs="Arial" w:eastAsia="Arial" w:hAnsi="Arial"/>
                <w:sz w:val="18"/>
                <w:szCs w:val="18"/>
                <w:color w:val="auto"/>
              </w:rPr>
              <w:t>Vice Presidents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66" w:name="page267"/>
    <w:bookmarkEnd w:id="266"/>
    <w:tbl>
      <w:tblPr>
        <w:tblLayout w:type="fixed"/>
        <w:tblInd w:w="0" w:type="dxa"/>
        <w:tblCellMar>
          <w:top w:w="0" w:type="dxa"/>
          <w:left w:w="0" w:type="dxa"/>
          <w:bottom w:w="0" w:type="dxa"/>
          <w:right w:w="0" w:type="dxa"/>
        </w:tblCellMar>
      </w:tblP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4.08</w:t>
            </w:r>
          </w:p>
        </w:tc>
        <w:tc>
          <w:tcPr>
            <w:tcW w:w="7460" w:type="dxa"/>
            <w:vAlign w:val="bottom"/>
          </w:tcPr>
          <w:p>
            <w:pPr>
              <w:ind w:left="120"/>
              <w:spacing w:after="0"/>
              <w:rPr>
                <w:sz w:val="20"/>
                <w:szCs w:val="20"/>
                <w:color w:val="auto"/>
              </w:rPr>
            </w:pPr>
            <w:r>
              <w:rPr>
                <w:rFonts w:ascii="Arial" w:cs="Arial" w:eastAsia="Arial" w:hAnsi="Arial"/>
                <w:sz w:val="18"/>
                <w:szCs w:val="18"/>
                <w:color w:val="auto"/>
              </w:rPr>
              <w:t>Treasurer</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4.09</w:t>
            </w:r>
          </w:p>
        </w:tc>
        <w:tc>
          <w:tcPr>
            <w:tcW w:w="7460" w:type="dxa"/>
            <w:vAlign w:val="bottom"/>
          </w:tcPr>
          <w:p>
            <w:pPr>
              <w:ind w:left="120"/>
              <w:spacing w:after="0"/>
              <w:rPr>
                <w:sz w:val="20"/>
                <w:szCs w:val="20"/>
                <w:color w:val="auto"/>
              </w:rPr>
            </w:pPr>
            <w:r>
              <w:rPr>
                <w:rFonts w:ascii="Arial" w:cs="Arial" w:eastAsia="Arial" w:hAnsi="Arial"/>
                <w:sz w:val="18"/>
                <w:szCs w:val="18"/>
                <w:color w:val="auto"/>
              </w:rPr>
              <w:t>Controller</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4.10</w:t>
            </w:r>
          </w:p>
        </w:tc>
        <w:tc>
          <w:tcPr>
            <w:tcW w:w="746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4.11   Appointing Attorneys and Agents; Voting Securities of Other Entities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4.12</w:t>
            </w:r>
          </w:p>
        </w:tc>
        <w:tc>
          <w:tcPr>
            <w:tcW w:w="7460" w:type="dxa"/>
            <w:vAlign w:val="bottom"/>
          </w:tcPr>
          <w:p>
            <w:pPr>
              <w:ind w:left="120"/>
              <w:spacing w:after="0"/>
              <w:rPr>
                <w:sz w:val="20"/>
                <w:szCs w:val="20"/>
                <w:color w:val="auto"/>
              </w:rPr>
            </w:pPr>
            <w:r>
              <w:rPr>
                <w:rFonts w:ascii="Arial" w:cs="Arial" w:eastAsia="Arial" w:hAnsi="Arial"/>
                <w:sz w:val="18"/>
                <w:szCs w:val="18"/>
                <w:color w:val="auto"/>
              </w:rPr>
              <w:t>Additional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Article V. Stock</w:t>
            </w:r>
          </w:p>
        </w:tc>
        <w:tc>
          <w:tcPr>
            <w:tcW w:w="74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5.01</w:t>
            </w:r>
          </w:p>
        </w:tc>
        <w:tc>
          <w:tcPr>
            <w:tcW w:w="7460" w:type="dxa"/>
            <w:vAlign w:val="bottom"/>
          </w:tcPr>
          <w:p>
            <w:pPr>
              <w:ind w:left="120"/>
              <w:spacing w:after="0"/>
              <w:rPr>
                <w:sz w:val="20"/>
                <w:szCs w:val="20"/>
                <w:color w:val="auto"/>
              </w:rPr>
            </w:pPr>
            <w:r>
              <w:rPr>
                <w:rFonts w:ascii="Arial" w:cs="Arial" w:eastAsia="Arial" w:hAnsi="Arial"/>
                <w:sz w:val="18"/>
                <w:szCs w:val="18"/>
                <w:color w:val="auto"/>
              </w:rPr>
              <w:t>Certificates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5.02   Lost, Stolen or Destroyed Stock Certificates; Issuance of New Certificates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VI. Indemnification and Advancement of Expenses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6.01   Right to 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6.02   Advancement of Expenses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6.03</w:t>
            </w:r>
          </w:p>
        </w:tc>
        <w:tc>
          <w:tcPr>
            <w:tcW w:w="7460" w:type="dxa"/>
            <w:vAlign w:val="bottom"/>
          </w:tcPr>
          <w:p>
            <w:pPr>
              <w:ind w:left="120"/>
              <w:spacing w:after="0"/>
              <w:rPr>
                <w:sz w:val="20"/>
                <w:szCs w:val="20"/>
                <w:color w:val="auto"/>
              </w:rPr>
            </w:pPr>
            <w:r>
              <w:rPr>
                <w:rFonts w:ascii="Arial" w:cs="Arial" w:eastAsia="Arial" w:hAnsi="Arial"/>
                <w:sz w:val="18"/>
                <w:szCs w:val="18"/>
                <w:color w:val="auto"/>
              </w:rPr>
              <w:t>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6.04   Non-exclusivity of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6.05</w:t>
            </w:r>
          </w:p>
        </w:tc>
        <w:tc>
          <w:tcPr>
            <w:tcW w:w="7460" w:type="dxa"/>
            <w:vAlign w:val="bottom"/>
          </w:tcPr>
          <w:p>
            <w:pPr>
              <w:ind w:left="120"/>
              <w:spacing w:after="0"/>
              <w:rPr>
                <w:sz w:val="20"/>
                <w:szCs w:val="20"/>
                <w:color w:val="auto"/>
              </w:rPr>
            </w:pPr>
            <w:r>
              <w:rPr>
                <w:rFonts w:ascii="Arial" w:cs="Arial" w:eastAsia="Arial" w:hAnsi="Arial"/>
                <w:sz w:val="18"/>
                <w:szCs w:val="18"/>
                <w:color w:val="auto"/>
              </w:rPr>
              <w:t>Other Sources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6.06   Amendment or Repeal</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6.07   Other Indemnification and Advancement of Expenses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6.08</w:t>
            </w:r>
          </w:p>
        </w:tc>
        <w:tc>
          <w:tcPr>
            <w:tcW w:w="7460" w:type="dxa"/>
            <w:vAlign w:val="bottom"/>
          </w:tcPr>
          <w:p>
            <w:pPr>
              <w:ind w:left="120"/>
              <w:spacing w:after="0"/>
              <w:rPr>
                <w:sz w:val="20"/>
                <w:szCs w:val="20"/>
                <w:color w:val="auto"/>
              </w:rPr>
            </w:pPr>
            <w:r>
              <w:rPr>
                <w:rFonts w:ascii="Arial" w:cs="Arial" w:eastAsia="Arial" w:hAnsi="Arial"/>
                <w:sz w:val="18"/>
                <w:szCs w:val="18"/>
                <w:color w:val="auto"/>
              </w:rPr>
              <w:t>Fund 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7.01</w:t>
            </w:r>
          </w:p>
        </w:tc>
        <w:tc>
          <w:tcPr>
            <w:tcW w:w="74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7.02</w:t>
            </w:r>
          </w:p>
        </w:tc>
        <w:tc>
          <w:tcPr>
            <w:tcW w:w="7460" w:type="dxa"/>
            <w:vAlign w:val="bottom"/>
          </w:tcPr>
          <w:p>
            <w:pPr>
              <w:ind w:left="120"/>
              <w:spacing w:after="0"/>
              <w:rPr>
                <w:sz w:val="20"/>
                <w:szCs w:val="20"/>
                <w:color w:val="auto"/>
              </w:rPr>
            </w:pPr>
            <w:r>
              <w:rPr>
                <w:rFonts w:ascii="Arial" w:cs="Arial" w:eastAsia="Arial" w:hAnsi="Arial"/>
                <w:sz w:val="18"/>
                <w:szCs w:val="18"/>
                <w:color w:val="auto"/>
              </w:rPr>
              <w:t>Seal</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7.03   Manner of Notice</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7.04   Waiver of Notice of Meetings of Stockholders, Directors and Committees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7.05   Form of Records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Section 7.06   Amendment of Bylaws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of Medpace Holdings,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and such Stockholders,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may be held at any place, within or without the State of Delaware, as may be designated by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211(a)(2) of the General Corporation Law of the State of Delaware.</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Corporation may postpone, reschedule or cancel any annual meeting of Stockholders previously scheduled by the Board of Directors.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only in the manner provided in the Amended and Restated Certificate of Incorporation of the Corporation, dated as of [ ● ], 2016 (as the same may be further amended, restated, amended and restated or otherwise modified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Special meetings validly called in accordance with Article ELEVENTH of the Certificate of Incorporation may be held at such date and time as specified in the applicable notice. Business transacted at any special meeting of Stockholders shall be limited to the purposes stated in the notice. The Corporation may postpone, reschedule or cancel any special meeting of Stockholders previously scheduled by the Board of Directors.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amended and restated bylaws adopted by the Board of Directors as of [ ● ], 2016 (as the same may be further amended, restated, amended and restated or otherwise modified from time to time, these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ectPr>
          <w:pgSz w:w="11900" w:h="16838" w:orient="portrait"/>
          <w:cols w:equalWidth="0" w:num="1">
            <w:col w:w="11420"/>
          </w:cols>
          <w:pgMar w:left="240" w:top="274" w:right="239" w:bottom="1440" w:gutter="0" w:footer="0" w:header="0"/>
        </w:sectPr>
      </w:pPr>
    </w:p>
    <w:bookmarkStart w:id="268" w:name="page269"/>
    <w:bookmarkEnd w:id="268"/>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1.05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annual or special, may adjourn from time to time to reconvene at the same or some other place, if any, and notice need not be given of any such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the record date for determining Stockholders entitled to notice of such adjourned meeting as provided in </w:t>
      </w:r>
      <w:r>
        <w:rPr>
          <w:rFonts w:ascii="Arial" w:cs="Arial" w:eastAsia="Arial" w:hAnsi="Arial"/>
          <w:sz w:val="17"/>
          <w:szCs w:val="17"/>
          <w:u w:val="single" w:color="auto"/>
          <w:color w:val="auto"/>
        </w:rPr>
        <w:t>Section 1.09(a)</w:t>
      </w:r>
      <w:r>
        <w:rPr>
          <w:rFonts w:ascii="Arial" w:cs="Arial" w:eastAsia="Arial" w:hAnsi="Arial"/>
          <w:sz w:val="17"/>
          <w:szCs w:val="17"/>
          <w:color w:val="auto"/>
        </w:rPr>
        <w:t xml:space="preserve"> of these Bylaws, and shall give notice of the adjourned meeting to each Stockholder of record as of the record date so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8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a majority in voting power of the outstanding shares of capital stock of the Corporation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xml:space="preserve">”) entitled to vote at the meeting shall be necessary and sufficient to constitute a quorum. In the absence of a quorum, the chairperson of the meeting or the Stockholders so present may, by a majority in voting power thereof, adjourn the meeting from time to time in the manner provided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these Bylaws until a quorum shall attend or participate. Shares of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not limit the right of the Corporation or any subsidiary of the Corporation to vote shares of Stock held by it in a fiduciary capacity.</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the chairperson of the Board of Directors (the “</w:t>
      </w:r>
      <w:r>
        <w:rPr>
          <w:rFonts w:ascii="Arial" w:cs="Arial" w:eastAsia="Arial" w:hAnsi="Arial"/>
          <w:sz w:val="18"/>
          <w:szCs w:val="18"/>
          <w:b w:val="1"/>
          <w:bCs w:val="1"/>
          <w:i w:val="1"/>
          <w:iCs w:val="1"/>
          <w:color w:val="auto"/>
        </w:rPr>
        <w:t>Chairperson</w:t>
      </w:r>
      <w:r>
        <w:rPr>
          <w:rFonts w:ascii="Arial" w:cs="Arial" w:eastAsia="Arial" w:hAnsi="Arial"/>
          <w:sz w:val="18"/>
          <w:szCs w:val="18"/>
          <w:color w:val="auto"/>
        </w:rPr>
        <w:t>”), or in his or her absence by any vice chairperson of the Board of Directors (each, a “</w:t>
      </w:r>
      <w:r>
        <w:rPr>
          <w:rFonts w:ascii="Arial" w:cs="Arial" w:eastAsia="Arial" w:hAnsi="Arial"/>
          <w:sz w:val="18"/>
          <w:szCs w:val="18"/>
          <w:b w:val="1"/>
          <w:bCs w:val="1"/>
          <w:i w:val="1"/>
          <w:iCs w:val="1"/>
          <w:color w:val="auto"/>
        </w:rPr>
        <w:t>Vice Chairperson</w:t>
      </w:r>
      <w:r>
        <w:rPr>
          <w:rFonts w:ascii="Arial" w:cs="Arial" w:eastAsia="Arial" w:hAnsi="Arial"/>
          <w:sz w:val="18"/>
          <w:szCs w:val="18"/>
          <w:color w:val="auto"/>
        </w:rPr>
        <w:t>”), if any, or in his or her absence by the chief executive officer of the Corporation (the “</w:t>
      </w:r>
      <w:r>
        <w:rPr>
          <w:rFonts w:ascii="Arial" w:cs="Arial" w:eastAsia="Arial" w:hAnsi="Arial"/>
          <w:sz w:val="18"/>
          <w:szCs w:val="18"/>
          <w:b w:val="1"/>
          <w:bCs w:val="1"/>
          <w:i w:val="1"/>
          <w:iCs w:val="1"/>
          <w:color w:val="auto"/>
        </w:rPr>
        <w:t>Chief Executive Officer</w:t>
      </w:r>
      <w:r>
        <w:rPr>
          <w:rFonts w:ascii="Arial" w:cs="Arial" w:eastAsia="Arial" w:hAnsi="Arial"/>
          <w:sz w:val="18"/>
          <w:szCs w:val="18"/>
          <w:color w:val="auto"/>
        </w:rPr>
        <w:t>”), or in his or her absence by the president of the Corporation (the “</w:t>
      </w:r>
      <w:r>
        <w:rPr>
          <w:rFonts w:ascii="Arial" w:cs="Arial" w:eastAsia="Arial" w:hAnsi="Arial"/>
          <w:sz w:val="18"/>
          <w:szCs w:val="18"/>
          <w:b w:val="1"/>
          <w:bCs w:val="1"/>
          <w:i w:val="1"/>
          <w:iCs w:val="1"/>
          <w:color w:val="auto"/>
        </w:rPr>
        <w:t>President</w:t>
      </w:r>
      <w:r>
        <w:rPr>
          <w:rFonts w:ascii="Arial" w:cs="Arial" w:eastAsia="Arial" w:hAnsi="Arial"/>
          <w:sz w:val="18"/>
          <w:szCs w:val="18"/>
          <w:color w:val="auto"/>
        </w:rPr>
        <w:t>”), or in his or her absence by a Senior Vice President (as defined below), or in the absence of the foregoing persons by a chairperson designated by the Board of Directors, or in the absence of such designation by a chairperson chosen at the meeting by vote of a majority of the Stockholders entitled to vote at the meeting. The secretary of the Corporation (the “</w:t>
      </w:r>
      <w:r>
        <w:rPr>
          <w:rFonts w:ascii="Arial" w:cs="Arial" w:eastAsia="Arial" w:hAnsi="Arial"/>
          <w:sz w:val="18"/>
          <w:szCs w:val="18"/>
          <w:b w:val="1"/>
          <w:bCs w:val="1"/>
          <w:i w:val="1"/>
          <w:iCs w:val="1"/>
          <w:color w:val="auto"/>
        </w:rPr>
        <w:t>Secretary</w:t>
      </w:r>
      <w:r>
        <w:rPr>
          <w:rFonts w:ascii="Arial" w:cs="Arial" w:eastAsia="Arial" w:hAnsi="Arial"/>
          <w:sz w:val="18"/>
          <w:szCs w:val="18"/>
          <w:color w:val="auto"/>
        </w:rPr>
        <w:t>”) shall act as secretary of the meeting, but in his or her absence the chairperson of the meeting may appoint any person to act as secretary of the meeting.</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Voting; Proxies</w:t>
      </w:r>
      <w:r>
        <w:rPr>
          <w:rFonts w:ascii="Arial" w:cs="Arial" w:eastAsia="Arial" w:hAnsi="Arial"/>
          <w:sz w:val="18"/>
          <w:szCs w:val="18"/>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express consent to corporate action in writing without a meeting (if permitted in accordance with the Certificate of Incorporation) may authorize another person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69" w:name="page270"/>
    <w:bookmarkEnd w:id="26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All other elections and questions presented to the Stockholders at a meeting at which a quorum is present shall,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 be decided by the affirmative vote of the holders of a majority in voting power of the shares of Stock which are present in person or by proxy and entitled to vote thereon.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9" w:lineRule="exact"/>
        <w:rPr>
          <w:rFonts w:ascii="Arial" w:cs="Arial" w:eastAsia="Arial" w:hAnsi="Arial"/>
          <w:sz w:val="17"/>
          <w:szCs w:val="17"/>
          <w:color w:val="auto"/>
        </w:rPr>
      </w:pPr>
    </w:p>
    <w:p>
      <w:pPr>
        <w:ind w:right="80" w:firstLine="464"/>
        <w:spacing w:after="0" w:line="276" w:lineRule="auto"/>
        <w:tabs>
          <w:tab w:leader="none" w:pos="7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70" w:name="page271"/>
    <w:bookmarkEnd w:id="270"/>
    <w:p>
      <w:pPr>
        <w:ind w:right="80" w:firstLine="464"/>
        <w:spacing w:after="0" w:line="270" w:lineRule="auto"/>
        <w:tabs>
          <w:tab w:leader="none" w:pos="701"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of the Corporation who has charge of the stock ledger of the Corporation shall prepare and make,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a date that is no more than ten (10) days before the meeting date), arranged in alphabetical order, and showing the address of each Stockholder and the number of shares registered in the name of each Stockholder as of the record date (or such other date). Such list shall be open to the examination of any Stockholder, for any purpose germane to the meeting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or to vote in person or by proxy at any meeting of Stockholders.</w:t>
      </w:r>
    </w:p>
    <w:p>
      <w:pPr>
        <w:spacing w:after="0" w:line="17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Action by Written Consent of Stockholders</w:t>
      </w:r>
      <w:r>
        <w:rPr>
          <w:rFonts w:ascii="Arial" w:cs="Arial" w:eastAsia="Arial" w:hAnsi="Arial"/>
          <w:sz w:val="18"/>
          <w:szCs w:val="18"/>
          <w:color w:val="auto"/>
        </w:rPr>
        <w:t>. Except as provided by, and in accordance with, the Certificate of Incorporation, no action that is required or permitted to be taken by the Stockholders at any annual or special meeting of Stockholders may be effected by written consent of Stockholders in lieu of a meeting of Stockholders.</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71" w:name="page272"/>
    <w:bookmarkEnd w:id="271"/>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Stock outstanding and the voting power of each such share, (b) determine the shares of Stock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8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w:t>
      </w:r>
    </w:p>
    <w:p>
      <w:pPr>
        <w:spacing w:after="0" w:line="3" w:lineRule="exact"/>
        <w:rPr>
          <w:sz w:val="20"/>
          <w:szCs w:val="20"/>
          <w:color w:val="auto"/>
        </w:rPr>
      </w:pPr>
    </w:p>
    <w:p>
      <w:pPr>
        <w:ind w:firstLine="8"/>
        <w:spacing w:after="0" w:line="287" w:lineRule="auto"/>
        <w:tabs>
          <w:tab w:leader="none" w:pos="2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1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other business to be considered by the Stockholders may be made at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72" w:name="page273"/>
    <w:bookmarkEnd w:id="27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annual meeting of Stockholders only (A) pursuant to the Corporation’s notice of meeting (or any supplement thereto), (B) by or at the direction of the Board of Directors or the nominating and corporate governance committee thereof or (C) by any Stockholder who was a Stockholder of record at the time the notice provided for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is delivered to the Secretary, who is entitled to vote at the meeting and who complies with the notice procedures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79" w:lineRule="exact"/>
        <w:rPr>
          <w:sz w:val="20"/>
          <w:szCs w:val="20"/>
          <w:color w:val="auto"/>
        </w:rPr>
      </w:pPr>
    </w:p>
    <w:p>
      <w:pPr>
        <w:ind w:left="460" w:firstLine="443"/>
        <w:spacing w:after="0" w:line="287" w:lineRule="auto"/>
        <w:tabs>
          <w:tab w:leader="none" w:pos="116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For any nominations or other business to be properly brought before an annual meeting by a Stockholder pursuant to </w:t>
      </w:r>
      <w:r>
        <w:rPr>
          <w:rFonts w:ascii="Arial" w:cs="Arial" w:eastAsia="Arial" w:hAnsi="Arial"/>
          <w:sz w:val="16"/>
          <w:szCs w:val="16"/>
          <w:u w:val="single" w:color="auto"/>
          <w:color w:val="auto"/>
        </w:rPr>
        <w:t>Section 1.14(a)(i)(C)</w:t>
      </w:r>
      <w:r>
        <w:rPr>
          <w:rFonts w:ascii="Arial" w:cs="Arial" w:eastAsia="Arial" w:hAnsi="Arial"/>
          <w:sz w:val="16"/>
          <w:szCs w:val="16"/>
          <w:color w:val="auto"/>
        </w:rPr>
        <w:t xml:space="preserve"> of these Bylaws, the Stockholder must have given timely notice thereof in writing to the Secretary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thirty (30) days before or more than seventy (70) days after such anniversary date, notice by the Stockholder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in proper form, such Stockholder’s notice must:</w:t>
      </w:r>
    </w:p>
    <w:p>
      <w:pPr>
        <w:spacing w:after="0" w:line="78" w:lineRule="exact"/>
        <w:rPr>
          <w:rFonts w:ascii="Arial" w:cs="Arial" w:eastAsia="Arial" w:hAnsi="Arial"/>
          <w:sz w:val="16"/>
          <w:szCs w:val="16"/>
          <w:color w:val="auto"/>
        </w:rPr>
      </w:pPr>
    </w:p>
    <w:p>
      <w:pPr>
        <w:ind w:left="1920" w:hanging="440"/>
        <w:spacing w:after="0" w:line="297" w:lineRule="auto"/>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as a member of the Board of Directors (a “</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set forth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promulgated thereunder, and (II) such person’s written consent to being named in the proxy statement as a nominee and to serving as a Director if elected;</w:t>
      </w:r>
    </w:p>
    <w:p>
      <w:pPr>
        <w:spacing w:after="0" w:line="63" w:lineRule="exact"/>
        <w:rPr>
          <w:rFonts w:ascii="Arial" w:cs="Arial" w:eastAsia="Arial" w:hAnsi="Arial"/>
          <w:sz w:val="16"/>
          <w:szCs w:val="16"/>
          <w:color w:val="auto"/>
        </w:rPr>
      </w:pPr>
    </w:p>
    <w:p>
      <w:pPr>
        <w:ind w:left="1920" w:right="160" w:hanging="440"/>
        <w:spacing w:after="0" w:line="277" w:lineRule="auto"/>
        <w:tabs>
          <w:tab w:leader="none" w:pos="19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with respect to each nominee for election or reelection to the Board of Directors, include the completed and signed questionnaire, representation and agreement required by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of these Bylaws;</w:t>
      </w:r>
    </w:p>
    <w:p>
      <w:pPr>
        <w:spacing w:after="0" w:line="75" w:lineRule="exact"/>
        <w:rPr>
          <w:rFonts w:ascii="Arial" w:cs="Arial" w:eastAsia="Arial" w:hAnsi="Arial"/>
          <w:sz w:val="18"/>
          <w:szCs w:val="18"/>
          <w:color w:val="auto"/>
        </w:rPr>
      </w:pPr>
    </w:p>
    <w:p>
      <w:pPr>
        <w:ind w:left="1920" w:right="300" w:hanging="440"/>
        <w:spacing w:after="0" w:line="259" w:lineRule="auto"/>
        <w:tabs>
          <w:tab w:leader="none" w:pos="19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set forth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73" w:name="page274"/>
    <w:bookmarkEnd w:id="273"/>
    <w:p>
      <w:pPr>
        <w:ind w:left="1480"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and any material interest in such business of such Stockholder and the beneficial owner, if any, on whose behalf the proposal is made; and</w:t>
      </w:r>
    </w:p>
    <w:p>
      <w:pPr>
        <w:spacing w:after="0" w:line="76" w:lineRule="exact"/>
        <w:rPr>
          <w:sz w:val="20"/>
          <w:szCs w:val="20"/>
          <w:color w:val="auto"/>
        </w:rPr>
      </w:pPr>
    </w:p>
    <w:p>
      <w:pPr>
        <w:ind w:left="1460" w:right="20" w:hanging="440"/>
        <w:spacing w:after="0" w:line="285" w:lineRule="auto"/>
        <w:tabs>
          <w:tab w:leader="none" w:pos="1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set forth (I) the name and address of such Stockholder, as they appear on the Corporation’s books, and of such beneficial owner, (II) the class or series and number of shares of Stock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entitled to vote at such meeting and intends to appear in person or by proxy at the meeting to propose such business or nomination, (VI) a representation whether the Stockholder or the beneficial owner, if any, intends or is part of a group which intends (x) to deliver a proxy statement and/or form of proxy to holders of at least the percentage of outstanding Stock required to approve or adopt the proposal or elect the nominee and/or (y)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foregoing notice requirements of this </w:t>
      </w:r>
      <w:r>
        <w:rPr>
          <w:rFonts w:ascii="Arial" w:cs="Arial" w:eastAsia="Arial" w:hAnsi="Arial"/>
          <w:sz w:val="18"/>
          <w:szCs w:val="18"/>
          <w:u w:val="single" w:color="auto"/>
          <w:color w:val="auto"/>
        </w:rPr>
        <w:t>Section 1.14(a)</w:t>
      </w:r>
      <w:r>
        <w:rPr>
          <w:rFonts w:ascii="Arial" w:cs="Arial" w:eastAsia="Arial" w:hAnsi="Arial"/>
          <w:sz w:val="18"/>
          <w:szCs w:val="18"/>
          <w:color w:val="auto"/>
        </w:rPr>
        <w:t xml:space="preserve"> shall be deemed satisfied by a Stockholder with respect to business other than a nomination for election as a Director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for election as a Director to furnish such other information as the Corporation may reasonably require to determine the eligibility of such proposed nominee to serve as a Director.</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274" w:name="page275"/>
    <w:bookmarkEnd w:id="274"/>
    <w:p>
      <w:pPr>
        <w:ind w:left="460" w:firstLine="443"/>
        <w:spacing w:after="0" w:line="255" w:lineRule="auto"/>
        <w:tabs>
          <w:tab w:leader="none" w:pos="1213"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in the second sentence of </w:t>
      </w:r>
      <w:r>
        <w:rPr>
          <w:rFonts w:ascii="Arial" w:cs="Arial" w:eastAsia="Arial" w:hAnsi="Arial"/>
          <w:sz w:val="18"/>
          <w:szCs w:val="18"/>
          <w:u w:val="single" w:color="auto"/>
          <w:color w:val="auto"/>
        </w:rPr>
        <w:t>Section 1.14(a)(ii)</w:t>
      </w:r>
      <w:r>
        <w:rPr>
          <w:rFonts w:ascii="Arial" w:cs="Arial" w:eastAsia="Arial" w:hAnsi="Arial"/>
          <w:sz w:val="18"/>
          <w:szCs w:val="18"/>
          <w:color w:val="auto"/>
        </w:rPr>
        <w:t xml:space="preserve"> of these Bylaws to the contrary, in the event that the number of directors to be elected to the Board of Directors at the annual meeting is increased effective after the time period for which nominations would otherwise be due under </w:t>
      </w:r>
      <w:r>
        <w:rPr>
          <w:rFonts w:ascii="Arial" w:cs="Arial" w:eastAsia="Arial" w:hAnsi="Arial"/>
          <w:sz w:val="18"/>
          <w:szCs w:val="18"/>
          <w:u w:val="single" w:color="auto"/>
          <w:color w:val="auto"/>
        </w:rPr>
        <w:t>Section 1.14(a)(ii)</w:t>
      </w:r>
      <w:r>
        <w:rPr>
          <w:rFonts w:ascii="Arial" w:cs="Arial" w:eastAsia="Arial" w:hAnsi="Arial"/>
          <w:sz w:val="18"/>
          <w:szCs w:val="18"/>
          <w:color w:val="auto"/>
        </w:rPr>
        <w:t xml:space="preserve"> of these Bylaws and there is no public announcement by the Corporation naming the nominees for the additional directorships at least one hundred (100) days prior to the first anniversary of the preceding year’s annual meeting, a Stockholder’s notice required by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9" w:lineRule="exact"/>
        <w:rPr>
          <w:rFonts w:ascii="Arial" w:cs="Arial" w:eastAsia="Arial" w:hAnsi="Arial"/>
          <w:sz w:val="18"/>
          <w:szCs w:val="18"/>
          <w:color w:val="auto"/>
        </w:rPr>
      </w:pPr>
    </w:p>
    <w:p>
      <w:pPr>
        <w:ind w:right="40" w:firstLine="464"/>
        <w:spacing w:after="0" w:line="285" w:lineRule="auto"/>
        <w:tabs>
          <w:tab w:leader="none" w:pos="711"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Except to the extent required by law, special meetings of Stockholders may be called only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Article ELEVENTH of the Certificate of Incorporation.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the nominating and corporate governance committee thereof or (ii) provided that the Board of Directors has determined that directors shall be elected at such meeting, by any Stockholder who is a Stockholder of record at the time the notice provided for in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is delivered to the Secretary, who is entitled to vote at the meeting and upon such election and who complies with the notice procedures set forth in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w:t>
      </w:r>
      <w:r>
        <w:rPr>
          <w:rFonts w:ascii="Arial" w:cs="Arial" w:eastAsia="Arial" w:hAnsi="Arial"/>
          <w:sz w:val="16"/>
          <w:szCs w:val="16"/>
          <w:u w:val="single" w:color="auto"/>
          <w:color w:val="auto"/>
        </w:rPr>
        <w:t>Section 1.14(a)(ii)</w:t>
      </w:r>
      <w:r>
        <w:rPr>
          <w:rFonts w:ascii="Arial" w:cs="Arial" w:eastAsia="Arial" w:hAnsi="Arial"/>
          <w:sz w:val="16"/>
          <w:szCs w:val="16"/>
          <w:color w:val="auto"/>
        </w:rPr>
        <w:t xml:space="preserve"> of these Bylaws (including the completed and signed questionnaire, representation and agreement required by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of these Bylaws and any other information, documents, affidavits, or certifications required by the Corporation)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7" w:lineRule="exact"/>
        <w:rPr>
          <w:rFonts w:ascii="Arial" w:cs="Arial" w:eastAsia="Arial" w:hAnsi="Arial"/>
          <w:sz w:val="16"/>
          <w:szCs w:val="16"/>
          <w:color w:val="auto"/>
        </w:rPr>
      </w:pPr>
    </w:p>
    <w:p>
      <w:pPr>
        <w:ind w:left="700" w:hanging="236"/>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1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Except as otherwise expressly provided in any applicable rule or regulation promulgated under the Exchange Act, only such persons who are nominated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75" w:name="page276"/>
    <w:bookmarkEnd w:id="27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the procedures set forth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eligible to be elected at an annual or special meeting of Stockholders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Except as otherwise provided by law, the chairperson of the meeting shall have the power and duty (A) to determine whether a nomination or any business proposed to be brought before the meeting was made or proposed, as the case may be, in accordance with the procedures set forth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Arial" w:cs="Arial" w:eastAsia="Arial" w:hAnsi="Arial"/>
          <w:sz w:val="17"/>
          <w:szCs w:val="17"/>
          <w:u w:val="single" w:color="auto"/>
          <w:color w:val="auto"/>
        </w:rPr>
        <w:t>Section 1.14(a)(ii)(D)(VI)</w:t>
      </w:r>
      <w:r>
        <w:rPr>
          <w:rFonts w:ascii="Arial" w:cs="Arial" w:eastAsia="Arial" w:hAnsi="Arial"/>
          <w:sz w:val="17"/>
          <w:szCs w:val="17"/>
          <w:color w:val="auto"/>
        </w:rPr>
        <w:t xml:space="preserve"> of these Bylaws) and (B) if any proposed nomination or business was not made or proposed in compliance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declare that such nomination shall be disregarded or that such proposed business shall not be transacted. Notwithstanding the foregoing provisions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unless otherwise required by law, if the Stockholder (or a qualified representative of the Stockholder) does not appear at the annual or special meeting of Stockholders to present a nomination or proposed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3" w:lineRule="exact"/>
        <w:rPr>
          <w:sz w:val="20"/>
          <w:szCs w:val="20"/>
          <w:color w:val="auto"/>
        </w:rPr>
      </w:pPr>
    </w:p>
    <w:p>
      <w:pPr>
        <w:ind w:right="540" w:firstLine="443"/>
        <w:spacing w:after="0" w:line="312" w:lineRule="auto"/>
        <w:tabs>
          <w:tab w:leader="none" w:pos="70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38" w:lineRule="exact"/>
        <w:rPr>
          <w:rFonts w:ascii="Arial" w:cs="Arial" w:eastAsia="Arial" w:hAnsi="Arial"/>
          <w:sz w:val="16"/>
          <w:szCs w:val="16"/>
          <w:color w:val="auto"/>
        </w:rPr>
      </w:pPr>
    </w:p>
    <w:p>
      <w:pPr>
        <w:ind w:right="20" w:firstLine="443"/>
        <w:spacing w:after="0" w:line="271" w:lineRule="auto"/>
        <w:tabs>
          <w:tab w:leader="none" w:pos="75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 Stockholder shall also comply with all applicable requirements of the Exchange Act and the rules and regulations promulgated thereunder with respect to the matters set forth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(including clause </w:t>
      </w:r>
      <w:r>
        <w:rPr>
          <w:rFonts w:ascii="Arial" w:cs="Arial" w:eastAsia="Arial" w:hAnsi="Arial"/>
          <w:sz w:val="17"/>
          <w:szCs w:val="17"/>
          <w:u w:val="single" w:color="auto"/>
          <w:color w:val="auto"/>
        </w:rPr>
        <w:t>(a)(i)(C)</w:t>
      </w:r>
      <w:r>
        <w:rPr>
          <w:rFonts w:ascii="Arial" w:cs="Arial" w:eastAsia="Arial" w:hAnsi="Arial"/>
          <w:sz w:val="17"/>
          <w:szCs w:val="17"/>
          <w:color w:val="auto"/>
        </w:rPr>
        <w:t xml:space="preserve"> hereof and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hereof), and compliance with clauses </w:t>
      </w:r>
      <w:r>
        <w:rPr>
          <w:rFonts w:ascii="Arial" w:cs="Arial" w:eastAsia="Arial" w:hAnsi="Arial"/>
          <w:sz w:val="17"/>
          <w:szCs w:val="17"/>
          <w:u w:val="single" w:color="auto"/>
          <w:color w:val="auto"/>
        </w:rPr>
        <w:t>(a)(i)(C)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the exclusive means for a Stockholder to make nominations or submit other business (other than, as provided in the penultimate sentence of clause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hereof, business other than nominations brought properly under and in compliance with Rule 14a-8 promulgated under the Exchange Act, as may be amended from time to time). Nothing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deemed to affect any rights (x) of Stockholders to request inclusion of</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276" w:name="page277"/>
    <w:bookmarkEnd w:id="276"/>
    <w:p>
      <w:pPr>
        <w:ind w:left="46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proposals or nominations in the Corporation’s proxy statement pursuant to applicable rules and regulations promulgated under the Exchange Act or (y) of the holders of any series of preferred Stock of the Corporation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to elect directors pursuant to any applicable provisions of the Certificate of Incorporation.</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xml:space="preserve">. To be eligible to be a nominee for election or reelection as a director of the Corporation, the candidate for nomination must have previously delivered (in accordance with the time periods prescribed for delivery of notice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1.14</w:t>
      </w:r>
      <w:r>
        <w:rPr>
          <w:rFonts w:ascii="Arial" w:cs="Arial" w:eastAsia="Arial" w:hAnsi="Arial"/>
          <w:sz w:val="17"/>
          <w:szCs w:val="17"/>
          <w:color w:val="auto"/>
        </w:rPr>
        <w:t xml:space="preserve"> of these Bylaws for persons nominated for election or reelection by a stockholder pursuant to </w:t>
      </w:r>
      <w:r>
        <w:rPr>
          <w:rFonts w:ascii="Arial" w:cs="Arial" w:eastAsia="Arial" w:hAnsi="Arial"/>
          <w:sz w:val="17"/>
          <w:szCs w:val="17"/>
          <w:u w:val="single" w:color="auto"/>
          <w:color w:val="auto"/>
        </w:rPr>
        <w:t>Section 1.14(a)(i)(C)</w:t>
      </w:r>
      <w:r>
        <w:rPr>
          <w:rFonts w:ascii="Arial" w:cs="Arial" w:eastAsia="Arial" w:hAnsi="Arial"/>
          <w:sz w:val="17"/>
          <w:szCs w:val="17"/>
          <w:color w:val="auto"/>
        </w:rPr>
        <w:t xml:space="preserve"> of these Bylaws), to the Secretary at the principal executive offices of the Corporation, (a) a completed written questionnaire (in a form provided by the Corporation upon a written request therefor) with respect to the background, qualifications, stock ownership and independence of such proposed nominee and (b) a written representation and agreement (in a form provided by the Corporation upon a written request therefor) that such candidate for nomination (i) 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7"/>
          <w:szCs w:val="17"/>
          <w:b w:val="1"/>
          <w:bCs w:val="1"/>
          <w:i w:val="1"/>
          <w:iCs w:val="1"/>
          <w:color w:val="auto"/>
        </w:rPr>
        <w:t>Voting Commitment</w:t>
      </w:r>
      <w:r>
        <w:rPr>
          <w:rFonts w:ascii="Arial" w:cs="Arial" w:eastAsia="Arial" w:hAnsi="Arial"/>
          <w:sz w:val="17"/>
          <w:szCs w:val="17"/>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of the Corporation (and, if requested by any candidate for nomination, the Secretary shall provide to such candidate for nomination all such policies and guidelines then in effect).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Subject to the Certificate of Incorporation, the total number of Directors constituting the entire Board of Directors shall be fixed from time to time solely by resolution adopted by a majority of the Whole Board. For purposes of these Bylaws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mean the total number of authorized Directors for the Board of Directors whether or not there exist any vacancies in previously authorized Directorships. Directors need not be Stockholders.</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Election; Resignation; Vacancies</w:t>
      </w:r>
      <w:r>
        <w:rPr>
          <w:rFonts w:ascii="Arial" w:cs="Arial" w:eastAsia="Arial" w:hAnsi="Arial"/>
          <w:sz w:val="16"/>
          <w:szCs w:val="16"/>
          <w:color w:val="auto"/>
        </w:rPr>
        <w:t>. The Board of Directors shall be divided into three classes, as nearly equal in number as possible, designated Class I, Class II and Class III. Commencing with the first annual meeting of Stockholders following the original effectiveness of Article FIFTH of the Certificate of Incorporation, Directors of each class the term of which shall then expire shall be elected to hold office for a three-year term and until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77" w:name="page278"/>
    <w:bookmarkEnd w:id="2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and qualification of their respective successors in office. Any Director may resign at any time upon notice to the Corporation. Except as otherwise required by law and subject to the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retirement, disqualification, removal from office or other cause shall be filled only by the affirmative vote of the majority of Directors then in office and entitled to vote thereon, though less than a quorum, or by a sole remaining Director entitled to vote thereon, and not by the Stockholders. Any director so chosen shall hold office until the next election of the class for which such director shall have been chosen and until his or her successor shall be elected and qualified. No decrease in the number of Directors shall shorten the term of any incumbent Director.</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at such places, if any, within or without the State of Delaware and at such times as the Board of Directors may from time to time determine.</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or place, if any, within or without the State of Delaware whenever called by the Chairperson, a Vice Chairperson, the Chief Executive Officer, the Secretary, or by any two Directors. Notice of a special meeting of the Board of Directors shall be given by the person or persons calling the meeting at least twenty-four hours before the special meeting.</w:t>
      </w:r>
    </w:p>
    <w:p>
      <w:pPr>
        <w:spacing w:after="0" w:line="14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Telephonic Meetings Permitted</w:t>
      </w:r>
      <w:r>
        <w:rPr>
          <w:rFonts w:ascii="Arial" w:cs="Arial" w:eastAsia="Arial" w:hAnsi="Arial"/>
          <w:sz w:val="16"/>
          <w:szCs w:val="16"/>
          <w:color w:val="auto"/>
        </w:rPr>
        <w:t xml:space="preserve">.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shall constitute presence in person at such meeting.</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Quorum; Vote Required for Action</w:t>
      </w:r>
      <w:r>
        <w:rPr>
          <w:rFonts w:ascii="Arial" w:cs="Arial" w:eastAsia="Arial" w:hAnsi="Arial"/>
          <w:sz w:val="17"/>
          <w:szCs w:val="17"/>
          <w:color w:val="auto"/>
        </w:rPr>
        <w:t xml:space="preserve">. At all meetings of the Board of Directors the Directors entitled to cast a majority of the votes of the Whole Board shall constitute a quorum for the transaction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the purposes of filling vacancies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these Bylaws, a meeting of the Board of Directors may be held if a majority of the Directors then in office participate in such meeting. Except in cases in which the Certificate of Incorporation, these Bylaws or applicable law otherwise provides, a majority of the votes entitled to be cast by the Directors present at a meeting at which a quorum is present shall constitute an act of the Board of Directors.</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of Directors shall be presided over by the Chairperson, or in his or her absence by any Vice Chairperson, if any, or in his or her absence by the Chief Executive Officer (if also a Director), or in his or her absence (or if the Chief Executive Officer is not also a Director) by the President (if also a Director), or in his or her absence (or if the President is not also a Director) by a Senior Vice President (if also a Director) or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78" w:name="page279"/>
    <w:bookmarkEnd w:id="278"/>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2.08 </w:t>
      </w:r>
      <w:r>
        <w:rPr>
          <w:rFonts w:ascii="Arial" w:cs="Arial" w:eastAsia="Arial" w:hAnsi="Arial"/>
          <w:sz w:val="16"/>
          <w:szCs w:val="16"/>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of Directors or such committee in accordance with applicable law.</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The Directors may be paid their respective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like compensation for attending committee meetings. Any Director may decline any or all such compensation payable to such Director in his or her discretion.</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such committee, the member or members thereof present at any meeting and not disqualified from voting, whether or not he, she or they constitute a quorum, may unanimously appoint another Director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Committee Rules</w:t>
      </w:r>
      <w:r>
        <w:rPr>
          <w:rFonts w:ascii="Arial" w:cs="Arial" w:eastAsia="Arial" w:hAnsi="Arial"/>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these Bylaws.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(each an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shall consist of a Chairperson, a Chief Executive Officer, a chief financial officer (the “</w:t>
      </w:r>
      <w:r>
        <w:rPr>
          <w:rFonts w:ascii="Arial" w:cs="Arial" w:eastAsia="Arial" w:hAnsi="Arial"/>
          <w:sz w:val="18"/>
          <w:szCs w:val="18"/>
          <w:b w:val="1"/>
          <w:bCs w:val="1"/>
          <w:i w:val="1"/>
          <w:iCs w:val="1"/>
          <w:color w:val="auto"/>
        </w:rPr>
        <w:t>Chief Financial Officer</w:t>
      </w:r>
      <w:r>
        <w:rPr>
          <w:rFonts w:ascii="Arial" w:cs="Arial" w:eastAsia="Arial" w:hAnsi="Arial"/>
          <w:sz w:val="18"/>
          <w:szCs w:val="18"/>
          <w:color w:val="auto"/>
        </w:rPr>
        <w:t>”), a President, one or more vice presidents (each, if any, a “</w:t>
      </w:r>
      <w:r>
        <w:rPr>
          <w:rFonts w:ascii="Arial" w:cs="Arial" w:eastAsia="Arial" w:hAnsi="Arial"/>
          <w:sz w:val="18"/>
          <w:szCs w:val="18"/>
          <w:b w:val="1"/>
          <w:bCs w:val="1"/>
          <w:i w:val="1"/>
          <w:iCs w:val="1"/>
          <w:color w:val="auto"/>
        </w:rPr>
        <w:t>Vice President</w:t>
      </w:r>
      <w:r>
        <w:rPr>
          <w:rFonts w:ascii="Arial" w:cs="Arial" w:eastAsia="Arial" w:hAnsi="Arial"/>
          <w:sz w:val="18"/>
          <w:szCs w:val="18"/>
          <w:color w:val="auto"/>
        </w:rPr>
        <w:t>”), a Secretary, a treasurer (the “</w:t>
      </w:r>
      <w:r>
        <w:rPr>
          <w:rFonts w:ascii="Arial" w:cs="Arial" w:eastAsia="Arial" w:hAnsi="Arial"/>
          <w:sz w:val="18"/>
          <w:szCs w:val="18"/>
          <w:b w:val="1"/>
          <w:bCs w:val="1"/>
          <w:i w:val="1"/>
          <w:iCs w:val="1"/>
          <w:color w:val="auto"/>
        </w:rPr>
        <w:t>Treasurer</w:t>
      </w:r>
      <w:r>
        <w:rPr>
          <w:rFonts w:ascii="Arial" w:cs="Arial" w:eastAsia="Arial" w:hAnsi="Arial"/>
          <w:sz w:val="18"/>
          <w:szCs w:val="18"/>
          <w:color w:val="auto"/>
        </w:rPr>
        <w:t>”), a controller (the “</w:t>
      </w:r>
      <w:r>
        <w:rPr>
          <w:rFonts w:ascii="Arial" w:cs="Arial" w:eastAsia="Arial" w:hAnsi="Arial"/>
          <w:sz w:val="18"/>
          <w:szCs w:val="18"/>
          <w:b w:val="1"/>
          <w:bCs w:val="1"/>
          <w:i w:val="1"/>
          <w:iCs w:val="1"/>
          <w:color w:val="auto"/>
        </w:rPr>
        <w:t>Controller</w:t>
      </w:r>
      <w:r>
        <w:rPr>
          <w:rFonts w:ascii="Arial" w:cs="Arial" w:eastAsia="Arial" w:hAnsi="Arial"/>
          <w:sz w:val="18"/>
          <w:szCs w:val="18"/>
          <w:color w:val="auto"/>
        </w:rPr>
        <w:t>”) and such other Officers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79" w:name="page280"/>
    <w:bookmarkEnd w:id="27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the Board of Directors may from time to time determine, each of whom shall be appointed by the Board of Directors, each to have such authority, functions or duties as set forth in these Bylaws or as determined by the Board of Directors and, to the extent not so provided or determined, as generally pertain to their respective offices, subject to the control of the Board of Directors. Subject to the last sentence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The Board of Directors, in its discretion, from time to time may determine not to appoint one or more of the Officers identified in the first sentence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to leave such Officer position vacant or to combine or separate the positions of Chairperson and Chief Executive Officer. Each of the Chief Executive Officer and the Chief Financial Officer may appoint such other Officers and agents as may be necessary or desirable for the conduct of the business of the Corporation and each such Officer shall hold office for such term as may be prescribed by the Chief Executive Officer or Chief Financial Officer, as applicable, and until such person’s successor shall have been duly chosen and qualified, or until such person’s earlier death, disqualification, resignation or removal.</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Removal, Resignation and Vacancies</w:t>
      </w:r>
      <w:r>
        <w:rPr>
          <w:rFonts w:ascii="Arial" w:cs="Arial" w:eastAsia="Arial" w:hAnsi="Arial"/>
          <w:sz w:val="17"/>
          <w:szCs w:val="17"/>
          <w:color w:val="auto"/>
        </w:rPr>
        <w:t xml:space="preserve">. Any Officer may be removed, with or without cause, by the Board of Directors, without prejudice to the rights, if any, of such Officer under any contract to which it is a party. Any Officer appointed by the Chief Executive Officer or the Chief Financial Officer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may also be removed, with or without cause, by the Chief Executive Officer or Chief Financial Officer, as applicable, without prejudice to the rights, if any, of such Officer under any contract to which such Officer is a party. Any Officer may resign at any time upon written or notice by electronic transmission to the Corporation, without prejudice to the rights, if any, of the Corporation under any contract to which such Officer is a party. If any vacancy occurs in any office of the Corporation, the Board of Directors may appoint a successor to fill such vacancy for the remainder of the unexpired term and until a successor shall have been duly chosen and qualified.</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Chairperson</w:t>
      </w:r>
      <w:r>
        <w:rPr>
          <w:rFonts w:ascii="Arial" w:cs="Arial" w:eastAsia="Arial" w:hAnsi="Arial"/>
          <w:sz w:val="16"/>
          <w:szCs w:val="16"/>
          <w:color w:val="auto"/>
        </w:rPr>
        <w:t>. The Chairperson shall be deemed an Officer of the Corporation, subject to the control of the Board of Directors, and shall report directly to the Board of Directors. The Board of Directors may, in its sole discretion, from time to time appoint one or more Vice Chairpersons each of whom shall be deemed an Officer of the Corporation, subject to the control of the Board of Directors, and shall report directly to the Chairperson.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have general supervision and direction of the business and affairs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shall be responsible for corporate policy and strategy, and shall report directly to the Board of Directors. Unless otherwise provided in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Bylaws, all other Officers of the Corporation shall report directly to the Chief Executive Officer or as otherwise determined by the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The Chief Executive Officer shall, if present and in the absence of the Chairperson or any Vice Chairperson, preside at meetings of the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if the Chief Executive Officer is also a member of the Board of Directors, of the Board of Directors.</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exercise all the powers and perform the duties of the office of the chief financial officer and in general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80" w:name="page281"/>
    <w:bookmarkEnd w:id="280"/>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overall supervision of the financial operations of the Corporation. The Chief Financial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81"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and shall perform such other duties as such Officer may agree with the Chief Executive Officer or as the Board of Directors may from time to time determine.</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Vice Presidents</w:t>
      </w:r>
      <w:r>
        <w:rPr>
          <w:rFonts w:ascii="Arial" w:cs="Arial" w:eastAsia="Arial" w:hAnsi="Arial"/>
          <w:sz w:val="18"/>
          <w:szCs w:val="18"/>
          <w:color w:val="auto"/>
        </w:rPr>
        <w:t xml:space="preserve">. Each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 In accordance with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these Bylaws, the Board of Directors, the Chief Executive Officer and/or the Chief Financial Officer may, in his, her or their discretion, from time to time appoint one or more senior vice presidents of the Corporation (each, a “</w:t>
      </w:r>
      <w:r>
        <w:rPr>
          <w:rFonts w:ascii="Arial" w:cs="Arial" w:eastAsia="Arial" w:hAnsi="Arial"/>
          <w:sz w:val="18"/>
          <w:szCs w:val="18"/>
          <w:b w:val="1"/>
          <w:bCs w:val="1"/>
          <w:i w:val="1"/>
          <w:iCs w:val="1"/>
          <w:color w:val="auto"/>
        </w:rPr>
        <w:t>Senior Vice President</w:t>
      </w:r>
      <w:r>
        <w:rPr>
          <w:rFonts w:ascii="Arial" w:cs="Arial" w:eastAsia="Arial" w:hAnsi="Arial"/>
          <w:sz w:val="18"/>
          <w:szCs w:val="18"/>
          <w:color w:val="auto"/>
        </w:rPr>
        <w:t>”) and/or assistant vice presidents of the Corporation (each, an “</w:t>
      </w:r>
      <w:r>
        <w:rPr>
          <w:rFonts w:ascii="Arial" w:cs="Arial" w:eastAsia="Arial" w:hAnsi="Arial"/>
          <w:sz w:val="18"/>
          <w:szCs w:val="18"/>
          <w:b w:val="1"/>
          <w:bCs w:val="1"/>
          <w:i w:val="1"/>
          <w:iCs w:val="1"/>
          <w:color w:val="auto"/>
        </w:rPr>
        <w:t>Assistant Vice President</w:t>
      </w:r>
      <w:r>
        <w:rPr>
          <w:rFonts w:ascii="Arial" w:cs="Arial" w:eastAsia="Arial" w:hAnsi="Arial"/>
          <w:sz w:val="18"/>
          <w:szCs w:val="18"/>
          <w:color w:val="auto"/>
        </w:rPr>
        <w:t>”).</w:t>
      </w:r>
    </w:p>
    <w:p>
      <w:pPr>
        <w:spacing w:after="0" w:line="193"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Treasurer</w:t>
      </w:r>
      <w:r>
        <w:rPr>
          <w:rFonts w:ascii="Arial" w:cs="Arial" w:eastAsia="Arial" w:hAnsi="Arial"/>
          <w:sz w:val="17"/>
          <w:szCs w:val="17"/>
          <w:color w:val="auto"/>
        </w:rPr>
        <w:t xml:space="preserve">.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report to the Chief Financial Officer and, when requested, counsel with and advise the other Officers and shall perform such other duties as such Officer may agree with the Chief Executive Officer, the Chief Financial Officer or as the Board of Directors may from time to time determine.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of these Bylaws, the Board of Directors, the Chief Executive Officer and/or the Chief Financial Officer may, in his, her or their discretion, from time to time appoint one or more assistant treasurers of the Corporation (each, an “</w:t>
      </w:r>
      <w:r>
        <w:rPr>
          <w:rFonts w:ascii="Arial" w:cs="Arial" w:eastAsia="Arial" w:hAnsi="Arial"/>
          <w:sz w:val="17"/>
          <w:szCs w:val="17"/>
          <w:b w:val="1"/>
          <w:bCs w:val="1"/>
          <w:i w:val="1"/>
          <w:iCs w:val="1"/>
          <w:color w:val="auto"/>
        </w:rPr>
        <w:t>Assistant Treasurer</w:t>
      </w:r>
      <w:r>
        <w:rPr>
          <w:rFonts w:ascii="Arial" w:cs="Arial" w:eastAsia="Arial" w:hAnsi="Arial"/>
          <w:sz w:val="17"/>
          <w:szCs w:val="17"/>
          <w:color w:val="auto"/>
        </w:rPr>
        <w:t>”).</w:t>
      </w:r>
    </w:p>
    <w:p>
      <w:pPr>
        <w:spacing w:after="0" w:line="17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Controller</w:t>
      </w:r>
      <w:r>
        <w:rPr>
          <w:rFonts w:ascii="Arial" w:cs="Arial" w:eastAsia="Arial" w:hAnsi="Arial"/>
          <w:sz w:val="17"/>
          <w:szCs w:val="17"/>
          <w:color w:val="auto"/>
        </w:rPr>
        <w:t>. The Controller shall be the chief accounting officer of the Corporation. The Controller shall report to the Chief Financial Officer and, when requested, counsel with and advise the other Officers and shall perform such other duties as such officer may agree with the Chief Executive Officer or the Chief Financial Officer or as the Board of Directors may from time to time determine.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Secretary</w:t>
      </w:r>
      <w:r>
        <w:rPr>
          <w:rFonts w:ascii="Arial" w:cs="Arial" w:eastAsia="Arial" w:hAnsi="Arial"/>
          <w:sz w:val="18"/>
          <w:szCs w:val="18"/>
          <w:color w:val="auto"/>
        </w:rPr>
        <w:t>. The powers and duties of the Secretary are: (a) to act as Secretary at all meetings of the Board of Directors, of the committees of the Board of Directors and of the Stockholders and to record the proceedings of such meetings in a book or books to be kept for that purpose; (b) to see that all notices required to be given by the Corporation are duly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81" w:name="page282"/>
    <w:bookmarkEnd w:id="28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given and served; (c) to act as custodian of the seal of the Corporation and, if required, to affix the seal or cause it to be affixed to all certificates of Stock and to all documents, the execution of which on behalf of the Corporation under its seal is duly authorized in accordance with the provisions of these Bylaws; (d) to have charge of the books, records and papers of the Corporation and see that the reports, statements and other documents required by law to be kept and filed are properly kept and filed; and (e) to perform all of the duties incident to the office of Secretary. The Secretary shall, when requested, counsel with and advise the other Officers and shall perform such other duties as such Officer may agree with the Chief Executive Officer or as the Board of Directors may from time to time determine. In accordance with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of these Bylaws, the Board of Directors, the Chief Executive Officer and/or the Chief Financial Officer may, in his, her or their discretion, from time to time appoint one or more assistant secretaries of the Corporation (each, an “</w:t>
      </w:r>
      <w:r>
        <w:rPr>
          <w:rFonts w:ascii="Arial" w:cs="Arial" w:eastAsia="Arial" w:hAnsi="Arial"/>
          <w:sz w:val="16"/>
          <w:szCs w:val="16"/>
          <w:b w:val="1"/>
          <w:bCs w:val="1"/>
          <w:i w:val="1"/>
          <w:iCs w:val="1"/>
          <w:color w:val="auto"/>
        </w:rPr>
        <w:t>Assistant Secretary</w:t>
      </w:r>
      <w:r>
        <w:rPr>
          <w:rFonts w:ascii="Arial" w:cs="Arial" w:eastAsia="Arial" w:hAnsi="Arial"/>
          <w:sz w:val="16"/>
          <w:szCs w:val="16"/>
          <w:color w:val="auto"/>
        </w:rPr>
        <w:t>”).</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Appointing Attorneys and Agents; Voting Securities of Other Entities</w:t>
      </w:r>
      <w:r>
        <w:rPr>
          <w:rFonts w:ascii="Arial" w:cs="Arial" w:eastAsia="Arial" w:hAnsi="Arial"/>
          <w:sz w:val="17"/>
          <w:szCs w:val="17"/>
          <w:color w:val="auto"/>
        </w:rPr>
        <w:t xml:space="preserve">. Unless otherwise provided by resolution adopted by the Board of Directors, the Chairperson, any Vice Chairperson, the Chief Executive Officer or the Chief Financial Officer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Unless otherwise provided by resolution adopted by the Board of Directors, any of the rights set forth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which may be delegated to an attorney or agent may also be exercised directly by the Chairperson, a Vice Chairperson, the Chief Executive Officer or the Chief Financial Officer.</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Additional Matters</w:t>
      </w:r>
      <w:r>
        <w:rPr>
          <w:rFonts w:ascii="Arial" w:cs="Arial" w:eastAsia="Arial" w:hAnsi="Arial"/>
          <w:sz w:val="18"/>
          <w:szCs w:val="18"/>
          <w:color w:val="auto"/>
        </w:rPr>
        <w:t xml:space="preserve">. The Chief Executive Officer and the Chief Financial Officer shall have the authority to designate employees of the Corporation to have the title of Senior Vice President, Vice President, Assistant Vice President, Assistant Treasurer or Assistant Secretary. Any employee so designated shall have the powers and duties determined by the officer making such designation. A person designated as an Senior Vice President, Vice President, Assistant Vice President, Assistant Treasurer or Assistant Secretary shall not be deemed to be an Officer unless the Board of Directors has adopted a resolution approving such person in such capacity as an officer of the Corporation (including by means of direct appointment by the Board of Directors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these Bylaws).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The shares of Stock shall be represented by certificates;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of Directors may provide by resolution or resolutions that some or all of any or all classes or series of Stock shall be uncertificated shares. Every holder of Stock represented by certificates shall be entitled to have a certificate signed by or in the name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82" w:name="page283"/>
    <w:bookmarkEnd w:id="28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by (a) any one Officer who is the Chairperson, a Vice Chairperson, the Chief Executive Officer, the President or a Senior Vice President, and (b) by any one Officer who is the Chief Financial Officer, the Treasurer, any Assistant Treasurer, the Controller, the Secretary or any Assistant Secretary, with such signatories certifying the number of shares of the applicable class or series of Stock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Lost, Stolen or Destroyed Stock Certificates; Issuance of New Certificates</w:t>
      </w:r>
      <w:r>
        <w:rPr>
          <w:rFonts w:ascii="Arial" w:cs="Arial" w:eastAsia="Arial" w:hAnsi="Arial"/>
          <w:sz w:val="16"/>
          <w:szCs w:val="16"/>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 AND ADVANCEMENT OF EXPENSES</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the General Corporation Law of the State of Delaware (including as it presently exists or may hereafter be amended), any person (a “</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xml:space="preserve">”), by reason of the fact that he or she, or a person for whom he or she is the legal representative, is or was a Director or Officer or, while a Director or Officer,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applicable law, such payment of expenses in advance of the final disposition of such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otherwise.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83" w:name="page284"/>
    <w:bookmarkEnd w:id="283"/>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6.03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If a claim for indemnification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(following the final disposition of such proceeding) is not paid in full within sixty (60) days after the Corporation has received a claim therefor by the Covered Person, or if a claim for any advancement of expenses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is not paid in full within thirty (30)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6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Covered Person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right to indemnification or to advancement of expenses of any Covered Person arising hereunder shall not be eliminated or impaired by an amendment to or repeal of these Bylaws after the occurrence of the act or omission that is the subject of the proceeding for which indemnification or advancement of expenses is sought.</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limit the right of the Corporation, to the extent and in the manner permitted by applicable law, to indemnify and to advance expenses to persons other than Covered Persons when and as authorized by appropriate corporate action.</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Fund Indemnification</w:t>
      </w:r>
      <w:r>
        <w:rPr>
          <w:rFonts w:ascii="Arial" w:cs="Arial" w:eastAsia="Arial" w:hAnsi="Arial"/>
          <w:sz w:val="17"/>
          <w:szCs w:val="17"/>
          <w:color w:val="auto"/>
        </w:rPr>
        <w:t xml:space="preserve">. Any Director or Officer entitled to indemnification, advancement of expenses and/or insurance coverage, in each case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applicable law, and that is a director, officer or employee of Cinven Partners LLP or any of its affiliates (each a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each such director, officer or employee a “</w:t>
      </w:r>
      <w:r>
        <w:rPr>
          <w:rFonts w:ascii="Arial" w:cs="Arial" w:eastAsia="Arial" w:hAnsi="Arial"/>
          <w:sz w:val="17"/>
          <w:szCs w:val="17"/>
          <w:b w:val="1"/>
          <w:bCs w:val="1"/>
          <w:i w:val="1"/>
          <w:iCs w:val="1"/>
          <w:color w:val="auto"/>
        </w:rPr>
        <w:t>Sponsor Indemnitee</w:t>
      </w:r>
      <w:r>
        <w:rPr>
          <w:rFonts w:ascii="Arial" w:cs="Arial" w:eastAsia="Arial" w:hAnsi="Arial"/>
          <w:sz w:val="17"/>
          <w:szCs w:val="17"/>
          <w:color w:val="auto"/>
        </w:rPr>
        <w:t>”) may have certain rights to indemnification, advancement of expenses and/or insurance provided by or on behalf of a Sponsor and/or any of its affiliates (collectively, the “</w:t>
      </w:r>
      <w:r>
        <w:rPr>
          <w:rFonts w:ascii="Arial" w:cs="Arial" w:eastAsia="Arial" w:hAnsi="Arial"/>
          <w:sz w:val="17"/>
          <w:szCs w:val="17"/>
          <w:b w:val="1"/>
          <w:bCs w:val="1"/>
          <w:i w:val="1"/>
          <w:iCs w:val="1"/>
          <w:color w:val="auto"/>
        </w:rPr>
        <w:t>Fund Indemnitors</w:t>
      </w:r>
      <w:r>
        <w:rPr>
          <w:rFonts w:ascii="Arial" w:cs="Arial" w:eastAsia="Arial" w:hAnsi="Arial"/>
          <w:sz w:val="17"/>
          <w:szCs w:val="17"/>
          <w:color w:val="auto"/>
        </w:rPr>
        <w:t xml:space="preserve">”). Notwithstanding anything to the contrary in these Bylaws or otherwise with respect to the obligations as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(i) the Corporation is the indemnitor of first resort (i.e., the Corporation’s obligations to each Sponsor Indemnitee are primary and any obligation of the Fund Indemnitors to advance expenses or to provide indemnification for the same expenses or liabilities incurred by each Sponsor Indemnitee are secondary), (ii) the Corporation will be required to advance the full amount of expenses incurred by each Sponsor Indemnitee and will be liable for the full amount of all liabilities, expenses, judgments, penalties, fines and amounts paid in settlement to the extent legally permitted and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84" w:name="page285"/>
    <w:bookmarkEnd w:id="284"/>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required by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without regard to any rights each Sponsor Indemnitee may have against the Fund Indemnitors, and (iii) to the fullest extent permitted by law, the Corporation irrevocably waives, relinquishes and releases the Fund Indemnitors from any and all claims against the Fund Indemnitors for contribution, subrogation or any other recovery of any kind in respect thereof. Notwithstanding anything to the contrary in these Bylaws or otherwise, no advancement or payment by the Fund Indemnitors on behalf of a Sponsor Indemnitee with respect to any claim for which such Sponsor Indemnitee has sought indemnification or advancement of expenses from the Corporation will affect the foregoing and the Fund Indemnitors will to the fullest extent permitted by law have a right of contribution and/or be subrogated to the extent of such advancement or payment to all of the rights of recovery of such Sponsor Indemnitee against the Corporation. The Fund Indemnitors are express third party beneficiaries of the terms of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a resolution of the Board of Directors.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Manner of Notice</w:t>
      </w:r>
      <w:r>
        <w:rPr>
          <w:rFonts w:ascii="Arial" w:cs="Arial" w:eastAsia="Arial" w:hAnsi="Arial"/>
          <w:sz w:val="16"/>
          <w:szCs w:val="16"/>
          <w:color w:val="auto"/>
        </w:rPr>
        <w:t>. Except as otherwise provided herein or permitted by applicable law, notices to Directors and Stockholders shall be in writing and delivered personally or mailed to the Directors or Stockholders at their respective addresses appearing in the books of the Corporation.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w:t>
      </w:r>
    </w:p>
    <w:p>
      <w:pPr>
        <w:spacing w:after="0" w:line="5" w:lineRule="exact"/>
        <w:rPr>
          <w:sz w:val="20"/>
          <w:szCs w:val="20"/>
          <w:color w:val="auto"/>
        </w:rPr>
      </w:pPr>
    </w:p>
    <w:p>
      <w:pPr>
        <w:ind w:right="140" w:firstLine="8"/>
        <w:spacing w:after="0" w:line="255" w:lineRule="auto"/>
        <w:tabs>
          <w:tab w:leader="none" w:pos="34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days of having been given written notice by the Corporation of its intention to send the single notice permitted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 shall be deemed to have consented to receiving such single written notice. Notice to Directors may be given in person, by mail or by e-mail, telephone, telecopier or other means of electronic transmission.</w:t>
      </w:r>
    </w:p>
    <w:p>
      <w:pPr>
        <w:spacing w:after="0" w:line="19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Waiver of Notice of Meetings of Stockholders, Directors and Committees</w:t>
      </w:r>
      <w:r>
        <w:rPr>
          <w:rFonts w:ascii="Arial" w:cs="Arial" w:eastAsia="Arial" w:hAnsi="Arial"/>
          <w:sz w:val="16"/>
          <w:szCs w:val="16"/>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such meeting, to the transaction of any business because such meeting is not lawfully called or convened. Neither the business to be transacted at, nor the purpose of, any regular or special meeting of the Stockholders, Board of Directors, or members of a committee of the Board of Directors need be specified in a waiver of notice.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85" w:name="page286"/>
    <w:bookmarkEnd w:id="28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These Bylaws may be altered, amended or repealed, and new bylaws made, only by (a) the Board of Directors or</w:t>
      </w:r>
    </w:p>
    <w:p>
      <w:pPr>
        <w:spacing w:after="0" w:line="46" w:lineRule="exact"/>
        <w:rPr>
          <w:sz w:val="20"/>
          <w:szCs w:val="20"/>
          <w:color w:val="auto"/>
        </w:rPr>
      </w:pPr>
    </w:p>
    <w:p>
      <w:pPr>
        <w:ind w:left="260" w:hanging="252"/>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affirmative vote of Stockholders representing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eligible to be cast in an election of Directors.</w:t>
      </w:r>
    </w:p>
    <w:p>
      <w:pPr>
        <w:spacing w:after="0" w:line="68"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4" w:right="3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purpose of the Medpace Holdings, Inc. 2016 Incentive Award Plan (as it may be amended 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Medpace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seventh anniversary of the date of grant of such Option or Stock Appreciation Right if the Option or Stock Appreciation Right initially had a seven-year Option Term or Stock Appreciation Right Term, as applicable).</w:t>
      </w:r>
    </w:p>
    <w:p>
      <w:pPr>
        <w:sectPr>
          <w:pgSz w:w="11900" w:h="16838" w:orient="portrait"/>
          <w:cols w:equalWidth="0" w:num="1">
            <w:col w:w="11420"/>
          </w:cols>
          <w:pgMar w:left="240" w:top="122" w:right="239" w:bottom="1440" w:gutter="0" w:footer="0" w:header="0"/>
        </w:sectPr>
      </w:pPr>
    </w:p>
    <w:bookmarkStart w:id="287" w:name="page288"/>
    <w:bookmarkEnd w:id="28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225" w:lineRule="exact"/>
        <w:rPr>
          <w:sz w:val="20"/>
          <w:szCs w:val="20"/>
          <w:color w:val="auto"/>
        </w:rPr>
      </w:pPr>
    </w:p>
    <w:p>
      <w:pPr>
        <w:ind w:firstLine="921"/>
        <w:spacing w:after="0" w:line="291" w:lineRule="auto"/>
        <w:tabs>
          <w:tab w:leader="none" w:pos="11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2.9(c)(i), 2.9(c)(ii) or 2.9(c)(iii); or (iv) in respect of an Award held by a particular Holder, any acquisition by the Holder or any group of Persons including the Holder (or any entity controlled by the Holder or any group of Persons including the Holder); or</w:t>
      </w:r>
    </w:p>
    <w:p>
      <w:pPr>
        <w:spacing w:after="0" w:line="167" w:lineRule="exact"/>
        <w:rPr>
          <w:rFonts w:ascii="Arial" w:cs="Arial" w:eastAsia="Arial" w:hAnsi="Arial"/>
          <w:sz w:val="16"/>
          <w:szCs w:val="16"/>
          <w:color w:val="auto"/>
        </w:rPr>
      </w:pPr>
    </w:p>
    <w:p>
      <w:pPr>
        <w:ind w:left="1180" w:hanging="259"/>
        <w:spacing w:after="0"/>
        <w:tabs>
          <w:tab w:leader="none" w:pos="1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 or</w:t>
      </w:r>
    </w:p>
    <w:p>
      <w:pPr>
        <w:spacing w:after="0" w:line="225" w:lineRule="exact"/>
        <w:rPr>
          <w:rFonts w:ascii="Arial" w:cs="Arial" w:eastAsia="Arial" w:hAnsi="Arial"/>
          <w:sz w:val="18"/>
          <w:szCs w:val="18"/>
          <w:color w:val="auto"/>
        </w:rPr>
      </w:pPr>
    </w:p>
    <w:p>
      <w:pPr>
        <w:ind w:right="120" w:firstLine="921"/>
        <w:spacing w:after="0" w:line="259" w:lineRule="auto"/>
        <w:tabs>
          <w:tab w:leader="none" w:pos="11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firstLine="1492"/>
        <w:spacing w:after="0" w:line="257" w:lineRule="auto"/>
        <w:tabs>
          <w:tab w:leader="none" w:pos="169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or Cinven beneficially owning, directly or indirectly, at least a majority of the combined voting power of the Successor Entity’s outstanding voting securities immediately after the transaction, and</w:t>
      </w:r>
    </w:p>
    <w:p>
      <w:pPr>
        <w:sectPr>
          <w:pgSz w:w="11900" w:h="16838" w:orient="portrait"/>
          <w:cols w:equalWidth="0" w:num="1">
            <w:col w:w="11400"/>
          </w:cols>
          <w:pgMar w:left="240" w:top="274" w:right="259" w:bottom="1440" w:gutter="0" w:footer="0" w:header="0"/>
        </w:sectPr>
      </w:pPr>
    </w:p>
    <w:bookmarkStart w:id="288" w:name="page289"/>
    <w:bookmarkEnd w:id="288"/>
    <w:p>
      <w:pPr>
        <w:jc w:val="both"/>
        <w:ind w:right="140" w:firstLine="1492"/>
        <w:spacing w:after="0" w:line="312" w:lineRule="auto"/>
        <w:tabs>
          <w:tab w:leader="none" w:pos="1748" w:val="left"/>
        </w:tabs>
        <w:numPr>
          <w:ilvl w:val="1"/>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after which no Person beneficially owns voting securities representing 50% or more of the combined voting power of the Successor Entity;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Person shall be treated for purposes of this Section 2.9(c)(ii) as beneficially owning 50% or more of the combined voting power of the Successor Entity solely as a result of the voting power held in the Company prior to the consummation of the transaction; and</w:t>
      </w:r>
    </w:p>
    <w:p>
      <w:pPr>
        <w:spacing w:after="0" w:line="146" w:lineRule="exact"/>
        <w:rPr>
          <w:rFonts w:ascii="Arial" w:cs="Arial" w:eastAsia="Arial" w:hAnsi="Arial"/>
          <w:sz w:val="16"/>
          <w:szCs w:val="16"/>
          <w:color w:val="auto"/>
        </w:rPr>
      </w:pPr>
    </w:p>
    <w:p>
      <w:pPr>
        <w:ind w:right="240" w:firstLine="1492"/>
        <w:spacing w:after="0" w:line="308" w:lineRule="auto"/>
        <w:tabs>
          <w:tab w:leader="none" w:pos="179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Cinven</w:t>
      </w:r>
      <w:r>
        <w:rPr>
          <w:rFonts w:ascii="Arial" w:cs="Arial" w:eastAsia="Arial" w:hAnsi="Arial"/>
          <w:sz w:val="18"/>
          <w:szCs w:val="18"/>
          <w:color w:val="auto"/>
        </w:rPr>
        <w:t>” shall mean Cinven Capital Management (V) General Partner Limited and its Control Investment Affiliates (excluding, for purposes of the definition of Change in Control, any operating portfolio companies of the foregoing).</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12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ectPr>
          <w:pgSz w:w="11900" w:h="16838" w:orient="portrait"/>
          <w:cols w:equalWidth="0" w:num="1">
            <w:col w:w="11380"/>
          </w:cols>
          <w:pgMar w:left="240" w:top="274" w:right="279" w:bottom="1440" w:gutter="0" w:footer="0" w:header="0"/>
        </w:sectPr>
      </w:pPr>
    </w:p>
    <w:bookmarkStart w:id="289" w:name="page290"/>
    <w:bookmarkEnd w:id="289"/>
    <w:p>
      <w:pPr>
        <w:ind w:right="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2.15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24"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Control</w:t>
      </w:r>
      <w:r>
        <w:rPr>
          <w:rFonts w:ascii="Arial" w:cs="Arial" w:eastAsia="Arial" w:hAnsi="Arial"/>
          <w:sz w:val="16"/>
          <w:szCs w:val="16"/>
          <w:color w:val="auto"/>
        </w:rPr>
        <w:t>” shall mean the possession, directly or indirectly, of the power to direct or cause the direction of the management or policies of a Person, whether through the ability to exercise voting power, by contract or otherwise, and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shall have meanings correlative thereto.</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shall mean, as to any Person, any other Person that (a) directly or indirectly, is in Control of, is Controlled by, or is under common Control with, such Person and (b) is organized by such Person primarily for the purpose of making equity investments in one or more companies.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Covered Employee</w:t>
      </w:r>
      <w:r>
        <w:rPr>
          <w:rFonts w:ascii="Arial" w:cs="Arial" w:eastAsia="Arial" w:hAnsi="Arial"/>
          <w:sz w:val="17"/>
          <w:szCs w:val="17"/>
          <w:color w:val="auto"/>
        </w:rPr>
        <w:t>” shall mean any Employee who is, or could become, a “covered employee” within the meaning of Section 162(m)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Director Limit</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day prior to the Public Trading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248"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Subsidiary.</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ectPr>
          <w:pgSz w:w="11900" w:h="16838" w:orient="portrait"/>
          <w:cols w:equalWidth="0" w:num="1">
            <w:col w:w="11340"/>
          </w:cols>
          <w:pgMar w:left="240" w:top="274" w:right="319" w:bottom="1440" w:gutter="0" w:footer="0" w:header="0"/>
        </w:sectPr>
      </w:pPr>
    </w:p>
    <w:bookmarkStart w:id="290" w:name="page291"/>
    <w:bookmarkEnd w:id="2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13.1(c).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225" w:lineRule="exact"/>
        <w:rPr>
          <w:sz w:val="20"/>
          <w:szCs w:val="20"/>
          <w:color w:val="auto"/>
        </w:rPr>
      </w:pPr>
    </w:p>
    <w:p>
      <w:pPr>
        <w:ind w:right="160" w:firstLine="921"/>
        <w:spacing w:after="0" w:line="276" w:lineRule="auto"/>
        <w:tabs>
          <w:tab w:leader="none" w:pos="11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2" w:lineRule="exact"/>
        <w:rPr>
          <w:rFonts w:ascii="Arial" w:cs="Arial" w:eastAsia="Arial" w:hAnsi="Arial"/>
          <w:sz w:val="17"/>
          <w:szCs w:val="17"/>
          <w:color w:val="auto"/>
        </w:rPr>
      </w:pPr>
    </w:p>
    <w:p>
      <w:pPr>
        <w:ind w:right="320" w:firstLine="921"/>
        <w:spacing w:after="0" w:line="302" w:lineRule="auto"/>
        <w:tabs>
          <w:tab w:leader="none" w:pos="116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54" w:lineRule="exact"/>
        <w:rPr>
          <w:rFonts w:ascii="Arial" w:cs="Arial" w:eastAsia="Arial" w:hAnsi="Arial"/>
          <w:sz w:val="16"/>
          <w:szCs w:val="16"/>
          <w:color w:val="auto"/>
        </w:rPr>
      </w:pPr>
    </w:p>
    <w:p>
      <w:pPr>
        <w:ind w:right="520" w:firstLine="921"/>
        <w:spacing w:after="0" w:line="308" w:lineRule="auto"/>
        <w:tabs>
          <w:tab w:leader="none" w:pos="11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2.9(a) or 2.9(c)) whose election or nomination for election to the Board was approved by a vote of at least a majority</w:t>
      </w:r>
    </w:p>
    <w:p>
      <w:pPr>
        <w:sectPr>
          <w:pgSz w:w="11900" w:h="16838" w:orient="portrait"/>
          <w:cols w:equalWidth="0" w:num="1">
            <w:col w:w="11420"/>
          </w:cols>
          <w:pgMar w:left="240" w:top="274" w:right="239" w:bottom="1440" w:gutter="0" w:footer="0" w:header="0"/>
        </w:sectPr>
      </w:pPr>
    </w:p>
    <w:bookmarkStart w:id="291" w:name="page292"/>
    <w:bookmarkEnd w:id="29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payment, cash bonus award, stock payment, stock bonus award, performance award or incentive award that is paid in cash, Shares or a combination of both, awarded under Section 10.1, which may include, without limitation, deferred stock, deferred stock units, performance awards, retainers, committee fees, and meeting-based fees.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2.42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Administrator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211" w:lineRule="exact"/>
        <w:rPr>
          <w:sz w:val="20"/>
          <w:szCs w:val="20"/>
          <w:color w:val="auto"/>
        </w:rPr>
      </w:pPr>
    </w:p>
    <w:p>
      <w:pPr>
        <w:ind w:right="440" w:firstLine="921"/>
        <w:spacing w:after="0" w:line="308" w:lineRule="auto"/>
        <w:tabs>
          <w:tab w:leader="none" w:pos="115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Performance Criteria that shall be used to establish Performance Goals are limited to the following: (i) net earnings or losses (either before or after one or more of the following: (A) interest, (B) taxes, (C) depreciation, (D) amortization and (E) non-cash equity-based</w:t>
      </w:r>
    </w:p>
    <w:p>
      <w:pPr>
        <w:sectPr>
          <w:pgSz w:w="11900" w:h="16838" w:orient="portrait"/>
          <w:cols w:equalWidth="0" w:num="1">
            <w:col w:w="11400"/>
          </w:cols>
          <w:pgMar w:left="240" w:top="274" w:right="259" w:bottom="1440" w:gutter="0" w:footer="0" w:header="0"/>
        </w:sectPr>
      </w:pPr>
    </w:p>
    <w:bookmarkStart w:id="292" w:name="page293"/>
    <w:bookmarkEnd w:id="2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expense); (ii) gross or net sales or revenue or sales or revenue growth; (iii) net income (either before or after taxes); (iv) adjusted net income;</w:t>
      </w:r>
    </w:p>
    <w:p>
      <w:pPr>
        <w:spacing w:after="0" w:line="46" w:lineRule="exact"/>
        <w:rPr>
          <w:sz w:val="20"/>
          <w:szCs w:val="20"/>
          <w:color w:val="auto"/>
        </w:rPr>
      </w:pPr>
    </w:p>
    <w:p>
      <w:pPr>
        <w:ind w:right="80" w:firstLine="8"/>
        <w:spacing w:after="0" w:line="281" w:lineRule="auto"/>
        <w:tabs>
          <w:tab w:leader="none" w:pos="2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w:t>
      </w:r>
    </w:p>
    <w:p>
      <w:pPr>
        <w:spacing w:after="0" w:line="1" w:lineRule="exact"/>
        <w:rPr>
          <w:rFonts w:ascii="Arial" w:cs="Arial" w:eastAsia="Arial" w:hAnsi="Arial"/>
          <w:sz w:val="16"/>
          <w:szCs w:val="16"/>
          <w:color w:val="auto"/>
        </w:rPr>
      </w:pPr>
    </w:p>
    <w:p>
      <w:pPr>
        <w:jc w:val="both"/>
        <w:ind w:right="100" w:firstLine="8"/>
        <w:spacing w:after="0" w:line="281" w:lineRule="auto"/>
        <w:tabs>
          <w:tab w:leader="none" w:pos="3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w:t>
      </w:r>
    </w:p>
    <w:p>
      <w:pPr>
        <w:spacing w:after="0" w:line="2" w:lineRule="exact"/>
        <w:rPr>
          <w:rFonts w:ascii="Arial" w:cs="Arial" w:eastAsia="Arial" w:hAnsi="Arial"/>
          <w:sz w:val="16"/>
          <w:szCs w:val="16"/>
          <w:color w:val="auto"/>
        </w:rPr>
      </w:pPr>
    </w:p>
    <w:p>
      <w:pPr>
        <w:jc w:val="both"/>
        <w:ind w:right="220" w:firstLine="8"/>
        <w:spacing w:after="0" w:line="281" w:lineRule="auto"/>
        <w:tabs>
          <w:tab w:leader="none" w:pos="4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recruitment and retention of personnel; (xxxiii) human resources management; (xxxiv) supervision of litigation and other legal matters; (xxxv)</w:t>
      </w:r>
    </w:p>
    <w:p>
      <w:pPr>
        <w:spacing w:after="0" w:line="20" w:lineRule="exact"/>
        <w:rPr>
          <w:rFonts w:ascii="Arial" w:cs="Arial" w:eastAsia="Arial" w:hAnsi="Arial"/>
          <w:sz w:val="17"/>
          <w:szCs w:val="17"/>
          <w:color w:val="auto"/>
        </w:rPr>
      </w:pPr>
    </w:p>
    <w:p>
      <w:pPr>
        <w:ind w:right="100"/>
        <w:spacing w:after="0" w:line="254" w:lineRule="auto"/>
        <w:rPr>
          <w:rFonts w:ascii="Arial" w:cs="Arial" w:eastAsia="Arial" w:hAnsi="Arial"/>
          <w:sz w:val="17"/>
          <w:szCs w:val="17"/>
          <w:color w:val="auto"/>
        </w:rPr>
      </w:pPr>
      <w:r>
        <w:rPr>
          <w:rFonts w:ascii="Arial" w:cs="Arial" w:eastAsia="Arial" w:hAnsi="Arial"/>
          <w:sz w:val="18"/>
          <w:szCs w:val="18"/>
          <w:color w:val="auto"/>
        </w:rPr>
        <w:t>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89" w:lineRule="exact"/>
        <w:rPr>
          <w:rFonts w:ascii="Arial" w:cs="Arial" w:eastAsia="Arial" w:hAnsi="Arial"/>
          <w:sz w:val="17"/>
          <w:szCs w:val="17"/>
          <w:color w:val="auto"/>
        </w:rPr>
      </w:pPr>
    </w:p>
    <w:p>
      <w:pPr>
        <w:ind w:right="100" w:firstLine="921"/>
        <w:spacing w:after="0" w:line="288" w:lineRule="auto"/>
        <w:tabs>
          <w:tab w:leader="none" w:pos="1168"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w:t>
      </w:r>
    </w:p>
    <w:p>
      <w:pPr>
        <w:ind w:firstLine="8"/>
        <w:spacing w:after="0" w:line="267" w:lineRule="auto"/>
        <w:tabs>
          <w:tab w:leader="none" w:pos="2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of an unusual nature or of infrequency of occurrence or non-recurring items,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 (xxi) 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ectPr>
          <w:pgSz w:w="11900" w:h="16838" w:orient="portrait"/>
          <w:cols w:equalWidth="0" w:num="1">
            <w:col w:w="11420"/>
          </w:cols>
          <w:pgMar w:left="240" w:top="274" w:right="239" w:bottom="1440" w:gutter="0" w:footer="0" w:header="0"/>
        </w:sectPr>
      </w:pPr>
    </w:p>
    <w:bookmarkStart w:id="293" w:name="page294"/>
    <w:bookmarkEnd w:id="293"/>
    <w:p>
      <w:pPr>
        <w:ind w:right="3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2.43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2.46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“person” or related “group” of “persons” (as such terms are used in Sections 13(d) and 14(d)(2) of the Exchange Act).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2.48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4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2.49 “</w:t>
      </w:r>
      <w:r>
        <w:rPr>
          <w:rFonts w:ascii="Arial" w:cs="Arial" w:eastAsia="Arial" w:hAnsi="Arial"/>
          <w:sz w:val="16"/>
          <w:szCs w:val="16"/>
          <w:u w:val="single" w:color="auto"/>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225"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2.52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w:t>
      </w:r>
    </w:p>
    <w:p>
      <w:pPr>
        <w:sectPr>
          <w:pgSz w:w="11900" w:h="16838" w:orient="portrait"/>
          <w:cols w:equalWidth="0" w:num="1">
            <w:col w:w="11400"/>
          </w:cols>
          <w:pgMar w:left="240" w:top="274" w:right="259" w:bottom="1440" w:gutter="0" w:footer="0" w:header="0"/>
        </w:sectPr>
      </w:pPr>
    </w:p>
    <w:bookmarkStart w:id="294" w:name="page295"/>
    <w:bookmarkEnd w:id="29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then exercisable pursuant to its terms) and to receive from the Company an amount determined by multiplying the difference obtained by subtracting the exercise price per share of such Award from the Fair Market Value on the date of exercise of such Award by the number of Shares with respect to which such Award shall have been exercised, subject to any limitations the Administrator may impose.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2.57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2.58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2.59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225" w:lineRule="exact"/>
        <w:rPr>
          <w:sz w:val="20"/>
          <w:szCs w:val="20"/>
          <w:color w:val="auto"/>
        </w:rPr>
      </w:pPr>
    </w:p>
    <w:p>
      <w:pPr>
        <w:ind w:right="200" w:firstLine="921"/>
        <w:spacing w:after="0" w:line="264" w:lineRule="auto"/>
        <w:tabs>
          <w:tab w:leader="none" w:pos="11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1" w:lineRule="exact"/>
        <w:rPr>
          <w:rFonts w:ascii="Arial" w:cs="Arial" w:eastAsia="Arial" w:hAnsi="Arial"/>
          <w:sz w:val="18"/>
          <w:szCs w:val="18"/>
          <w:color w:val="auto"/>
        </w:rPr>
      </w:pPr>
    </w:p>
    <w:p>
      <w:pPr>
        <w:ind w:right="180" w:firstLine="921"/>
        <w:spacing w:after="0" w:line="264"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181" w:lineRule="exact"/>
        <w:rPr>
          <w:rFonts w:ascii="Arial" w:cs="Arial" w:eastAsia="Arial" w:hAnsi="Arial"/>
          <w:sz w:val="18"/>
          <w:szCs w:val="18"/>
          <w:color w:val="auto"/>
        </w:rPr>
      </w:pPr>
    </w:p>
    <w:p>
      <w:pPr>
        <w:ind w:right="200" w:firstLine="921"/>
        <w:spacing w:after="0" w:line="286" w:lineRule="auto"/>
        <w:tabs>
          <w:tab w:leader="none" w:pos="115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any Program, Award Agreement or otherwise,</w:t>
      </w:r>
    </w:p>
    <w:p>
      <w:pPr>
        <w:sectPr>
          <w:pgSz w:w="11900" w:h="16838" w:orient="portrait"/>
          <w:cols w:equalWidth="0" w:num="1">
            <w:col w:w="11420"/>
          </w:cols>
          <w:pgMar w:left="240" w:top="274" w:right="239" w:bottom="1440" w:gutter="0" w:footer="0" w:header="0"/>
        </w:sectPr>
      </w:pPr>
    </w:p>
    <w:bookmarkStart w:id="295" w:name="page296"/>
    <w:bookmarkEnd w:id="29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right="300" w:firstLine="921"/>
        <w:spacing w:after="0" w:line="286" w:lineRule="auto"/>
        <w:tabs>
          <w:tab w:leader="none" w:pos="115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Subject to Sections 3.1(b) and 13.2, the aggregate number of Shares which may be issued or transferred pursuant to Awards (including, without limitation, Incentive Stock Options) under the Plan is 8,100,000. Any Shares distributed pursuant to an Award may consist, in whole or in part, of authorized and unissued Common Stock, treasury Common Stock or Common Stock purchased on the open market.</w:t>
      </w:r>
    </w:p>
    <w:p>
      <w:pPr>
        <w:spacing w:after="0" w:line="165" w:lineRule="exact"/>
        <w:rPr>
          <w:rFonts w:ascii="Arial" w:cs="Arial" w:eastAsia="Arial" w:hAnsi="Arial"/>
          <w:sz w:val="17"/>
          <w:szCs w:val="17"/>
          <w:color w:val="auto"/>
        </w:rPr>
      </w:pPr>
    </w:p>
    <w:p>
      <w:pPr>
        <w:ind w:firstLine="921"/>
        <w:spacing w:after="0" w:line="268" w:lineRule="auto"/>
        <w:tabs>
          <w:tab w:leader="none" w:pos="116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If any Shares subject to an Award are forfeited or expire, are converted to shares of another Person in connection with a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87" w:lineRule="exact"/>
        <w:rPr>
          <w:rFonts w:ascii="Arial" w:cs="Arial" w:eastAsia="Arial" w:hAnsi="Arial"/>
          <w:sz w:val="17"/>
          <w:szCs w:val="17"/>
          <w:color w:val="auto"/>
        </w:rPr>
      </w:pPr>
    </w:p>
    <w:p>
      <w:pPr>
        <w:ind w:right="100" w:firstLine="921"/>
        <w:spacing w:after="0" w:line="277" w:lineRule="auto"/>
        <w:tabs>
          <w:tab w:leader="none" w:pos="11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w:t>
      </w:r>
    </w:p>
    <w:p>
      <w:pPr>
        <w:sectPr>
          <w:pgSz w:w="11900" w:h="16838" w:orient="portrait"/>
          <w:cols w:equalWidth="0" w:num="1">
            <w:col w:w="11380"/>
          </w:cols>
          <w:pgMar w:left="240" w:top="274" w:right="279" w:bottom="1440" w:gutter="0" w:footer="0" w:header="0"/>
        </w:sectPr>
      </w:pPr>
    </w:p>
    <w:bookmarkStart w:id="296" w:name="page297"/>
    <w:bookmarkEnd w:id="296"/>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7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Limitation on Number of Shares Subject to Awards</w:t>
      </w:r>
      <w:r>
        <w:rPr>
          <w:rFonts w:ascii="Arial" w:cs="Arial" w:eastAsia="Arial" w:hAnsi="Arial"/>
          <w:sz w:val="16"/>
          <w:szCs w:val="16"/>
          <w:color w:val="auto"/>
        </w:rPr>
        <w:t xml:space="preserve">. Notwithstanding any provision in the Plan to the contrary, and subject to Section 13.2, the maximum aggregate number of Shares with respect to one or more Awards that may be granted to any one Person during any calendar year shall be 1,500,000 and the maximum aggregate amount of cash that may be paid in cash to any one Person during any calendar year with respect to one or more Awards payable in cash shall be $5,000,000;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limitations shall not apply prior to the Public Trading Date and, following the Public Trading Date, the foregoing limitations shall not apply until the earliest of: (a) the first material modification of the Plan (including any increase in the number of Shares reserved for issuance under the Plan in accordance with Section 3.1); (b) the issuance of all of the Shares reserved for issuance under the Plan; (c) the expiration of the Plan; (d) the first meeting of stockholders at which members of the Board are to be elected that occurs after the close of the third calendar year following the calendar year in which occurred the first registration of an equity security of the Company under Section 12 of the Exchange Act; or</w:t>
      </w:r>
    </w:p>
    <w:p>
      <w:pPr>
        <w:spacing w:after="0" w:line="1" w:lineRule="exact"/>
        <w:rPr>
          <w:sz w:val="20"/>
          <w:szCs w:val="20"/>
          <w:color w:val="auto"/>
        </w:rPr>
      </w:pPr>
    </w:p>
    <w:p>
      <w:pPr>
        <w:ind w:right="100" w:firstLine="8"/>
        <w:spacing w:after="0" w:line="255"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other date, if any, on which the “reliance period” described under U.S. Treasury Regulation 1.162-27(f)(2) expires pursuant to Section 162(m) of the Code and the rules and regulations promulgated thereunder. To the extent required by Section 162(m) of the Code, Shares subject to Awards which are canceled shall continue to be counted against the Award Limit.</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Vesting Limitations</w:t>
      </w:r>
      <w:r>
        <w:rPr>
          <w:rFonts w:ascii="Arial" w:cs="Arial" w:eastAsia="Arial" w:hAnsi="Arial"/>
          <w:sz w:val="18"/>
          <w:szCs w:val="18"/>
          <w:color w:val="auto"/>
        </w:rPr>
        <w:t xml:space="preserve">. Notwithstanding any other provision of the Plan to the contrary, but subject to Section 13.2 of the Plan, Awards granted under the Plan shall vest no earlier than the first anniversary of the date the Award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Awards that result in the issuance of an aggregate of up to 5% of the shares of Common Stock available pursuant to Section 3.1(a) may be granted to any one or more Eligible Individuals without respect to such minimum vesting provisions. Nothing in this Section 3.4 shall preclude the Administrator from taking action, in its sole discretion, to accelerate the vesting of any Award in connection with or following a Holder’s death, disability, Termination of Service or the consummation of a Change in Control.</w:t>
      </w:r>
    </w:p>
    <w:p>
      <w:pPr>
        <w:sectPr>
          <w:pgSz w:w="11900" w:h="16838" w:orient="portrait"/>
          <w:cols w:equalWidth="0" w:num="1">
            <w:col w:w="11420"/>
          </w:cols>
          <w:pgMar w:left="240" w:top="274" w:right="239" w:bottom="1440" w:gutter="0" w:footer="0" w:header="0"/>
        </w:sectPr>
      </w:pPr>
    </w:p>
    <w:bookmarkStart w:id="297" w:name="page298"/>
    <w:bookmarkEnd w:id="29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3"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w:t>
      </w:r>
    </w:p>
    <w:p>
      <w:pPr>
        <w:sectPr>
          <w:pgSz w:w="11900" w:h="16838" w:orient="portrait"/>
          <w:cols w:equalWidth="0" w:num="1">
            <w:col w:w="11340"/>
          </w:cols>
          <w:pgMar w:left="240" w:top="270" w:right="319" w:bottom="1440" w:gutter="0" w:footer="0" w:header="0"/>
        </w:sectPr>
      </w:pPr>
    </w:p>
    <w:bookmarkStart w:id="298" w:name="page299"/>
    <w:bookmarkEnd w:id="298"/>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listing requirements of any foreign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Non-Employee Director Awards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3" w:lineRule="auto"/>
        <w:tabs>
          <w:tab w:leader="none" w:pos="1157"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w:t>
      </w:r>
    </w:p>
    <w:p>
      <w:pPr>
        <w:spacing w:after="0" w:line="164" w:lineRule="exact"/>
        <w:rPr>
          <w:rFonts w:ascii="Arial" w:cs="Arial" w:eastAsia="Arial" w:hAnsi="Arial"/>
          <w:sz w:val="16"/>
          <w:szCs w:val="16"/>
          <w:color w:val="auto"/>
        </w:rPr>
      </w:pPr>
    </w:p>
    <w:p>
      <w:pPr>
        <w:ind w:right="80" w:firstLine="921"/>
        <w:spacing w:after="0" w:line="264"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Director Limit</w:t>
      </w:r>
      <w:r>
        <w:rPr>
          <w:rFonts w:ascii="Arial" w:cs="Arial" w:eastAsia="Arial" w:hAnsi="Arial"/>
          <w:sz w:val="18"/>
          <w:szCs w:val="18"/>
          <w:color w:val="auto"/>
        </w:rPr>
        <w:t>. Notwithstanding any provision to the contrary in the Plan or in the Non-Employee Director Equity Compensation Policy, the sum of the grant date fair value of equity-based Awards and the amount of any cash compensation granted to a Non-Employee Director during any calendar year shall not exceed $400,000 (the “</w:t>
      </w:r>
      <w:r>
        <w:rPr>
          <w:rFonts w:ascii="Arial" w:cs="Arial" w:eastAsia="Arial" w:hAnsi="Arial"/>
          <w:sz w:val="18"/>
          <w:szCs w:val="18"/>
          <w:u w:val="single" w:color="auto"/>
          <w:color w:val="auto"/>
        </w:rPr>
        <w:t>Director Limit</w:t>
      </w:r>
      <w:r>
        <w:rPr>
          <w:rFonts w:ascii="Arial" w:cs="Arial" w:eastAsia="Arial" w:hAnsi="Arial"/>
          <w:sz w:val="18"/>
          <w:szCs w:val="18"/>
          <w:color w:val="auto"/>
        </w:rPr>
        <w: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Purpose</w:t>
      </w:r>
      <w:r>
        <w:rPr>
          <w:rFonts w:ascii="Arial" w:cs="Arial" w:eastAsia="Arial" w:hAnsi="Arial"/>
          <w:sz w:val="17"/>
          <w:szCs w:val="17"/>
          <w:color w:val="auto"/>
        </w:rPr>
        <w:t xml:space="preserve">. The Administrator may, in its sole discretion, (a) determine whether an Award is intended to qualify as Performance-Based Compensation and (b) at any time after any such determination, alter such intent for any or no reason.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after such decision the Administrator alters such intention for any reason, the provisions of this Article 5 shall no longer control over any other provision contained in the Plan or any applicable Program. The Administrator, in its sole discretion, may (i) grant Awards to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and (ii) subject any Awards intended to qualify as Performance-Based Compensation to additional conditions and restrictions unrelated to any Performance Criteria or Performance Goals (including, without limitation, continued employment or service requirements) to the extent such Awards otherwise satisfy the requirements of this Article 5 with</w:t>
      </w:r>
    </w:p>
    <w:p>
      <w:pPr>
        <w:sectPr>
          <w:pgSz w:w="11900" w:h="16838" w:orient="portrait"/>
          <w:cols w:equalWidth="0" w:num="1">
            <w:col w:w="11380"/>
          </w:cols>
          <w:pgMar w:left="240" w:top="274" w:right="279" w:bottom="1440" w:gutter="0" w:footer="0" w:header="0"/>
        </w:sectPr>
      </w:pPr>
    </w:p>
    <w:bookmarkStart w:id="299" w:name="page300"/>
    <w:bookmarkEnd w:id="29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Performance Criteria and Performance Goals applicable thereto.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8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the Administrator (i) shall, unless otherwise provided in an Award Agreement, have the right to reduce or eliminate the amount payable at a given level of performance to take into account additional factors that the Administrator may deem relevant, including the assessment of individual or corporate performance for the Performance Period, but (ii) shall in no event have the right to increase the amount payable for any reason.</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ectPr>
          <w:pgSz w:w="11900" w:h="16838" w:orient="portrait"/>
          <w:cols w:equalWidth="0" w:num="1">
            <w:col w:w="11300"/>
          </w:cols>
          <w:pgMar w:left="240" w:top="274" w:right="359" w:bottom="1440" w:gutter="0" w:footer="0" w:header="0"/>
        </w:sectPr>
      </w:pPr>
    </w:p>
    <w:bookmarkStart w:id="300" w:name="page301"/>
    <w:bookmarkEnd w:id="30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Option and Stock Appreciation Right Exercise Price</w:t>
      </w:r>
      <w:r>
        <w:rPr>
          <w:rFonts w:ascii="Arial" w:cs="Arial" w:eastAsia="Arial" w:hAnsi="Arial"/>
          <w:sz w:val="16"/>
          <w:szCs w:val="16"/>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exercise price of any Substitute Award shall be determined in accordance with the applicable requirements of Section 424 and 409A of the Code.</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and SAR Term</w:t>
      </w:r>
      <w:r>
        <w:rPr>
          <w:rFonts w:ascii="Arial" w:cs="Arial" w:eastAsia="Arial" w:hAnsi="Arial"/>
          <w:sz w:val="18"/>
          <w:szCs w:val="18"/>
          <w:color w:val="auto"/>
        </w:rPr>
        <w:t>. The term of each Option (the “</w:t>
      </w:r>
      <w:r>
        <w:rPr>
          <w:rFonts w:ascii="Arial" w:cs="Arial" w:eastAsia="Arial" w:hAnsi="Arial"/>
          <w:sz w:val="18"/>
          <w:szCs w:val="18"/>
          <w:u w:val="single" w:color="auto"/>
          <w:color w:val="auto"/>
        </w:rPr>
        <w:t>Option Term</w:t>
      </w:r>
      <w:r>
        <w:rPr>
          <w:rFonts w:ascii="Arial" w:cs="Arial" w:eastAsia="Arial" w:hAnsi="Arial"/>
          <w:sz w:val="18"/>
          <w:szCs w:val="18"/>
          <w:color w:val="auto"/>
        </w:rPr>
        <w:t>”) and the term of each Stock Appreciation Right (the “</w:t>
      </w:r>
      <w:r>
        <w:rPr>
          <w:rFonts w:ascii="Arial" w:cs="Arial" w:eastAsia="Arial" w:hAnsi="Arial"/>
          <w:sz w:val="18"/>
          <w:szCs w:val="18"/>
          <w:u w:val="single" w:color="auto"/>
          <w:color w:val="auto"/>
        </w:rPr>
        <w:t>SAR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Term or SAR Term, as applicable, shall not</w:t>
      </w:r>
    </w:p>
    <w:p>
      <w:pPr>
        <w:sectPr>
          <w:pgSz w:w="11900" w:h="16838" w:orient="portrait"/>
          <w:cols w:equalWidth="0" w:num="1">
            <w:col w:w="11420"/>
          </w:cols>
          <w:pgMar w:left="240" w:top="274" w:right="239" w:bottom="1440" w:gutter="0" w:footer="0" w:header="0"/>
        </w:sectPr>
      </w:pPr>
    </w:p>
    <w:bookmarkStart w:id="301" w:name="page302"/>
    <w:bookmarkEnd w:id="30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more than (a) ten (10) years from the date the Option or Stock Appreciation Right, as applicable, is granted to an Eligible Individual (other than, in the case of Incentive Stock Options,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subject to Section 3.3.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its Fair Market Value as of the date the Stock Appreciation Right is exercised), or a combination of both, as determined by the Administrator.</w:t>
      </w:r>
    </w:p>
    <w:p>
      <w:pPr>
        <w:sectPr>
          <w:pgSz w:w="11900" w:h="16838" w:orient="portrait"/>
          <w:cols w:equalWidth="0" w:num="1">
            <w:col w:w="11420"/>
          </w:cols>
          <w:pgMar w:left="240" w:top="274" w:right="239" w:bottom="1440" w:gutter="0" w:footer="0" w:header="0"/>
        </w:sectPr>
      </w:pPr>
    </w:p>
    <w:bookmarkStart w:id="302" w:name="page303"/>
    <w:bookmarkEnd w:id="302"/>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designated by the Administrator, or his, her or its office, as applicable:</w:t>
      </w:r>
    </w:p>
    <w:p>
      <w:pPr>
        <w:spacing w:after="0" w:line="181" w:lineRule="exact"/>
        <w:rPr>
          <w:sz w:val="20"/>
          <w:szCs w:val="20"/>
          <w:color w:val="auto"/>
        </w:rPr>
      </w:pPr>
    </w:p>
    <w:p>
      <w:pPr>
        <w:ind w:right="40" w:firstLine="921"/>
        <w:spacing w:after="0" w:line="264" w:lineRule="auto"/>
        <w:tabs>
          <w:tab w:leader="none" w:pos="11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Stock Appreciation Right, or a portion thereof, is exercised. The notice shall be signed or otherwise acknowledged electronically by the Holder or other Person then entitled to exercise the Option or Stock Appreciation Right or such portion thereof;</w:t>
      </w:r>
    </w:p>
    <w:p>
      <w:pPr>
        <w:spacing w:after="0" w:line="181"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w:t>
      </w:r>
    </w:p>
    <w:p>
      <w:pPr>
        <w:spacing w:after="0" w:line="170" w:lineRule="exact"/>
        <w:rPr>
          <w:rFonts w:ascii="Arial" w:cs="Arial" w:eastAsia="Arial" w:hAnsi="Arial"/>
          <w:sz w:val="18"/>
          <w:szCs w:val="18"/>
          <w:color w:val="auto"/>
        </w:rPr>
      </w:pPr>
    </w:p>
    <w:p>
      <w:pPr>
        <w:ind w:right="180" w:firstLine="921"/>
        <w:spacing w:after="0" w:line="342" w:lineRule="auto"/>
        <w:tabs>
          <w:tab w:leader="none" w:pos="115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that the Option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123" w:lineRule="exact"/>
        <w:rPr>
          <w:rFonts w:ascii="Arial" w:cs="Arial" w:eastAsia="Arial" w:hAnsi="Arial"/>
          <w:sz w:val="16"/>
          <w:szCs w:val="16"/>
          <w:color w:val="auto"/>
        </w:rPr>
      </w:pPr>
    </w:p>
    <w:p>
      <w:pPr>
        <w:ind w:right="280" w:firstLine="921"/>
        <w:spacing w:after="0" w:line="277"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for the Shares with respect to which the Option or Stock Appreciation Right, or portion thereof, is exercised, in a manner permitted by the Administrator in accordance with Sections 11.1 and 11.2.</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11.1(b) or 11.1(c) and the Company or any Subsidiary shall be entitled to deduct or withhold an amount sufficient to satisfy 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w:t>
      </w:r>
    </w:p>
    <w:p>
      <w:pPr>
        <w:sectPr>
          <w:pgSz w:w="11900" w:h="16838" w:orient="portrait"/>
          <w:cols w:equalWidth="0" w:num="1">
            <w:col w:w="11400"/>
          </w:cols>
          <w:pgMar w:left="240" w:top="274" w:right="259" w:bottom="1440" w:gutter="0" w:footer="0" w:header="0"/>
        </w:sectPr>
      </w:pPr>
    </w:p>
    <w:bookmarkStart w:id="303" w:name="page304"/>
    <w:bookmarkEnd w:id="30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is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Restrictions</w:t>
      </w:r>
      <w:r>
        <w:rPr>
          <w:rFonts w:ascii="Arial" w:cs="Arial" w:eastAsia="Arial" w:hAnsi="Arial"/>
          <w:sz w:val="17"/>
          <w:szCs w:val="17"/>
          <w:color w:val="auto"/>
        </w:rPr>
        <w:t>. All shares of Restricted Stock (including any shares received by Holders thereof with respect to shares of Restricted Stock as a result of stock dividends, stock splits or any other form of recapitalization) shall be subject to such restrictions and vesting requirements as the Administrator shall provide in the applicable Program or Award Agreement, subject to Section 3.3.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Except as otherwise determined by the Administrator, if no price was paid by the Holder for the Restricted Stock, upon a Termination of Service during the applicable restriction period, the Holder’s rights in unvested</w:t>
      </w:r>
    </w:p>
    <w:p>
      <w:pPr>
        <w:sectPr>
          <w:pgSz w:w="11900" w:h="16838" w:orient="portrait"/>
          <w:cols w:equalWidth="0" w:num="1">
            <w:col w:w="11380"/>
          </w:cols>
          <w:pgMar w:left="240" w:top="274" w:right="279" w:bottom="1440" w:gutter="0" w:footer="0" w:header="0"/>
        </w:sectPr>
      </w:pPr>
    </w:p>
    <w:bookmarkStart w:id="304" w:name="page305"/>
    <w:bookmarkEnd w:id="30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except as otherwise provided by Section 3.3,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 Restricted Stock Unit award shall be set by the Administrator in its sole discretion.</w:t>
      </w:r>
    </w:p>
    <w:p>
      <w:pPr>
        <w:spacing w:after="0" w:line="23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value of the consideration shall not be less than the par value of a Share, unless otherwise permitted by Applicable Law.</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w:t>
      </w:r>
    </w:p>
    <w:p>
      <w:pPr>
        <w:spacing w:after="0" w:line="15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Maturity and Payment</w:t>
      </w:r>
      <w:r>
        <w:rPr>
          <w:rFonts w:ascii="Arial" w:cs="Arial" w:eastAsia="Arial" w:hAnsi="Arial"/>
          <w:sz w:val="18"/>
          <w:szCs w:val="18"/>
          <w:color w:val="auto"/>
        </w:rPr>
        <w:t>. At the time of grant, the Administrator shall specify the maturity date applicable to each grant of Restricted Stock Units, which shall be no earlier than the vesting date or dates of the Award and may be determined at the election of the Holder (if</w:t>
      </w:r>
    </w:p>
    <w:p>
      <w:pPr>
        <w:sectPr>
          <w:pgSz w:w="11900" w:h="16838" w:orient="portrait"/>
          <w:cols w:equalWidth="0" w:num="1">
            <w:col w:w="11400"/>
          </w:cols>
          <w:pgMar w:left="240" w:top="273" w:right="259" w:bottom="1440" w:gutter="0" w:footer="0" w:header="0"/>
        </w:sectPr>
      </w:pPr>
    </w:p>
    <w:bookmarkStart w:id="305" w:name="page306"/>
    <w:bookmarkEnd w:id="305"/>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calendar year in which the applicable portion of the Restricted Stock Unit vests; or (b)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subject to Section 3.3.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82"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w:t>
      </w:r>
    </w:p>
    <w:p>
      <w:pPr>
        <w:sectPr>
          <w:pgSz w:w="11900" w:h="16838" w:orient="portrait"/>
          <w:cols w:equalWidth="0" w:num="1">
            <w:col w:w="11420"/>
          </w:cols>
          <w:pgMar w:left="240" w:top="273" w:right="239" w:bottom="1440" w:gutter="0" w:footer="0" w:header="0"/>
        </w:sectPr>
      </w:pPr>
    </w:p>
    <w:bookmarkStart w:id="306" w:name="page307"/>
    <w:bookmarkEnd w:id="306"/>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held for such minimum period of time as may be established by the Administrator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Subsidiary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11.1 hereof, including without limitation, by allowing such Holder to elect to have the Company or any Subsidiary withhold Shares otherwise issuable under an Award (or allow the surrender of Shares). The number of Shares that may be so withheld or surrendered shall be no greater than the number of Shares that have a fair market value on the date of withholding or repurchase equal to the aggregate amount of such liabilities based on the maximum statutory withholding rates in such Holder’s applicable jurisdictions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ectPr>
          <w:pgSz w:w="11900" w:h="16838" w:orient="portrait"/>
          <w:cols w:equalWidth="0" w:num="1">
            <w:col w:w="11420"/>
          </w:cols>
          <w:pgMar w:left="240" w:top="274" w:right="2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225" w:lineRule="exact"/>
        <w:rPr>
          <w:sz w:val="20"/>
          <w:szCs w:val="20"/>
          <w:color w:val="auto"/>
        </w:rPr>
      </w:pPr>
    </w:p>
    <w:p>
      <w:pPr>
        <w:ind w:left="700" w:hanging="239"/>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Except as otherwise provided in Sections 11.3(b) and 11.3(c):</w:t>
      </w:r>
    </w:p>
    <w:p>
      <w:pPr>
        <w:spacing w:after="0" w:line="225" w:lineRule="exact"/>
        <w:rPr>
          <w:rFonts w:ascii="Arial" w:cs="Arial" w:eastAsia="Arial" w:hAnsi="Arial"/>
          <w:sz w:val="18"/>
          <w:szCs w:val="18"/>
          <w:color w:val="auto"/>
        </w:rPr>
      </w:pPr>
    </w:p>
    <w:p>
      <w:pPr>
        <w:ind w:left="-460" w:right="280" w:firstLine="1492"/>
        <w:spacing w:after="0" w:line="264" w:lineRule="auto"/>
        <w:tabs>
          <w:tab w:leader="none" w:pos="123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81" w:lineRule="exact"/>
        <w:rPr>
          <w:rFonts w:ascii="Arial" w:cs="Arial" w:eastAsia="Arial" w:hAnsi="Arial"/>
          <w:sz w:val="18"/>
          <w:szCs w:val="18"/>
          <w:color w:val="auto"/>
        </w:rPr>
      </w:pPr>
    </w:p>
    <w:p>
      <w:pPr>
        <w:ind w:left="-460" w:right="40" w:firstLine="1492"/>
        <w:spacing w:after="0" w:line="273" w:lineRule="auto"/>
        <w:tabs>
          <w:tab w:leader="none" w:pos="128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178" w:lineRule="exact"/>
        <w:rPr>
          <w:rFonts w:ascii="Arial" w:cs="Arial" w:eastAsia="Arial" w:hAnsi="Arial"/>
          <w:sz w:val="17"/>
          <w:szCs w:val="17"/>
          <w:color w:val="auto"/>
        </w:rPr>
      </w:pPr>
    </w:p>
    <w:p>
      <w:pPr>
        <w:ind w:left="-460" w:right="220" w:firstLine="1492"/>
        <w:spacing w:after="0" w:line="302" w:lineRule="auto"/>
        <w:tabs>
          <w:tab w:leader="none" w:pos="133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54" w:lineRule="exact"/>
        <w:rPr>
          <w:rFonts w:ascii="Arial" w:cs="Arial" w:eastAsia="Arial" w:hAnsi="Arial"/>
          <w:sz w:val="16"/>
          <w:szCs w:val="16"/>
          <w:color w:val="auto"/>
        </w:rPr>
      </w:pPr>
    </w:p>
    <w:p>
      <w:pPr>
        <w:ind w:left="-460" w:firstLine="921"/>
        <w:spacing w:after="0" w:line="270" w:lineRule="auto"/>
        <w:tabs>
          <w:tab w:leader="none" w:pos="70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w:t>
      </w:r>
    </w:p>
    <w:p>
      <w:pPr>
        <w:sectPr>
          <w:pgSz w:w="11900" w:h="16838" w:orient="portrait"/>
          <w:cols w:equalWidth="0" w:num="1">
            <w:col w:w="10960"/>
          </w:cols>
          <w:pgMar w:left="700" w:top="274" w:right="239" w:bottom="1440" w:gutter="0" w:footer="0" w:header="0"/>
        </w:sectPr>
      </w:pPr>
    </w:p>
    <w:bookmarkStart w:id="308" w:name="page309"/>
    <w:bookmarkEnd w:id="30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notwithstanding Section 11.3(a),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81" w:lineRule="exact"/>
        <w:rPr>
          <w:sz w:val="20"/>
          <w:szCs w:val="20"/>
          <w:color w:val="auto"/>
        </w:rPr>
      </w:pPr>
    </w:p>
    <w:p>
      <w:pPr>
        <w:ind w:right="60" w:firstLine="921"/>
        <w:spacing w:after="0" w:line="289" w:lineRule="auto"/>
        <w:tabs>
          <w:tab w:leader="none" w:pos="11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3" w:lineRule="auto"/>
        <w:tabs>
          <w:tab w:leader="none" w:pos="115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78" w:lineRule="exact"/>
        <w:rPr>
          <w:rFonts w:ascii="Arial" w:cs="Arial" w:eastAsia="Arial" w:hAnsi="Arial"/>
          <w:sz w:val="17"/>
          <w:szCs w:val="17"/>
          <w:color w:val="auto"/>
        </w:rPr>
      </w:pPr>
    </w:p>
    <w:p>
      <w:pPr>
        <w:ind w:right="20" w:firstLine="921"/>
        <w:spacing w:after="0" w:line="312" w:lineRule="auto"/>
        <w:tabs>
          <w:tab w:leader="none" w:pos="116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46" w:lineRule="exact"/>
        <w:rPr>
          <w:rFonts w:ascii="Arial" w:cs="Arial" w:eastAsia="Arial" w:hAnsi="Arial"/>
          <w:sz w:val="16"/>
          <w:szCs w:val="16"/>
          <w:color w:val="auto"/>
        </w:rPr>
      </w:pPr>
    </w:p>
    <w:p>
      <w:pPr>
        <w:ind w:right="260" w:firstLine="921"/>
        <w:spacing w:after="0" w:line="342" w:lineRule="auto"/>
        <w:tabs>
          <w:tab w:leader="none" w:pos="115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ectPr>
          <w:pgSz w:w="11900" w:h="16838" w:orient="portrait"/>
          <w:cols w:equalWidth="0" w:num="1">
            <w:col w:w="11380"/>
          </w:cols>
          <w:pgMar w:left="240" w:top="274" w:right="279" w:bottom="1440" w:gutter="0" w:footer="0" w:header="0"/>
        </w:sectPr>
      </w:pPr>
    </w:p>
    <w:bookmarkStart w:id="309" w:name="page310"/>
    <w:bookmarkEnd w:id="309"/>
    <w:p>
      <w:pPr>
        <w:ind w:right="580" w:firstLine="921"/>
        <w:spacing w:after="0" w:line="277" w:lineRule="auto"/>
        <w:tabs>
          <w:tab w:leader="none" w:pos="1168"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fractional Shares shall be issued and the Administrator, in its sole discretion, shall determine whether cash shall be given in lieu of fractional Shares or whether such fractional Shares shall be eliminated by rounding down.</w:t>
      </w:r>
    </w:p>
    <w:p>
      <w:pPr>
        <w:spacing w:after="0" w:line="170" w:lineRule="exact"/>
        <w:rPr>
          <w:rFonts w:ascii="Arial" w:cs="Arial" w:eastAsia="Arial" w:hAnsi="Arial"/>
          <w:sz w:val="18"/>
          <w:szCs w:val="18"/>
          <w:color w:val="auto"/>
        </w:rPr>
      </w:pPr>
    </w:p>
    <w:p>
      <w:pPr>
        <w:ind w:firstLine="921"/>
        <w:spacing w:after="0" w:line="312" w:lineRule="auto"/>
        <w:tabs>
          <w:tab w:leader="none" w:pos="115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46" w:lineRule="exact"/>
        <w:rPr>
          <w:rFonts w:ascii="Arial" w:cs="Arial" w:eastAsia="Arial" w:hAnsi="Arial"/>
          <w:sz w:val="16"/>
          <w:szCs w:val="16"/>
          <w:color w:val="auto"/>
        </w:rPr>
      </w:pPr>
    </w:p>
    <w:p>
      <w:pPr>
        <w:ind w:right="80" w:firstLine="921"/>
        <w:spacing w:after="0" w:line="264" w:lineRule="auto"/>
        <w:tabs>
          <w:tab w:leader="none" w:pos="113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13.2, the Administrator shall not,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9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w:t>
      </w:r>
    </w:p>
    <w:p>
      <w:pPr>
        <w:sectPr>
          <w:pgSz w:w="11900" w:h="16838" w:orient="portrait"/>
          <w:cols w:equalWidth="0" w:num="1">
            <w:col w:w="11400"/>
          </w:cols>
          <w:pgMar w:left="240" w:top="273" w:right="259" w:bottom="1440" w:gutter="0" w:footer="0" w:header="0"/>
        </w:sectPr>
      </w:pPr>
    </w:p>
    <w:bookmarkStart w:id="310" w:name="page311"/>
    <w:bookmarkEnd w:id="31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taking into account any related action, would not materially and adversely affect the Holder, or (b) the change is otherwise permitted under the Plan (including, without limitation, under Section 13.2 or 13.10).</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and details of all Awards, in each case, for the purpose of implementing, managing and administering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w:t>
      </w:r>
    </w:p>
    <w:p>
      <w:pPr>
        <w:sectPr>
          <w:pgSz w:w="11900" w:h="16838" w:orient="portrait"/>
          <w:cols w:equalWidth="0" w:num="1">
            <w:col w:w="11380"/>
          </w:cols>
          <w:pgMar w:left="240" w:top="273" w:right="279" w:bottom="1440" w:gutter="0" w:footer="0" w:header="0"/>
        </w:sectPr>
      </w:pPr>
    </w:p>
    <w:bookmarkStart w:id="311" w:name="page312"/>
    <w:bookmarkEnd w:id="311"/>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(ii) the Board or Committee may delegate its authority hereunder to the extent permitted by Section 12.6.</w:t>
      </w:r>
    </w:p>
    <w:p>
      <w:pPr>
        <w:spacing w:after="0" w:line="17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Administrator</w:t>
      </w:r>
      <w:r>
        <w:rPr>
          <w:rFonts w:ascii="Arial" w:cs="Arial" w:eastAsia="Arial" w:hAnsi="Arial"/>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the Organizational Documents, any specific designation in the Plan and Applicable Law, the Administrator has the exclusive power, authority and sole discretion 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Designate Eligible Individuals to receive Awards;</w:t>
      </w:r>
    </w:p>
    <w:p>
      <w:pPr>
        <w:sectPr>
          <w:pgSz w:w="11900" w:h="16838" w:orient="portrait"/>
          <w:cols w:equalWidth="0" w:num="1">
            <w:col w:w="11420"/>
          </w:cols>
          <w:pgMar w:left="240" w:top="274" w:right="239" w:bottom="1440" w:gutter="0" w:footer="0" w:header="0"/>
        </w:sectPr>
      </w:pPr>
    </w:p>
    <w:bookmarkStart w:id="312" w:name="page313"/>
    <w:bookmarkEnd w:id="312"/>
    <w:p>
      <w:pPr>
        <w:ind w:right="40" w:firstLine="921"/>
        <w:spacing w:after="0" w:line="277"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the type or types of Awards to be granted to each Eligible Individual (including, without limitation, any Awards granted in tandem with another Award granted pursuant to the Plan);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ind w:right="200" w:firstLine="921"/>
        <w:spacing w:after="0" w:line="302" w:lineRule="auto"/>
        <w:tabs>
          <w:tab w:leader="none" w:pos="116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purchase price, any Performance Criteria or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54" w:lineRule="exact"/>
        <w:rPr>
          <w:rFonts w:ascii="Arial" w:cs="Arial" w:eastAsia="Arial" w:hAnsi="Arial"/>
          <w:sz w:val="16"/>
          <w:szCs w:val="16"/>
          <w:color w:val="auto"/>
        </w:rPr>
      </w:pPr>
    </w:p>
    <w:p>
      <w:pPr>
        <w:ind w:right="80" w:firstLine="921"/>
        <w:spacing w:after="0" w:line="277" w:lineRule="auto"/>
        <w:tabs>
          <w:tab w:leader="none" w:pos="11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Establish, adopt, or revise any Programs, rules and regulations as it may deem necessary or advisable to administer the Plan;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25" w:lineRule="exact"/>
        <w:rPr>
          <w:rFonts w:ascii="Arial" w:cs="Arial" w:eastAsia="Arial" w:hAnsi="Arial"/>
          <w:sz w:val="18"/>
          <w:szCs w:val="18"/>
          <w:color w:val="auto"/>
        </w:rPr>
      </w:pPr>
    </w:p>
    <w:p>
      <w:pPr>
        <w:ind w:firstLine="921"/>
        <w:spacing w:after="0" w:line="277" w:lineRule="auto"/>
        <w:tabs>
          <w:tab w:leader="none" w:pos="112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70" w:lineRule="exact"/>
        <w:rPr>
          <w:rFonts w:ascii="Arial" w:cs="Arial" w:eastAsia="Arial" w:hAnsi="Arial"/>
          <w:sz w:val="18"/>
          <w:szCs w:val="18"/>
          <w:color w:val="auto"/>
        </w:rPr>
      </w:pPr>
    </w:p>
    <w:p>
      <w:pPr>
        <w:ind w:right="380" w:firstLine="921"/>
        <w:spacing w:after="0" w:line="277"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3.3 and Section 13.2.</w:t>
      </w:r>
    </w:p>
    <w:p>
      <w:pPr>
        <w:spacing w:after="0" w:line="17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or Committee may from time to time delegate to a committee of one or more members of the Board or one or more officers of the Company the authority to grant or amend Awards or to take other administrative actions pursuant</w:t>
      </w:r>
    </w:p>
    <w:p>
      <w:pPr>
        <w:sectPr>
          <w:pgSz w:w="11900" w:h="16838" w:orient="portrait"/>
          <w:cols w:equalWidth="0" w:num="1">
            <w:col w:w="11400"/>
          </w:cols>
          <w:pgMar w:left="240" w:top="273" w:right="259" w:bottom="1440" w:gutter="0" w:footer="0" w:header="0"/>
        </w:sectPr>
      </w:pPr>
    </w:p>
    <w:bookmarkStart w:id="313" w:name="page314"/>
    <w:bookmarkEnd w:id="3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this Article 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an officer of the Company be delegated the authority to grant Awards to, or amend Awards held by, the following individuals: (a) individuals who are subject to Section 16 of the Exchange Act, (b) Covered Employees with respect to Awards intended to constitute Performance Based Compensation,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59" w:lineRule="auto"/>
        <w:tabs>
          <w:tab w:leader="none" w:pos="115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86"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88" w:lineRule="exact"/>
        <w:rPr>
          <w:rFonts w:ascii="Arial" w:cs="Arial" w:eastAsia="Arial" w:hAnsi="Arial"/>
          <w:sz w:val="18"/>
          <w:szCs w:val="18"/>
          <w:color w:val="auto"/>
        </w:rPr>
      </w:pPr>
    </w:p>
    <w:p>
      <w:pPr>
        <w:ind w:right="60" w:firstLine="921"/>
        <w:spacing w:after="0" w:line="302" w:lineRule="auto"/>
        <w:tabs>
          <w:tab w:leader="none" w:pos="115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3"/>
          <w:szCs w:val="13"/>
          <w:color w:val="auto"/>
        </w:rPr>
        <w:t>th</w:t>
      </w:r>
      <w:r>
        <w:rPr>
          <w:rFonts w:ascii="Arial" w:cs="Arial" w:eastAsia="Arial" w:hAnsi="Arial"/>
          <w:sz w:val="16"/>
          <w:szCs w:val="16"/>
          <w:color w:val="auto"/>
        </w:rPr>
        <w:t>) anniversary of the earlier of (i) the date on which the Plan was adopted by the Board or (ii) the date the Plan was approved by the Company’s stockholders (such anniversary,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the applicable Program and the applicable Award Agreement.</w:t>
      </w:r>
    </w:p>
    <w:p>
      <w:pPr>
        <w:sectPr>
          <w:pgSz w:w="11900" w:h="16838" w:orient="portrait"/>
          <w:cols w:equalWidth="0" w:num="1">
            <w:col w:w="11380"/>
          </w:cols>
          <w:pgMar w:left="240" w:top="274" w:right="2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225" w:lineRule="exact"/>
        <w:rPr>
          <w:sz w:val="20"/>
          <w:szCs w:val="20"/>
          <w:color w:val="auto"/>
        </w:rPr>
      </w:pPr>
    </w:p>
    <w:p>
      <w:pPr>
        <w:ind w:left="-460" w:firstLine="921"/>
        <w:spacing w:after="0" w:line="270" w:lineRule="auto"/>
        <w:tabs>
          <w:tab w:leader="none" w:pos="69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177" w:lineRule="exact"/>
        <w:rPr>
          <w:rFonts w:ascii="Arial" w:cs="Arial" w:eastAsia="Arial" w:hAnsi="Arial"/>
          <w:sz w:val="17"/>
          <w:szCs w:val="17"/>
          <w:color w:val="auto"/>
        </w:rPr>
      </w:pPr>
    </w:p>
    <w:p>
      <w:pPr>
        <w:ind w:left="-460" w:right="40" w:firstLine="921"/>
        <w:spacing w:after="0" w:line="255" w:lineRule="auto"/>
        <w:tabs>
          <w:tab w:leader="none" w:pos="70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9" w:lineRule="exact"/>
        <w:rPr>
          <w:rFonts w:ascii="Arial" w:cs="Arial" w:eastAsia="Arial" w:hAnsi="Arial"/>
          <w:sz w:val="18"/>
          <w:szCs w:val="18"/>
          <w:color w:val="auto"/>
        </w:rPr>
      </w:pPr>
    </w:p>
    <w:p>
      <w:pPr>
        <w:ind w:left="-460" w:right="60" w:firstLine="1492"/>
        <w:spacing w:after="0" w:line="302" w:lineRule="auto"/>
        <w:tabs>
          <w:tab w:leader="none" w:pos="123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154" w:lineRule="exact"/>
        <w:rPr>
          <w:rFonts w:ascii="Arial" w:cs="Arial" w:eastAsia="Arial" w:hAnsi="Arial"/>
          <w:sz w:val="16"/>
          <w:szCs w:val="16"/>
          <w:color w:val="auto"/>
        </w:rPr>
      </w:pPr>
    </w:p>
    <w:p>
      <w:pPr>
        <w:ind w:left="-460" w:right="440" w:firstLine="1492"/>
        <w:spacing w:after="0" w:line="312" w:lineRule="auto"/>
        <w:tabs>
          <w:tab w:leader="none" w:pos="128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ectPr>
          <w:pgSz w:w="11900" w:h="16838" w:orient="portrait"/>
          <w:cols w:equalWidth="0" w:num="1">
            <w:col w:w="10880"/>
          </w:cols>
          <w:pgMar w:left="700" w:top="273" w:right="319" w:bottom="1440" w:gutter="0" w:footer="0" w:header="0"/>
        </w:sectPr>
      </w:pPr>
    </w:p>
    <w:bookmarkStart w:id="315" w:name="page316"/>
    <w:bookmarkEnd w:id="315"/>
    <w:p>
      <w:pPr>
        <w:ind w:left="-8" w:right="160" w:firstLine="1492"/>
        <w:spacing w:after="0" w:line="264" w:lineRule="auto"/>
        <w:tabs>
          <w:tab w:leader="none" w:pos="1790" w:val="left"/>
        </w:tabs>
        <w:numPr>
          <w:ilvl w:val="2"/>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adjustments in the number and type of Shares of the Company’s stock (or other securities or property) subject to such Award, and/or in the terms and conditions of (including the grant or exercise price), and the criteria included in, outstanding Awards and Awards which may be granted in the future;</w:t>
      </w:r>
    </w:p>
    <w:p>
      <w:pPr>
        <w:spacing w:after="0" w:line="181" w:lineRule="exact"/>
        <w:rPr>
          <w:rFonts w:ascii="Arial" w:cs="Arial" w:eastAsia="Arial" w:hAnsi="Arial"/>
          <w:sz w:val="18"/>
          <w:szCs w:val="18"/>
          <w:color w:val="auto"/>
        </w:rPr>
      </w:pPr>
    </w:p>
    <w:p>
      <w:pPr>
        <w:ind w:left="-8" w:firstLine="1492"/>
        <w:spacing w:after="0" w:line="277" w:lineRule="auto"/>
        <w:tabs>
          <w:tab w:leader="none" w:pos="17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170" w:lineRule="exact"/>
        <w:rPr>
          <w:rFonts w:ascii="Arial" w:cs="Arial" w:eastAsia="Arial" w:hAnsi="Arial"/>
          <w:sz w:val="18"/>
          <w:szCs w:val="18"/>
          <w:color w:val="auto"/>
        </w:rPr>
      </w:pPr>
    </w:p>
    <w:p>
      <w:pPr>
        <w:ind w:left="1732" w:hanging="248"/>
        <w:spacing w:after="0"/>
        <w:tabs>
          <w:tab w:leader="none" w:pos="173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792" w:hanging="308"/>
        <w:spacing w:after="0"/>
        <w:tabs>
          <w:tab w:leader="none" w:pos="179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248" w:lineRule="exact"/>
        <w:rPr>
          <w:rFonts w:ascii="Arial" w:cs="Arial" w:eastAsia="Arial" w:hAnsi="Arial"/>
          <w:sz w:val="16"/>
          <w:szCs w:val="16"/>
          <w:color w:val="auto"/>
        </w:rPr>
      </w:pPr>
    </w:p>
    <w:p>
      <w:pPr>
        <w:ind w:left="-8" w:right="140" w:firstLine="1492"/>
        <w:spacing w:after="0" w:line="264" w:lineRule="auto"/>
        <w:tabs>
          <w:tab w:leader="none" w:pos="169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13.2(c)(i) shall be nondiscretionary and shall be final and binding on the affected Holder and the Company); and/or</w:t>
      </w:r>
    </w:p>
    <w:p>
      <w:pPr>
        <w:spacing w:after="0" w:line="181" w:lineRule="exact"/>
        <w:rPr>
          <w:rFonts w:ascii="Arial" w:cs="Arial" w:eastAsia="Arial" w:hAnsi="Arial"/>
          <w:sz w:val="18"/>
          <w:szCs w:val="18"/>
          <w:color w:val="auto"/>
        </w:rPr>
      </w:pPr>
    </w:p>
    <w:p>
      <w:pPr>
        <w:ind w:left="-8" w:right="60" w:firstLine="1492"/>
        <w:spacing w:after="0" w:line="259" w:lineRule="auto"/>
        <w:tabs>
          <w:tab w:leader="none" w:pos="174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86" w:lineRule="exact"/>
        <w:rPr>
          <w:rFonts w:ascii="Arial" w:cs="Arial" w:eastAsia="Arial" w:hAnsi="Arial"/>
          <w:sz w:val="18"/>
          <w:szCs w:val="18"/>
          <w:color w:val="auto"/>
        </w:rPr>
      </w:pPr>
    </w:p>
    <w:p>
      <w:pPr>
        <w:ind w:left="-8" w:right="20" w:firstLine="921"/>
        <w:spacing w:after="0" w:line="285" w:lineRule="auto"/>
        <w:tabs>
          <w:tab w:leader="none" w:pos="11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w:t>
      </w:r>
    </w:p>
    <w:p>
      <w:pPr>
        <w:spacing w:after="0" w:line="2" w:lineRule="exact"/>
        <w:rPr>
          <w:rFonts w:ascii="Arial" w:cs="Arial" w:eastAsia="Arial" w:hAnsi="Arial"/>
          <w:sz w:val="16"/>
          <w:szCs w:val="16"/>
          <w:color w:val="auto"/>
        </w:rPr>
      </w:pPr>
    </w:p>
    <w:p>
      <w:pPr>
        <w:ind w:left="-8" w:right="120" w:firstLine="8"/>
        <w:spacing w:after="0" w:line="261" w:lineRule="auto"/>
        <w:tabs>
          <w:tab w:leader="none" w:pos="33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days from the date of such notice, contingent upon the occurrence of the Change in Control, and such Award shall terminate upon the expiration of such period.</w:t>
      </w:r>
    </w:p>
    <w:p>
      <w:pPr>
        <w:spacing w:after="0" w:line="183" w:lineRule="exact"/>
        <w:rPr>
          <w:rFonts w:ascii="Arial" w:cs="Arial" w:eastAsia="Arial" w:hAnsi="Arial"/>
          <w:sz w:val="18"/>
          <w:szCs w:val="18"/>
          <w:color w:val="auto"/>
        </w:rPr>
      </w:pPr>
    </w:p>
    <w:p>
      <w:pPr>
        <w:ind w:left="-8" w:right="100" w:firstLine="921"/>
        <w:spacing w:after="0" w:line="259" w:lineRule="auto"/>
        <w:tabs>
          <w:tab w:leader="none" w:pos="115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w:t>
      </w:r>
    </w:p>
    <w:p>
      <w:pPr>
        <w:sectPr>
          <w:pgSz w:w="11900" w:h="16838" w:orient="portrait"/>
          <w:cols w:equalWidth="0" w:num="1">
            <w:col w:w="11412"/>
          </w:cols>
          <w:pgMar w:left="248" w:top="273" w:right="239" w:bottom="1440" w:gutter="0" w:footer="0" w:header="0"/>
        </w:sectPr>
      </w:pPr>
    </w:p>
    <w:bookmarkStart w:id="316" w:name="page317"/>
    <w:bookmarkEnd w:id="31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71" w:lineRule="exact"/>
        <w:rPr>
          <w:sz w:val="20"/>
          <w:szCs w:val="20"/>
          <w:color w:val="auto"/>
        </w:rPr>
      </w:pPr>
    </w:p>
    <w:p>
      <w:pPr>
        <w:ind w:right="60" w:firstLine="921"/>
        <w:spacing w:after="0" w:line="277" w:lineRule="auto"/>
        <w:tabs>
          <w:tab w:leader="none" w:pos="11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70"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Awards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188" w:lineRule="exact"/>
        <w:rPr>
          <w:rFonts w:ascii="Arial" w:cs="Arial" w:eastAsia="Arial" w:hAnsi="Arial"/>
          <w:sz w:val="18"/>
          <w:szCs w:val="18"/>
          <w:color w:val="auto"/>
        </w:rPr>
      </w:pPr>
    </w:p>
    <w:p>
      <w:pPr>
        <w:ind w:right="40" w:firstLine="921"/>
        <w:spacing w:after="0" w:line="273" w:lineRule="auto"/>
        <w:tabs>
          <w:tab w:leader="none" w:pos="116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the rights of which are superior to or affect the Common Stock or the rights thereof or that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17"/>
          <w:szCs w:val="17"/>
          <w:color w:val="auto"/>
        </w:rPr>
      </w:pPr>
    </w:p>
    <w:p>
      <w:pPr>
        <w:jc w:val="both"/>
        <w:ind w:right="120" w:firstLine="921"/>
        <w:spacing w:after="0" w:line="279" w:lineRule="auto"/>
        <w:tabs>
          <w:tab w:leader="none" w:pos="112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shall be submitted for the approval of the Company’s stockholders within twelve (12) months after the date of the Board’s initial adoption of the Plan.</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ectPr>
          <w:pgSz w:w="11900" w:h="16838" w:orient="portrait"/>
          <w:cols w:equalWidth="0" w:num="1">
            <w:col w:w="11420"/>
          </w:cols>
          <w:pgMar w:left="240" w:top="274" w:right="239" w:bottom="1440" w:gutter="0" w:footer="0" w:header="0"/>
        </w:sectPr>
      </w:pPr>
    </w:p>
    <w:bookmarkStart w:id="317" w:name="page318"/>
    <w:bookmarkEnd w:id="317"/>
    <w:p>
      <w:pPr>
        <w:jc w:val="both"/>
        <w:ind w:right="2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7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1"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w:t>
      </w:r>
    </w:p>
    <w:p>
      <w:pPr>
        <w:sectPr>
          <w:pgSz w:w="11900" w:h="16838" w:orient="portrait"/>
          <w:cols w:equalWidth="0" w:num="1">
            <w:col w:w="11380"/>
          </w:cols>
          <w:pgMar w:left="240" w:top="273" w:right="279" w:bottom="1440" w:gutter="0" w:footer="0" w:header="0"/>
        </w:sectPr>
      </w:pPr>
    </w:p>
    <w:bookmarkStart w:id="318" w:name="page319"/>
    <w:bookmarkEnd w:id="318"/>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other compensatory plan or arrangement of the Company or any of its Subsidiaries is subject to Section 409A, and such Award or other amount is payable on account of a Participant’s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Participant’s Termination of Service, or (ii) the date of the Participant’s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ectPr>
          <w:pgSz w:w="11900" w:h="16838" w:orient="portrait"/>
          <w:cols w:equalWidth="0" w:num="1">
            <w:col w:w="11420"/>
          </w:cols>
          <w:pgMar w:left="240" w:top="274" w:right="239" w:bottom="1440" w:gutter="0" w:footer="0" w:header="0"/>
        </w:sectPr>
      </w:pPr>
    </w:p>
    <w:bookmarkStart w:id="319" w:name="page320"/>
    <w:bookmarkEnd w:id="319"/>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20" w:type="dxa"/>
            <w:vAlign w:val="bottom"/>
          </w:tcPr>
          <w:p>
            <w:pPr>
              <w:jc w:val="right"/>
              <w:ind w:right="2130"/>
              <w:spacing w:after="0"/>
              <w:rPr>
                <w:sz w:val="20"/>
                <w:szCs w:val="20"/>
                <w:color w:val="auto"/>
              </w:rPr>
            </w:pPr>
            <w:r>
              <w:rPr>
                <w:rFonts w:ascii="Arial" w:cs="Arial" w:eastAsia="Arial" w:hAnsi="Arial"/>
                <w:sz w:val="18"/>
                <w:szCs w:val="18"/>
                <w:b w:val="1"/>
                <w:bCs w:val="1"/>
                <w:color w:val="auto"/>
              </w:rPr>
              <w:t>* * * * *</w:t>
            </w:r>
          </w:p>
        </w:tc>
        <w:tc>
          <w:tcPr>
            <w:tcW w:w="1260" w:type="dxa"/>
            <w:vAlign w:val="bottom"/>
          </w:tcPr>
          <w:p>
            <w:pPr>
              <w:spacing w:after="0"/>
              <w:rPr>
                <w:sz w:val="20"/>
                <w:szCs w:val="20"/>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2"/>
              </w:rPr>
              <w:t>I hereby certify that the foregoing Plan was duly adopted by the Board of Directors of Medpace Holdings, Inc. on</w:t>
            </w:r>
          </w:p>
        </w:tc>
        <w:tc>
          <w:tcPr>
            <w:tcW w:w="126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432"/>
        </w:trPr>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20" w:type="dxa"/>
            <w:vAlign w:val="bottom"/>
          </w:tcPr>
          <w:p>
            <w:pPr>
              <w:jc w:val="right"/>
              <w:ind w:right="2130"/>
              <w:spacing w:after="0"/>
              <w:rPr>
                <w:sz w:val="20"/>
                <w:szCs w:val="20"/>
                <w:color w:val="auto"/>
              </w:rPr>
            </w:pPr>
            <w:r>
              <w:rPr>
                <w:rFonts w:ascii="Arial" w:cs="Arial" w:eastAsia="Arial" w:hAnsi="Arial"/>
                <w:sz w:val="18"/>
                <w:szCs w:val="18"/>
                <w:b w:val="1"/>
                <w:bCs w:val="1"/>
                <w:color w:val="auto"/>
              </w:rPr>
              <w:t>* * * * *</w:t>
            </w:r>
          </w:p>
        </w:tc>
        <w:tc>
          <w:tcPr>
            <w:tcW w:w="1260" w:type="dxa"/>
            <w:vAlign w:val="bottom"/>
          </w:tcPr>
          <w:p>
            <w:pPr>
              <w:spacing w:after="0"/>
              <w:rPr>
                <w:sz w:val="24"/>
                <w:szCs w:val="24"/>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I hereby certify that the foregoing Plan was approved by the stockholders of Medpace Holdings, Inc. on</w:t>
            </w:r>
          </w:p>
        </w:tc>
        <w:tc>
          <w:tcPr>
            <w:tcW w:w="1260" w:type="dxa"/>
            <w:vAlign w:val="bottom"/>
          </w:tcPr>
          <w:p>
            <w:pPr>
              <w:jc w:val="right"/>
              <w:ind w:right="610"/>
              <w:spacing w:after="0"/>
              <w:rPr>
                <w:sz w:val="20"/>
                <w:szCs w:val="20"/>
                <w:color w:val="auto"/>
              </w:rPr>
            </w:pPr>
            <w:r>
              <w:rPr>
                <w:rFonts w:ascii="Arial" w:cs="Arial" w:eastAsia="Arial" w:hAnsi="Arial"/>
                <w:sz w:val="18"/>
                <w:szCs w:val="18"/>
                <w:color w:val="auto"/>
                <w:w w:val="98"/>
              </w:rPr>
              <w:t>, 2016.</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w w:val="99"/>
              </w:rPr>
              <w:t>Executed on this</w:t>
            </w:r>
          </w:p>
        </w:tc>
        <w:tc>
          <w:tcPr>
            <w:tcW w:w="880" w:type="dxa"/>
            <w:vAlign w:val="bottom"/>
          </w:tcPr>
          <w:p>
            <w:pPr>
              <w:ind w:left="140"/>
              <w:spacing w:after="0"/>
              <w:rPr>
                <w:sz w:val="20"/>
                <w:szCs w:val="20"/>
                <w:color w:val="auto"/>
              </w:rPr>
            </w:pPr>
            <w:r>
              <w:rPr>
                <w:rFonts w:ascii="Arial" w:cs="Arial" w:eastAsia="Arial" w:hAnsi="Arial"/>
                <w:sz w:val="18"/>
                <w:szCs w:val="18"/>
                <w:color w:val="auto"/>
              </w:rPr>
              <w:t>day of</w:t>
            </w:r>
          </w:p>
        </w:tc>
        <w:tc>
          <w:tcPr>
            <w:tcW w:w="6020" w:type="dxa"/>
            <w:vAlign w:val="bottom"/>
          </w:tcPr>
          <w:p>
            <w:pPr>
              <w:jc w:val="right"/>
              <w:ind w:right="5130"/>
              <w:spacing w:after="0"/>
              <w:rPr>
                <w:sz w:val="20"/>
                <w:szCs w:val="20"/>
                <w:color w:val="auto"/>
              </w:rPr>
            </w:pPr>
            <w:r>
              <w:rPr>
                <w:rFonts w:ascii="Arial" w:cs="Arial" w:eastAsia="Arial" w:hAnsi="Arial"/>
                <w:sz w:val="18"/>
                <w:szCs w:val="18"/>
                <w:color w:val="auto"/>
              </w:rPr>
              <w:t>, 2016.</w:t>
            </w:r>
          </w:p>
        </w:tc>
        <w:tc>
          <w:tcPr>
            <w:tcW w:w="1260" w:type="dxa"/>
            <w:vAlign w:val="bottom"/>
          </w:tcPr>
          <w:p>
            <w:pPr>
              <w:spacing w:after="0"/>
              <w:rPr>
                <w:sz w:val="24"/>
                <w:szCs w:val="24"/>
                <w:color w:val="auto"/>
              </w:rPr>
            </w:pPr>
          </w:p>
        </w:tc>
      </w:tr>
    </w:tbl>
    <w:p>
      <w:pPr>
        <w:spacing w:after="0" w:line="200" w:lineRule="exact"/>
        <w:rPr>
          <w:sz w:val="20"/>
          <w:szCs w:val="20"/>
          <w:color w:val="auto"/>
        </w:rPr>
      </w:pPr>
    </w:p>
    <w:p>
      <w:pPr>
        <w:spacing w:after="0" w:line="258"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INCENTIVE BONUS PLAN</w:t>
      </w:r>
    </w:p>
    <w:p>
      <w:pPr>
        <w:spacing w:after="0" w:line="234"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Senior Executive Incentive Bonus Plan (the “</w:t>
      </w:r>
      <w:r>
        <w:rPr>
          <w:rFonts w:ascii="Arial" w:cs="Arial" w:eastAsia="Arial" w:hAnsi="Arial"/>
          <w:sz w:val="18"/>
          <w:szCs w:val="18"/>
          <w:u w:val="single" w:color="auto"/>
          <w:color w:val="auto"/>
        </w:rPr>
        <w:t>Bonus Plan</w:t>
      </w:r>
      <w:r>
        <w:rPr>
          <w:rFonts w:ascii="Arial" w:cs="Arial" w:eastAsia="Arial" w:hAnsi="Arial"/>
          <w:sz w:val="18"/>
          <w:szCs w:val="18"/>
          <w:color w:val="auto"/>
        </w:rPr>
        <w:t>”) is intended to provide an incentive for superior work and to motivate eligible executives of Medpace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Bonus Plan is for the benefit of Covered Employees (as defined below).</w:t>
      </w:r>
    </w:p>
    <w:p>
      <w:pPr>
        <w:spacing w:after="0" w:line="33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Compensation Committee of the Board of Directors of the Company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have the sole discretion and authority to administer and interpret the Bonus Plan.</w:t>
      </w:r>
    </w:p>
    <w:p>
      <w:pPr>
        <w:spacing w:after="0" w:line="315"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shall select the persons eligible to participate in the Bonus Plan, which may include, without limitation, the executives of the Company and its subsidiaries who are or, as determined in the sole discretion of the Compensation Committee, may become “covered employees” (as defined in Section 162(m)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of the Company and its subsidiaries for the applicable taxable year of the Company (such selected persons, the “</w:t>
      </w:r>
      <w:r>
        <w:rPr>
          <w:rFonts w:ascii="Arial" w:cs="Arial" w:eastAsia="Arial" w:hAnsi="Arial"/>
          <w:sz w:val="18"/>
          <w:szCs w:val="18"/>
          <w:u w:val="single" w:color="auto"/>
          <w:color w:val="auto"/>
        </w:rPr>
        <w:t>Covered Employees</w:t>
      </w:r>
      <w:r>
        <w:rPr>
          <w:rFonts w:ascii="Arial" w:cs="Arial" w:eastAsia="Arial" w:hAnsi="Arial"/>
          <w:sz w:val="18"/>
          <w:szCs w:val="18"/>
          <w:color w:val="auto"/>
        </w:rPr>
        <w:t>”).</w:t>
      </w:r>
    </w:p>
    <w:p>
      <w:pPr>
        <w:spacing w:after="0" w:line="331"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Bonus Determinations</w:t>
      </w:r>
    </w:p>
    <w:p>
      <w:pPr>
        <w:spacing w:after="0" w:line="121" w:lineRule="exact"/>
        <w:rPr>
          <w:rFonts w:ascii="Arial" w:cs="Arial" w:eastAsia="Arial" w:hAnsi="Arial"/>
          <w:sz w:val="18"/>
          <w:szCs w:val="18"/>
          <w:b w:val="1"/>
          <w:bCs w:val="1"/>
          <w:color w:val="auto"/>
        </w:rPr>
      </w:pPr>
    </w:p>
    <w:p>
      <w:pPr>
        <w:ind w:right="120" w:firstLine="464"/>
        <w:spacing w:after="0" w:line="269" w:lineRule="auto"/>
        <w:tabs>
          <w:tab w:leader="none" w:pos="701"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 Covered Employee may receive a bonus payment under the Bonus Plan based upon the attainment of performance objectives which are established by the Compensation Committee and relate to financial, operational or other metrics with respect to the Company or any of its subsidiaries (the “</w:t>
      </w:r>
      <w:r>
        <w:rPr>
          <w:rFonts w:ascii="Arial" w:cs="Arial" w:eastAsia="Arial" w:hAnsi="Arial"/>
          <w:sz w:val="17"/>
          <w:szCs w:val="17"/>
          <w:u w:val="single" w:color="auto"/>
          <w:color w:val="auto"/>
        </w:rPr>
        <w:t>Performance Goals</w:t>
      </w:r>
      <w:r>
        <w:rPr>
          <w:rFonts w:ascii="Arial" w:cs="Arial" w:eastAsia="Arial" w:hAnsi="Arial"/>
          <w:sz w:val="17"/>
          <w:szCs w:val="17"/>
          <w:color w:val="auto"/>
        </w:rPr>
        <w:t>”), including but not limited to: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1" w:name="page322"/>
    <w:bookmarkEnd w:id="321"/>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88" w:lineRule="exact"/>
        <w:rPr>
          <w:sz w:val="20"/>
          <w:szCs w:val="20"/>
          <w:color w:val="auto"/>
        </w:rPr>
      </w:pPr>
    </w:p>
    <w:p>
      <w:pPr>
        <w:ind w:right="20" w:firstLine="464"/>
        <w:spacing w:after="0" w:line="291" w:lineRule="auto"/>
        <w:tabs>
          <w:tab w:leader="none" w:pos="71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Except as otherwise set forth in this Section 4(b): (i) any bonuses paid to Covered Employees under the Bonus Plan shall be based upon objectively determinable bonus formulas that tie such bonuses to one or more performance objectives relating to the Performance Goals; (ii) bonus formulas for Covered Employees shall be adopted in each performance period by the Compensation Committee (generally, for performance periods of one year or more, no later than 90 days after the commencement of the performance period to which the Performance Goals relate); and (iii) no bonuses shall be paid to Covered Employees unless and until the Compensation Committee makes a certification with respect to the attainment of the performance objectives. Notwithstanding the foregoing, the Company may pay bonuses (including, without limitation, discretionary bonuses) to Covered Employees under the Bonus Plan based upon such other terms and conditions as the Compensation Committee may in its sole discretion determine.</w:t>
      </w:r>
    </w:p>
    <w:p>
      <w:pPr>
        <w:spacing w:after="0" w:line="167" w:lineRule="exact"/>
        <w:rPr>
          <w:rFonts w:ascii="Arial" w:cs="Arial" w:eastAsia="Arial" w:hAnsi="Arial"/>
          <w:sz w:val="16"/>
          <w:szCs w:val="16"/>
          <w:color w:val="auto"/>
        </w:rPr>
      </w:pPr>
    </w:p>
    <w:p>
      <w:pPr>
        <w:ind w:right="160" w:firstLine="464"/>
        <w:spacing w:after="0" w:line="259" w:lineRule="auto"/>
        <w:tabs>
          <w:tab w:leader="none" w:pos="70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payment of a bonus to a Covered Employee with respect to a performance period shall be conditioned upon the Covered Employee’s employment by the Company on the last day of the performance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Compensation Committee may make exceptions to this requirement, in its sole discretion, including, without limitation, in the case of a Covered Employee’s termination of employment, retirement, death or disability.</w:t>
      </w:r>
    </w:p>
    <w:p>
      <w:pPr>
        <w:spacing w:after="0" w:line="331" w:lineRule="exact"/>
        <w:rPr>
          <w:rFonts w:ascii="Arial" w:cs="Arial" w:eastAsia="Arial" w:hAnsi="Arial"/>
          <w:sz w:val="18"/>
          <w:szCs w:val="18"/>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Claw-Back Provisions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Compensation Committee may provide that any bonuses paid under the Bonus Plan shall be subject to the provisions of any claw-back policy implemented by the Company, including, without limitation, any claw-back policy adopted to comply with the requirements of the Dodd-Frank Wall Street Reform and Consumer Protection Act and any rules, regulations or interpretations thereunder, to the extent set forth in such claw-back policy.</w:t>
      </w:r>
    </w:p>
    <w:p>
      <w:pPr>
        <w:spacing w:after="0" w:line="291"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21" w:lineRule="exact"/>
        <w:rPr>
          <w:rFonts w:ascii="Arial" w:cs="Arial" w:eastAsia="Arial" w:hAnsi="Arial"/>
          <w:sz w:val="18"/>
          <w:szCs w:val="18"/>
          <w:b w:val="1"/>
          <w:bCs w:val="1"/>
          <w:color w:val="auto"/>
        </w:rPr>
      </w:pPr>
    </w:p>
    <w:p>
      <w:pPr>
        <w:ind w:right="360" w:firstLine="464"/>
        <w:spacing w:after="0" w:line="264" w:lineRule="auto"/>
        <w:tabs>
          <w:tab w:leader="none" w:pos="70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Neither the establishment of the Bonus Plan nor the selection of any individual as a Covered Employee shall give any individual any right to be retained in the employ of the Company or any subsidiary thereof, or any right whatsoever under the Bonus Plan other than to receive bonus payments awarded by the Compensation Committee.</w:t>
      </w:r>
    </w:p>
    <w:p>
      <w:pPr>
        <w:spacing w:after="0" w:line="181" w:lineRule="exact"/>
        <w:rPr>
          <w:rFonts w:ascii="Arial" w:cs="Arial" w:eastAsia="Arial" w:hAnsi="Arial"/>
          <w:sz w:val="18"/>
          <w:szCs w:val="18"/>
          <w:color w:val="auto"/>
        </w:rPr>
      </w:pPr>
    </w:p>
    <w:p>
      <w:pPr>
        <w:ind w:firstLine="464"/>
        <w:spacing w:after="0" w:line="308" w:lineRule="auto"/>
        <w:tabs>
          <w:tab w:leader="none" w:pos="711" w:val="left"/>
        </w:tabs>
        <w:numPr>
          <w:ilvl w:val="1"/>
          <w:numId w:val="193"/>
        </w:numPr>
        <w:rPr>
          <w:rFonts w:ascii="Arial" w:cs="Arial" w:eastAsia="Arial" w:hAnsi="Arial"/>
          <w:sz w:val="17"/>
          <w:szCs w:val="17"/>
          <w:color w:val="auto"/>
        </w:rPr>
      </w:pPr>
      <w:r>
        <w:rPr>
          <w:rFonts w:ascii="Arial" w:cs="Arial" w:eastAsia="Arial" w:hAnsi="Arial"/>
          <w:sz w:val="17"/>
          <w:szCs w:val="17"/>
          <w:color w:val="auto"/>
        </w:rPr>
        <w:t>No member of the Board of Directors of the Company or the Compensation Committee shall be liable to any individual in respect of the Bonus Plan for any act or omission of such member, any other member, or any officer, agent or employee of the Company or any of its subsidiaries.</w:t>
      </w:r>
    </w:p>
    <w:p>
      <w:pPr>
        <w:spacing w:after="0" w:line="146" w:lineRule="exact"/>
        <w:rPr>
          <w:rFonts w:ascii="Arial" w:cs="Arial" w:eastAsia="Arial" w:hAnsi="Arial"/>
          <w:sz w:val="17"/>
          <w:szCs w:val="17"/>
          <w:color w:val="auto"/>
        </w:rPr>
      </w:pPr>
    </w:p>
    <w:p>
      <w:pPr>
        <w:ind w:right="580" w:firstLine="464"/>
        <w:spacing w:after="0" w:line="277" w:lineRule="auto"/>
        <w:tabs>
          <w:tab w:leader="none" w:pos="70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Company and its subsidiaries shall be entitled to withhold such amounts as may be required by federal, state or local law from all bonus payments under the Bonus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22" w:name="page323"/>
    <w:bookmarkEnd w:id="322"/>
    <w:p>
      <w:pPr>
        <w:ind w:right="380" w:firstLine="464"/>
        <w:spacing w:after="0" w:line="277" w:lineRule="auto"/>
        <w:tabs>
          <w:tab w:leader="none" w:pos="711"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not preempted by federal law, the Bonus Plan shall be governed and construed in accordance with the internal laws of the State of Delaware, without regard to the principles of conflicts of law thereof or any other jurisdiction.</w:t>
      </w:r>
    </w:p>
    <w:p>
      <w:pPr>
        <w:spacing w:after="0" w:line="170" w:lineRule="exact"/>
        <w:rPr>
          <w:rFonts w:ascii="Arial" w:cs="Arial" w:eastAsia="Arial" w:hAnsi="Arial"/>
          <w:sz w:val="18"/>
          <w:szCs w:val="18"/>
          <w:color w:val="auto"/>
        </w:rPr>
      </w:pPr>
    </w:p>
    <w:p>
      <w:pPr>
        <w:ind w:firstLine="464"/>
        <w:spacing w:after="0" w:line="287" w:lineRule="auto"/>
        <w:tabs>
          <w:tab w:leader="none" w:pos="70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Bonus Plan is intended to meet the requirements of Section 409A of the Code and will be interpreted and construed in accordance with Section 409A of the Code and Department of Treasury Regulations and other interpretive guidance issued thereunder, including without limitation any such regulations or other guidance that may be issued after the Effective Date (as defined below)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Each bonus payable pursuant to the Bonus Plan shall be intended to comply with, or be exempt from, the requirements of Section 409A such that the bonus will not be subject to any penalty tax imposed under Section 409A and, unless otherwise determined by the Compensation Committee, each bonus under the Bonus Plan shall be paid subject to the applicable Covered Employee’s continued employment through the date of payment of such bonus. Notwithstanding any provision of the Bonus Plan to the contrary, in the event that following the Effective Date the Company determines that any provision of the Bonus Plan could otherwise cause any person to be subject to the penalty taxes imposed under Section 409A, the Company may adopt such amendments to the Bonus Plan or adopt other policies and procedures (including amendments, policies and procedures with retroactive effect), or take any other actions, that the Company determines are necessary or appropriate to comply with the requirements of Section 409A and thereby avoid the application of any penalty taxes under Section 409A. Notwithstanding anything herein to the contrary, in no event shall any liability for failure to comply with the requirements of Section 409A be transferred from a Covered Employee or any other person to the Company or any of its affiliates, employees or agents pursuant to the terms of the Bonus Plan or otherwise.</w:t>
      </w:r>
    </w:p>
    <w:p>
      <w:pPr>
        <w:spacing w:after="0" w:line="313" w:lineRule="exact"/>
        <w:rPr>
          <w:rFonts w:ascii="Arial" w:cs="Arial" w:eastAsia="Arial" w:hAnsi="Arial"/>
          <w:sz w:val="16"/>
          <w:szCs w:val="16"/>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Board of Directors of the Company reserves the right to amend or terminate the Bonus Plan at any time in its sole discretion. Any amendments to the Bonus Plan shall require stockholder approval only to the extent required by any applicable law, rule or regulation.</w:t>
      </w:r>
    </w:p>
    <w:p>
      <w:pPr>
        <w:spacing w:after="0" w:line="315"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No bonuses shall be paid under the Bonus Plan unless and until the Company’s stockholders shall have approved the Bonus Plan. The Bonus Plan will be submitted for the approval of the Company’s stockholders after the initial adoption of the Bonus Plan by the Board of Directors of the Company.</w:t>
      </w:r>
    </w:p>
    <w:p>
      <w:pPr>
        <w:spacing w:after="0" w:line="268"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Term of Bonus Plan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Bonus Plan shall become effective as of the day immediately prior to the first date upon which common stock of the Company is listed (or approved for listing) upon notice of issuance on any securities exchange or designated (or approved for designation) upon notice of issuance as a national market security on an interdealer quotation system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Bonus Plan shall expire on the earliest to occur of: (a) the first material modification of the Bonus Plan (as defined in Treasury Regulation Section 1.162-27(h)(1)(iii)); (b) the first meeting of the Company’s stockholders at which members of the Board of Directors of the Company 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23" w:name="page324"/>
    <w:bookmarkEnd w:id="32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elected that occurs after the close of the third calendar year following the calendar year in which occurred the first registration of an equity security of the Company under Section 12 of the Securities Exchange Act of 1934, as amended; or (c) such other date, if any, on which the “reliance period” described under Treasury Regulation 1.162-27(f)(2) expires pursuant to the terms of Section 162(m) of the Code, and the rules, regulations and interpretations thereunder. The Bonus Plan is intended to be subject to the relief set forth in Treasury Regulation Section 1.162-27(f)(1) and shall be interpreted accordingly.</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3" w:right="339" w:bottom="1440" w:gutter="0" w:footer="0" w:header="0"/>
        </w:sectPr>
      </w:pPr>
    </w:p>
    <w:bookmarkStart w:id="324" w:name="page325"/>
    <w:bookmarkEnd w:id="324"/>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certify that the Bonus Plan was duly authorized, approved and adopted by the Board of Directors of Medpace Holdings, Inc. as of</w:t>
      </w:r>
    </w:p>
    <w:p>
      <w:pPr>
        <w:spacing w:after="0" w:line="46" w:lineRule="exact"/>
        <w:rPr>
          <w:sz w:val="20"/>
          <w:szCs w:val="20"/>
          <w:color w:val="auto"/>
        </w:rPr>
      </w:pPr>
    </w:p>
    <w:p>
      <w:pPr>
        <w:ind w:left="952" w:hanging="952"/>
        <w:spacing w:after="0"/>
        <w:tabs>
          <w:tab w:leader="none" w:pos="9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2016, effective as of the Effective Date.</w:t>
      </w:r>
    </w:p>
    <w:p>
      <w:pPr>
        <w:spacing w:after="0" w:line="211" w:lineRule="exact"/>
        <w:rPr>
          <w:sz w:val="20"/>
          <w:szCs w:val="20"/>
          <w:color w:val="auto"/>
        </w:rPr>
      </w:pPr>
    </w:p>
    <w:tbl>
      <w:tblPr>
        <w:tblLayout w:type="fixed"/>
        <w:tblInd w:w="452"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w w:val="96"/>
              </w:rPr>
              <w:t>I hereby certify that the Bonus Plan was approved by the stockholders of Medpace Holdings, Inc.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291465</wp:posOffset>
            </wp:positionV>
            <wp:extent cx="289877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32"/>
          </w:cols>
          <w:pgMar w:left="248" w:top="274" w:right="12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Medpace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1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Non-employee members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Medpace Holdings,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be eligible to receive cash and equity compensation as set forth in this Non-Employee Director Compensation Policy (this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The cash and equity compensation described in this Policy shall be paid or be made, as applicable, automatically and without further action of the Board (subject to Section 1(c)(ii)), to each member of the Board who is not an employee of the Company or any parent or subsidiary of the Company (each, a “</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who may be eligible to receive such cash or equity compensation, unless such Non-Employee Director declines the receipt of such cash or equity compensation by written notice to the Company; provided that Non-Employee Directors who are affiliates of Cinven Capital Management (V) General Partner Limited (“</w:t>
      </w:r>
      <w:r>
        <w:rPr>
          <w:rFonts w:ascii="Arial" w:cs="Arial" w:eastAsia="Arial" w:hAnsi="Arial"/>
          <w:sz w:val="17"/>
          <w:szCs w:val="17"/>
          <w:b w:val="1"/>
          <w:bCs w:val="1"/>
          <w:i w:val="1"/>
          <w:iCs w:val="1"/>
          <w:color w:val="auto"/>
        </w:rPr>
        <w:t>Cinven</w:t>
      </w:r>
      <w:r>
        <w:rPr>
          <w:rFonts w:ascii="Arial" w:cs="Arial" w:eastAsia="Arial" w:hAnsi="Arial"/>
          <w:sz w:val="17"/>
          <w:szCs w:val="17"/>
          <w:color w:val="auto"/>
        </w:rPr>
        <w:t>”) shall be paid only the annual retainers described in Section 1. This Policy shall become effective after the effectiveness of the Company’s initial public offering (the date of such effectiveness,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 and shall remain in effect until it is revised or rescinded by further action of the Board. This Policy may be amended, modified or terminated by the Board at any time in its sole discretion and if such an initial public offering does not occur on or prior to December 31, 2016 this Policy shall be void </w:t>
      </w:r>
      <w:r>
        <w:rPr>
          <w:rFonts w:ascii="Arial" w:cs="Arial" w:eastAsia="Arial" w:hAnsi="Arial"/>
          <w:sz w:val="17"/>
          <w:szCs w:val="17"/>
          <w:i w:val="1"/>
          <w:iCs w:val="1"/>
          <w:color w:val="auto"/>
        </w:rPr>
        <w:t>ab initio</w:t>
      </w:r>
      <w:r>
        <w:rPr>
          <w:rFonts w:ascii="Arial" w:cs="Arial" w:eastAsia="Arial" w:hAnsi="Arial"/>
          <w:sz w:val="17"/>
          <w:szCs w:val="17"/>
          <w:color w:val="auto"/>
        </w:rPr>
        <w:t>.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 Non-Employee Director shall have any rights hereunder, except with respect to non-qualified stock options or restricted stock units granted pursuant to this Policy.</w:t>
      </w:r>
    </w:p>
    <w:p>
      <w:pPr>
        <w:spacing w:after="0" w:line="188" w:lineRule="exact"/>
        <w:rPr>
          <w:sz w:val="20"/>
          <w:szCs w:val="20"/>
          <w:color w:val="auto"/>
        </w:rPr>
      </w:pPr>
    </w:p>
    <w:p>
      <w:pPr>
        <w:ind w:left="640" w:hanging="176"/>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Non-Employee Directors shall be granted the retainers described below.</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Annual Retainers</w:t>
      </w:r>
      <w:r>
        <w:rPr>
          <w:rFonts w:ascii="Arial" w:cs="Arial" w:eastAsia="Arial" w:hAnsi="Arial"/>
          <w:sz w:val="17"/>
          <w:szCs w:val="17"/>
          <w:color w:val="auto"/>
        </w:rPr>
        <w:t>. Each Non-Employee Director shall receive an annual retainer with a value of $40,000 for service on the Board.</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Additional Annual Retainers</w:t>
      </w:r>
      <w:r>
        <w:rPr>
          <w:rFonts w:ascii="Arial" w:cs="Arial" w:eastAsia="Arial" w:hAnsi="Arial"/>
          <w:sz w:val="18"/>
          <w:szCs w:val="18"/>
          <w:color w:val="auto"/>
        </w:rPr>
        <w:t>. In addition, a Non-Employee Director shall receive the following annual retainers:</w:t>
      </w:r>
    </w:p>
    <w:p>
      <w:pPr>
        <w:spacing w:after="0" w:line="225" w:lineRule="exact"/>
        <w:rPr>
          <w:rFonts w:ascii="Arial" w:cs="Arial" w:eastAsia="Arial" w:hAnsi="Arial"/>
          <w:sz w:val="18"/>
          <w:szCs w:val="18"/>
          <w:color w:val="auto"/>
        </w:rPr>
      </w:pPr>
    </w:p>
    <w:p>
      <w:pPr>
        <w:ind w:right="160" w:firstLine="1492"/>
        <w:spacing w:after="0" w:line="264" w:lineRule="auto"/>
        <w:tabs>
          <w:tab w:leader="none" w:pos="1698"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A Non-Employee Director serving as Chairperson of the Audit Committee shall receive an additional annual retainer with a value of $20,000 for such service. A Non-Employee Director serving as a member of the Audit Committee (other than the Chairperson) shall receive an additional annual retainer with a value of $7,500 for such service.</w:t>
      </w:r>
    </w:p>
    <w:p>
      <w:pPr>
        <w:spacing w:after="0" w:line="181" w:lineRule="exact"/>
        <w:rPr>
          <w:rFonts w:ascii="Arial" w:cs="Arial" w:eastAsia="Arial" w:hAnsi="Arial"/>
          <w:sz w:val="18"/>
          <w:szCs w:val="18"/>
          <w:color w:val="auto"/>
        </w:rPr>
      </w:pPr>
    </w:p>
    <w:p>
      <w:pPr>
        <w:ind w:right="680" w:firstLine="1492"/>
        <w:spacing w:after="0" w:line="277" w:lineRule="auto"/>
        <w:tabs>
          <w:tab w:leader="none" w:pos="1748"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A Non-Employee Director serving as a member of the Compensation Committee shall receive an additional annual retainer with a value of $7,500 for such service.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77" w:lineRule="auto"/>
        <w:tabs>
          <w:tab w:leader="none" w:pos="1698"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 The annual retainers described in Sections 1(a) and 1(b) shall be earned on a quarterly basis based on a calendar quarter and shall be paid by the Company in arrears not later than the fifteenth day following the end of each calendar quarter.</w:t>
      </w:r>
    </w:p>
    <w:p>
      <w:pPr>
        <w:spacing w:after="0" w:line="170" w:lineRule="exact"/>
        <w:rPr>
          <w:rFonts w:ascii="Arial" w:cs="Arial" w:eastAsia="Arial" w:hAnsi="Arial"/>
          <w:sz w:val="18"/>
          <w:szCs w:val="18"/>
          <w:color w:val="auto"/>
        </w:rPr>
      </w:pPr>
    </w:p>
    <w:p>
      <w:pPr>
        <w:ind w:right="180" w:firstLine="1492"/>
        <w:spacing w:after="0" w:line="277" w:lineRule="auto"/>
        <w:tabs>
          <w:tab w:leader="none" w:pos="1748"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Form</w:t>
      </w:r>
      <w:r>
        <w:rPr>
          <w:rFonts w:ascii="Arial" w:cs="Arial" w:eastAsia="Arial" w:hAnsi="Arial"/>
          <w:sz w:val="18"/>
          <w:szCs w:val="18"/>
          <w:color w:val="auto"/>
        </w:rPr>
        <w:t>. The annual retainers shall be paid in the form of cash; provided that the Board may, in its discretion, permit a Non-Employee Director, other than any affiliate of Cinven,</w:t>
      </w:r>
    </w:p>
    <w:p>
      <w:pPr>
        <w:sectPr>
          <w:pgSz w:w="11900" w:h="16838" w:orient="portrait"/>
          <w:cols w:equalWidth="0" w:num="1">
            <w:col w:w="11420"/>
          </w:cols>
          <w:pgMar w:left="240" w:top="121" w:right="239" w:bottom="1440" w:gutter="0" w:footer="0" w:header="0"/>
        </w:sectPr>
      </w:pPr>
    </w:p>
    <w:bookmarkStart w:id="326" w:name="page327"/>
    <w:bookmarkEnd w:id="32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elect to receive any portion of the annual retainer in the form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lieu of cash. If such an election is permitted by the Board and made by a Non-Employee Director, the number of shares of Common Stock to be paid shall be determined by dividing the portion of the annual retainer payable in the form of Common Stock by the Fair Market Value (as defined in the Company’s 2016 Incentive Award Plan or any other applicable Company equity plan then maintained by the Company (such plan, as may be amended from time to time,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per share of Common Stock on the date the retainer is payable. Shares issued in lieu of cash shall be fully vested and unrestricted shares of Common Stock. Any election by a Non-Employee Director to receive a portion of the annual retainer in shares of Common Stock must be made prior to the applicable payment date for such portion of the annual retainer and pursuant to an election form to be provided by the Company. An election must comply with all rules established from time to time by the Board, including any insider trading policy or similar policy. A Non-Employee Director may not make an election pursuant to this Section 1(c)(ii) during a Company blackout period or when the Non-Employee Director is otherwise in possession of material non-public information.</w:t>
      </w:r>
    </w:p>
    <w:p>
      <w:pPr>
        <w:spacing w:after="0" w:line="195" w:lineRule="exact"/>
        <w:rPr>
          <w:sz w:val="20"/>
          <w:szCs w:val="20"/>
          <w:color w:val="auto"/>
        </w:rPr>
      </w:pPr>
    </w:p>
    <w:p>
      <w:pPr>
        <w:ind w:right="20" w:firstLine="1492"/>
        <w:spacing w:after="0" w:line="255" w:lineRule="auto"/>
        <w:tabs>
          <w:tab w:leader="none" w:pos="1748"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93" w:lineRule="exact"/>
        <w:rPr>
          <w:rFonts w:ascii="Arial" w:cs="Arial" w:eastAsia="Arial" w:hAnsi="Arial"/>
          <w:sz w:val="18"/>
          <w:szCs w:val="18"/>
          <w:color w:val="auto"/>
        </w:rPr>
      </w:pPr>
    </w:p>
    <w:p>
      <w:pPr>
        <w:ind w:left="640" w:hanging="17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w:t>
      </w:r>
    </w:p>
    <w:p>
      <w:pPr>
        <w:spacing w:after="0" w:line="225" w:lineRule="exact"/>
        <w:rPr>
          <w:rFonts w:ascii="Arial" w:cs="Arial" w:eastAsia="Arial" w:hAnsi="Arial"/>
          <w:sz w:val="18"/>
          <w:szCs w:val="18"/>
          <w:color w:val="auto"/>
        </w:rPr>
      </w:pPr>
    </w:p>
    <w:p>
      <w:pPr>
        <w:ind w:right="20" w:firstLine="921"/>
        <w:spacing w:after="0" w:line="289" w:lineRule="auto"/>
        <w:tabs>
          <w:tab w:leader="none" w:pos="1157"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Annual Awards</w:t>
      </w:r>
      <w:r>
        <w:rPr>
          <w:rFonts w:ascii="Arial" w:cs="Arial" w:eastAsia="Arial" w:hAnsi="Arial"/>
          <w:sz w:val="16"/>
          <w:szCs w:val="16"/>
          <w:color w:val="auto"/>
        </w:rPr>
        <w:t>. Each Non-Employee Director who (i) serves on the Board as of the date of any annual meeting of the Company’s stockholders (an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after the Effective Date and (ii) will continue to serve as a Non-Employee Director immediately following such Annual Meeting shall be automatically granted, on the date of such Annual Meeting, an option to purchase the number of shares of Common Stock (at a per-share exercise price equal to the closing price per share of the Common Stock on the date of such annual meeting (or on the last preceding trading day if the date of the annual meeting is not a trading day)) that has an aggregate fair value on the date of grant of $90,000 (calculated in accordance with FASB Accounting Codification Topic 718 (“</w:t>
      </w:r>
      <w:r>
        <w:rPr>
          <w:rFonts w:ascii="Arial" w:cs="Arial" w:eastAsia="Arial" w:hAnsi="Arial"/>
          <w:sz w:val="16"/>
          <w:szCs w:val="16"/>
          <w:b w:val="1"/>
          <w:bCs w:val="1"/>
          <w:i w:val="1"/>
          <w:iCs w:val="1"/>
          <w:color w:val="auto"/>
        </w:rPr>
        <w:t>ASC 718</w:t>
      </w:r>
      <w:r>
        <w:rPr>
          <w:rFonts w:ascii="Arial" w:cs="Arial" w:eastAsia="Arial" w:hAnsi="Arial"/>
          <w:sz w:val="16"/>
          <w:szCs w:val="16"/>
          <w:color w:val="auto"/>
        </w:rPr>
        <w:t>”) using the same formula and assumptions as the Company utilized for the purpose of valuing outstanding options in its then-most recently prepared audited annual financial statement). The awards described in this Section 2(b) shall be referred to as the “</w:t>
      </w:r>
      <w:r>
        <w:rPr>
          <w:rFonts w:ascii="Arial" w:cs="Arial" w:eastAsia="Arial" w:hAnsi="Arial"/>
          <w:sz w:val="16"/>
          <w:szCs w:val="16"/>
          <w:b w:val="1"/>
          <w:bCs w:val="1"/>
          <w:i w:val="1"/>
          <w:iCs w:val="1"/>
          <w:color w:val="auto"/>
        </w:rPr>
        <w:t>Annual Awards</w:t>
      </w:r>
      <w:r>
        <w:rPr>
          <w:rFonts w:ascii="Arial" w:cs="Arial" w:eastAsia="Arial" w:hAnsi="Arial"/>
          <w:sz w:val="16"/>
          <w:szCs w:val="16"/>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166" w:lineRule="exact"/>
        <w:rPr>
          <w:rFonts w:ascii="Arial" w:cs="Arial" w:eastAsia="Arial" w:hAnsi="Arial"/>
          <w:sz w:val="16"/>
          <w:szCs w:val="16"/>
          <w:color w:val="auto"/>
        </w:rPr>
      </w:pPr>
    </w:p>
    <w:p>
      <w:pPr>
        <w:ind w:right="60" w:firstLine="921"/>
        <w:spacing w:after="0" w:line="255" w:lineRule="auto"/>
        <w:tabs>
          <w:tab w:leader="none" w:pos="1168"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Initial Awards</w:t>
      </w:r>
      <w:r>
        <w:rPr>
          <w:rFonts w:ascii="Arial" w:cs="Arial" w:eastAsia="Arial" w:hAnsi="Arial"/>
          <w:sz w:val="18"/>
          <w:szCs w:val="18"/>
          <w:color w:val="auto"/>
        </w:rPr>
        <w:t>. Except as otherwise determined by the Board, each Non-Employee Director who is initially elected or appointed to the Board after the Effective Date on any date other than the date of an Annual Meeting shall be automatically granted, on the date of such Non-Employee Director’s initial election or appointment (such Non-Employee Director’s “</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 an award of an option to purchase shares of Common Stock (at a per-share exercise price equal to the closing price of the Common Stock on the date of such annual meeting (or on the last preceding trading day if the date of the annual meeting is not a trading day)) that has an aggregate fair value on such Non-Employee Director’s Start Date equal to the product of (i) $90,000 (calculated in accordance with ASC 718 using the same formula and assumptions as the Company utilized for the purpose of valuing outstanding options in its</w:t>
      </w:r>
    </w:p>
    <w:p>
      <w:pPr>
        <w:sectPr>
          <w:pgSz w:w="11900" w:h="16838" w:orient="portrait"/>
          <w:cols w:equalWidth="0" w:num="1">
            <w:col w:w="11380"/>
          </w:cols>
          <w:pgMar w:left="240" w:top="274" w:right="279" w:bottom="1440" w:gutter="0" w:footer="0" w:header="0"/>
        </w:sectPr>
      </w:pPr>
    </w:p>
    <w:bookmarkStart w:id="327" w:name="page328"/>
    <w:bookmarkEnd w:id="327"/>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then-most recently prepared audited annual financial statement) and (ii) a fraction, the numerator of which is (x) 365 minus (y) the number of days in the period beginning on the date of the Annual Meeting immediately preceding such Non-Employee Director’s Start Date (or, if no such Annual Meeting has occurred, the Effective Date) and ending on such Non-Employee Director’s Start Date and the denominator of which is 365. The awards described in this Section 2(c) shall be referred to as “</w:t>
      </w:r>
      <w:r>
        <w:rPr>
          <w:rFonts w:ascii="Arial" w:cs="Arial" w:eastAsia="Arial" w:hAnsi="Arial"/>
          <w:sz w:val="18"/>
          <w:szCs w:val="18"/>
          <w:b w:val="1"/>
          <w:bCs w:val="1"/>
          <w:i w:val="1"/>
          <w:iCs w:val="1"/>
          <w:color w:val="auto"/>
        </w:rPr>
        <w:t>Initial Awards</w:t>
      </w:r>
      <w:r>
        <w:rPr>
          <w:rFonts w:ascii="Arial" w:cs="Arial" w:eastAsia="Arial" w:hAnsi="Arial"/>
          <w:sz w:val="18"/>
          <w:szCs w:val="18"/>
          <w:i w:val="1"/>
          <w:iCs w:val="1"/>
          <w:color w:val="auto"/>
        </w:rPr>
        <w:t>.</w:t>
      </w:r>
      <w:r>
        <w:rPr>
          <w:rFonts w:ascii="Arial" w:cs="Arial" w:eastAsia="Arial" w:hAnsi="Arial"/>
          <w:sz w:val="18"/>
          <w:szCs w:val="18"/>
          <w:color w:val="auto"/>
        </w:rPr>
        <w:t>” Notwithstanding the foregoing, the Board in its sole discretion may determine that the Initial Award for any Non-Employee Director be granted in the form of restricted stock units with equivalent value on the date of grant. For the avoidance of doubt, no Non-Employee Director shall be granted more than one Initial Award.</w:t>
      </w:r>
    </w:p>
    <w:p>
      <w:pPr>
        <w:spacing w:after="0" w:line="193" w:lineRule="exact"/>
        <w:rPr>
          <w:sz w:val="20"/>
          <w:szCs w:val="20"/>
          <w:color w:val="auto"/>
        </w:rPr>
      </w:pPr>
    </w:p>
    <w:p>
      <w:pPr>
        <w:ind w:firstLine="921"/>
        <w:spacing w:after="0" w:line="279" w:lineRule="auto"/>
        <w:tabs>
          <w:tab w:leader="none" w:pos="1157"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of Employee Directors</w:t>
      </w:r>
      <w:r>
        <w:rPr>
          <w:rFonts w:ascii="Arial" w:cs="Arial" w:eastAsia="Arial" w:hAnsi="Arial"/>
          <w:sz w:val="17"/>
          <w:szCs w:val="17"/>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service with the Company and any parent or subsidiary of the Company, Annual Awards as described in Section 2(b) above.</w:t>
      </w:r>
    </w:p>
    <w:p>
      <w:pPr>
        <w:spacing w:after="0" w:line="171" w:lineRule="exact"/>
        <w:rPr>
          <w:rFonts w:ascii="Arial" w:cs="Arial" w:eastAsia="Arial" w:hAnsi="Arial"/>
          <w:sz w:val="17"/>
          <w:szCs w:val="17"/>
          <w:color w:val="auto"/>
        </w:rPr>
      </w:pPr>
    </w:p>
    <w:p>
      <w:pPr>
        <w:ind w:firstLine="921"/>
        <w:spacing w:after="0" w:line="255" w:lineRule="auto"/>
        <w:tabs>
          <w:tab w:leader="none" w:pos="1168"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Each Annual Award and Initial Award shall vest and become exercisable on the earlier of (x) the day immediately preceding the date of the first Annual Meeting following the date of grant and (y) the first anniversary of the date of grant, subject to the Non-Employee Director continuing in service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w:t>
      </w:r>
    </w:p>
    <w:p>
      <w:pPr>
        <w:spacing w:after="0" w:line="193" w:lineRule="exact"/>
        <w:rPr>
          <w:rFonts w:ascii="Arial" w:cs="Arial" w:eastAsia="Arial" w:hAnsi="Arial"/>
          <w:sz w:val="18"/>
          <w:szCs w:val="18"/>
          <w:color w:val="auto"/>
        </w:rPr>
      </w:pPr>
    </w:p>
    <w:p>
      <w:pPr>
        <w:ind w:right="60" w:firstLine="464"/>
        <w:spacing w:after="0" w:line="255" w:lineRule="auto"/>
        <w:tabs>
          <w:tab w:leader="none" w:pos="63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annual retainers (whether provided in the form of cash or equity) and equity awards described herein shall be granted under and shall be subject to the terms and provisions, including the limitations on the numbers of shares, of the Equity Plan. The equity awards described in Section 2 shall be granted subject to the execution and delivery of award agreements, including attached exhibits, in forms to be approved by the Board. All applicable terms of the Equity Plan apply to this Policy as if fully set forth herein, and all retainers and equity grants hereunder are subject in all respects to the terms of the Equity Plan. All numbers of shares determined hereunder shall be rounded down to the nearest whole share and subject to adjustment as provided in the Equity Plan.</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420"/>
          </w:cols>
          <w:pgMar w:left="240" w:top="273"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consent to the use in this Registration Statement on Form S-1 of our report dated March 1, 2016 relating to the consolidated financial statements of Medpace Holdings, Inc. and subsidiaries, appearing in the Prospectus, which is part of this Registration Statement. We also consent to the reference to us under the heading “Experts” in such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ectPr>
          <w:pgSz w:w="11900" w:h="16838" w:orient="portrait"/>
          <w:cols w:equalWidth="0" w:num="1">
            <w:col w:w="11420"/>
          </w:cols>
          <w:pgMar w:left="240" w:top="121" w:right="239" w:bottom="1440" w:gutter="0" w:footer="0" w:header="0"/>
        </w:sectPr>
      </w:pPr>
    </w:p>
    <w:bookmarkStart w:id="329" w:name="page330"/>
    <w:bookmarkEnd w:id="329"/>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left="460"/>
        <w:spacing w:after="0"/>
        <w:tabs>
          <w:tab w:leader="none" w:pos="8100" w:val="left"/>
        </w:tabs>
        <w:rPr>
          <w:sz w:val="20"/>
          <w:szCs w:val="20"/>
          <w:color w:val="auto"/>
        </w:rPr>
      </w:pPr>
      <w:r>
        <w:rPr>
          <w:rFonts w:ascii="Arial" w:cs="Arial" w:eastAsia="Arial" w:hAnsi="Arial"/>
          <w:sz w:val="18"/>
          <w:szCs w:val="18"/>
          <w:color w:val="auto"/>
        </w:rPr>
        <w:t>In connection with the filing by Medpace Holdings, Inc. of the Registration Statement (No. 333-</w:t>
      </w:r>
      <w:r>
        <w:rPr>
          <w:sz w:val="20"/>
          <w:szCs w:val="20"/>
          <w:color w:val="auto"/>
        </w:rPr>
        <w:tab/>
      </w:r>
      <w:r>
        <w:rPr>
          <w:rFonts w:ascii="Arial" w:cs="Arial" w:eastAsia="Arial" w:hAnsi="Arial"/>
          <w:sz w:val="16"/>
          <w:szCs w:val="16"/>
          <w:color w:val="auto"/>
        </w:rPr>
        <w:t>) on Form S-1 with the Securities and</w:t>
      </w:r>
    </w:p>
    <w:p>
      <w:pPr>
        <w:spacing w:after="0" w:line="23"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Exchange Commission under the Securities Act of 1933, as amended (the “Securities Act”), I hereby consent, pursuant to Rule 438 of the Securities Act, to being named as a nominee to the board of directors of Medpace Holdings, Inc. in the Registration Statement and any and all amendments and supplements thereto. I also consent to the filing of this consent as an exhibit to such Registration Statement and any amendments thereto.</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June 24,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O. Kraft</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Robert O. Kraft</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0" w:name="page331"/>
    <w:bookmarkEnd w:id="330"/>
    <w:p>
      <w:pPr>
        <w:ind w:left="104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left="460"/>
        <w:spacing w:after="0"/>
        <w:tabs>
          <w:tab w:leader="none" w:pos="7920" w:val="left"/>
        </w:tabs>
        <w:rPr>
          <w:sz w:val="20"/>
          <w:szCs w:val="20"/>
          <w:color w:val="auto"/>
        </w:rPr>
      </w:pPr>
      <w:r>
        <w:rPr>
          <w:rFonts w:ascii="Arial" w:cs="Arial" w:eastAsia="Arial" w:hAnsi="Arial"/>
          <w:sz w:val="18"/>
          <w:szCs w:val="18"/>
          <w:color w:val="auto"/>
        </w:rPr>
        <w:t>In connection with the filing by Medpace Holdings, Inc. of the Registration Statement (No. 333-</w:t>
      </w:r>
      <w:r>
        <w:rPr>
          <w:sz w:val="20"/>
          <w:szCs w:val="20"/>
          <w:color w:val="auto"/>
        </w:rPr>
        <w:tab/>
      </w:r>
      <w:r>
        <w:rPr>
          <w:rFonts w:ascii="Arial" w:cs="Arial" w:eastAsia="Arial" w:hAnsi="Arial"/>
          <w:sz w:val="16"/>
          <w:szCs w:val="16"/>
          <w:color w:val="auto"/>
        </w:rPr>
        <w:t>) on Form S-1 with the Securities and Exchange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Commission under the Securities Act of 1933, as amended (the “Securities Act”), I hereby consent, pursuant to Rule 438 of the Securities Act, to being named as a nominee to the board of directors of Medpace Holdings, Inc. in the Registration Statement and any and all amendments and supplements thereto. I also consent to the filing of this consent as an exhibit to such Registration Statement and any amendments thereto.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Dated: June 24, 2016</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T. Carley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Carley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1)"/>
      <w:numFmt w:val="decimal"/>
      <w:start w:val="1"/>
    </w:lvl>
  </w:abstractNum>
  <w:abstractNum w:abstractNumId="1">
    <w:nsid w:val="555C55B5"/>
    <w:multiLevelType w:val="hybridMultilevel"/>
    <w:lvl w:ilvl="0">
      <w:lvlJc w:val="left"/>
      <w:lvlText w:val="n"/>
      <w:numFmt w:val="bullet"/>
      <w:start w:val="1"/>
    </w:lvl>
  </w:abstractNum>
  <w:abstractNum w:abstractNumId="2">
    <w:nsid w:val="3FA62ACA"/>
    <w:multiLevelType w:val="hybridMultilevel"/>
    <w:lvl w:ilvl="0">
      <w:lvlJc w:val="left"/>
      <w:lvlText w:val="n"/>
      <w:numFmt w:val="bullet"/>
      <w:start w:val="1"/>
    </w:lvl>
  </w:abstractNum>
  <w:abstractNum w:abstractNumId="3">
    <w:nsid w:val="14FCE74E"/>
    <w:multiLevelType w:val="hybridMultilevel"/>
    <w:lvl w:ilvl="0">
      <w:lvlJc w:val="left"/>
      <w:lvlText w:val="(%1)"/>
      <w:numFmt w:val="lowerRoman"/>
      <w:start w:val="2"/>
    </w:lvl>
  </w:abstractNum>
  <w:abstractNum w:abstractNumId="4">
    <w:nsid w:val="6A3DD3E8"/>
    <w:multiLevelType w:val="hybridMultilevel"/>
    <w:lvl w:ilvl="0">
      <w:lvlJc w:val="left"/>
      <w:lvlText w:val="n"/>
      <w:numFmt w:val="bullet"/>
      <w:start w:val="1"/>
    </w:lvl>
  </w:abstractNum>
  <w:abstractNum w:abstractNumId="5">
    <w:nsid w:val="71C91298"/>
    <w:multiLevelType w:val="hybridMultilevel"/>
    <w:lvl w:ilvl="0">
      <w:lvlJc w:val="left"/>
      <w:lvlText w:val="n"/>
      <w:numFmt w:val="bullet"/>
      <w:start w:val="1"/>
    </w:lvl>
  </w:abstractNum>
  <w:abstractNum w:abstractNumId="6">
    <w:nsid w:val="9DAF632"/>
    <w:multiLevelType w:val="hybridMultilevel"/>
    <w:lvl w:ilvl="0">
      <w:lvlJc w:val="left"/>
      <w:lvlText w:val="(%1)"/>
      <w:numFmt w:val="decimal"/>
      <w:start w:val="1"/>
    </w:lvl>
  </w:abstractNum>
  <w:abstractNum w:abstractNumId="7">
    <w:nsid w:val="53299938"/>
    <w:multiLevelType w:val="hybridMultilevel"/>
    <w:lvl w:ilvl="0">
      <w:lvlJc w:val="left"/>
      <w:lvlText w:val="n"/>
      <w:numFmt w:val="bullet"/>
      <w:start w:val="1"/>
    </w:lvl>
  </w:abstractNum>
  <w:abstractNum w:abstractNumId="8">
    <w:nsid w:val="1FBFE8E0"/>
    <w:multiLevelType w:val="hybridMultilevel"/>
    <w:lvl w:ilvl="0">
      <w:lvlJc w:val="left"/>
      <w:lvlText w:val="n"/>
      <w:numFmt w:val="bullet"/>
      <w:start w:val="1"/>
    </w:lvl>
  </w:abstractNum>
  <w:abstractNum w:abstractNumId="9">
    <w:nsid w:val="5092CA79"/>
    <w:multiLevelType w:val="hybridMultilevel"/>
    <w:lvl w:ilvl="0">
      <w:lvlJc w:val="left"/>
      <w:lvlText w:val="n"/>
      <w:numFmt w:val="bullet"/>
      <w:start w:val="1"/>
    </w:lvl>
  </w:abstractNum>
  <w:abstractNum w:abstractNumId="10">
    <w:nsid w:val="1D545C4D"/>
    <w:multiLevelType w:val="hybridMultilevel"/>
    <w:lvl w:ilvl="0">
      <w:lvlJc w:val="left"/>
      <w:lvlText w:val="(%1)"/>
      <w:numFmt w:val="decimal"/>
      <w:start w:val="2"/>
    </w:lvl>
  </w:abstractNum>
  <w:abstractNum w:abstractNumId="11">
    <w:nsid w:val="59ADEA3D"/>
    <w:multiLevelType w:val="hybridMultilevel"/>
    <w:lvl w:ilvl="0">
      <w:lvlJc w:val="left"/>
      <w:lvlText w:val="n"/>
      <w:numFmt w:val="bullet"/>
      <w:start w:val="1"/>
    </w:lvl>
  </w:abstractNum>
  <w:abstractNum w:abstractNumId="12">
    <w:nsid w:val="288F1A34"/>
    <w:multiLevelType w:val="hybridMultilevel"/>
    <w:lvl w:ilvl="0">
      <w:lvlJc w:val="left"/>
      <w:lvlText w:val="n"/>
      <w:numFmt w:val="bullet"/>
      <w:start w:val="1"/>
    </w:lvl>
  </w:abstractNum>
  <w:abstractNum w:abstractNumId="13">
    <w:nsid w:val="2A155DBC"/>
    <w:multiLevelType w:val="hybridMultilevel"/>
    <w:lvl w:ilvl="0">
      <w:lvlJc w:val="left"/>
      <w:lvlText w:val="(%1)"/>
      <w:numFmt w:val="lowerLetter"/>
      <w:start w:val="1"/>
    </w:lvl>
  </w:abstractNum>
  <w:abstractNum w:abstractNumId="14">
    <w:nsid w:val="1D9F6E5F"/>
    <w:multiLevelType w:val="hybridMultilevel"/>
    <w:lvl w:ilvl="0">
      <w:lvlJc w:val="left"/>
      <w:lvlText w:val="%1"/>
      <w:numFmt w:val="decimal"/>
      <w:start w:val="1"/>
    </w:lvl>
    <w:lvl w:ilvl="1">
      <w:lvlJc w:val="left"/>
      <w:lvlText w:val="(%2)"/>
      <w:numFmt w:val="lowerLetter"/>
      <w:start w:val="3"/>
    </w:lvl>
  </w:abstractNum>
  <w:abstractNum w:abstractNumId="15">
    <w:nsid w:val="97E1B4E"/>
    <w:multiLevelType w:val="hybridMultilevel"/>
    <w:lvl w:ilvl="0">
      <w:lvlJc w:val="left"/>
      <w:lvlText w:val="(%1)"/>
      <w:numFmt w:val="decimal"/>
      <w:start w:val="3"/>
    </w:lvl>
    <w:lvl w:ilvl="1">
      <w:lvlJc w:val="left"/>
      <w:lvlText w:val="%2"/>
      <w:numFmt w:val="lowerLetter"/>
      <w:start w:val="1"/>
    </w:lvl>
  </w:abstractNum>
  <w:abstractNum w:abstractNumId="16">
    <w:nsid w:val="51088277"/>
    <w:multiLevelType w:val="hybridMultilevel"/>
    <w:lvl w:ilvl="0">
      <w:lvlJc w:val="left"/>
      <w:lvlText w:val="n"/>
      <w:numFmt w:val="bullet"/>
      <w:start w:val="1"/>
    </w:lvl>
  </w:abstractNum>
  <w:abstractNum w:abstractNumId="17">
    <w:nsid w:val="1CA0C5FA"/>
    <w:multiLevelType w:val="hybridMultilevel"/>
    <w:lvl w:ilvl="0">
      <w:lvlJc w:val="left"/>
      <w:lvlText w:val="n"/>
      <w:numFmt w:val="bullet"/>
      <w:start w:val="1"/>
    </w:lvl>
  </w:abstractNum>
  <w:abstractNum w:abstractNumId="18">
    <w:nsid w:val="53584BCB"/>
    <w:multiLevelType w:val="hybridMultilevel"/>
    <w:lvl w:ilvl="0">
      <w:lvlJc w:val="left"/>
      <w:lvlText w:val="n"/>
      <w:numFmt w:val="bullet"/>
      <w:start w:val="1"/>
    </w:lvl>
  </w:abstractNum>
  <w:abstractNum w:abstractNumId="19">
    <w:nsid w:val="415E286C"/>
    <w:multiLevelType w:val="hybridMultilevel"/>
    <w:lvl w:ilvl="0">
      <w:lvlJc w:val="left"/>
      <w:lvlText w:val="n"/>
      <w:numFmt w:val="bullet"/>
      <w:start w:val="1"/>
    </w:lvl>
  </w:abstractNum>
  <w:abstractNum w:abstractNumId="20">
    <w:nsid w:val="7C58FD05"/>
    <w:multiLevelType w:val="hybridMultilevel"/>
    <w:lvl w:ilvl="0">
      <w:lvlJc w:val="left"/>
      <w:lvlText w:val="n"/>
      <w:numFmt w:val="bullet"/>
      <w:start w:val="1"/>
    </w:lvl>
  </w:abstractNum>
  <w:abstractNum w:abstractNumId="21">
    <w:nsid w:val="23D86AAC"/>
    <w:multiLevelType w:val="hybridMultilevel"/>
    <w:lvl w:ilvl="0">
      <w:lvlJc w:val="left"/>
      <w:lvlText w:val="n"/>
      <w:numFmt w:val="bullet"/>
      <w:start w:val="1"/>
    </w:lvl>
  </w:abstractNum>
  <w:abstractNum w:abstractNumId="22">
    <w:nsid w:val="45E6D486"/>
    <w:multiLevelType w:val="hybridMultilevel"/>
    <w:lvl w:ilvl="0">
      <w:lvlJc w:val="left"/>
      <w:lvlText w:val="n"/>
      <w:numFmt w:val="bullet"/>
      <w:start w:val="1"/>
    </w:lvl>
  </w:abstractNum>
  <w:abstractNum w:abstractNumId="23">
    <w:nsid w:val="5C10FE21"/>
    <w:multiLevelType w:val="hybridMultilevel"/>
    <w:lvl w:ilvl="0">
      <w:lvlJc w:val="left"/>
      <w:lvlText w:val="n"/>
      <w:numFmt w:val="bullet"/>
      <w:start w:val="1"/>
    </w:lvl>
  </w:abstractNum>
  <w:abstractNum w:abstractNumId="24">
    <w:nsid w:val="E7FFA2B"/>
    <w:multiLevelType w:val="hybridMultilevel"/>
    <w:lvl w:ilvl="0">
      <w:lvlJc w:val="left"/>
      <w:lvlText w:val="n"/>
      <w:numFmt w:val="bullet"/>
      <w:start w:val="1"/>
    </w:lvl>
  </w:abstractNum>
  <w:abstractNum w:abstractNumId="25">
    <w:nsid w:val="3C5991AA"/>
    <w:multiLevelType w:val="hybridMultilevel"/>
    <w:lvl w:ilvl="0">
      <w:lvlJc w:val="left"/>
      <w:lvlText w:val="n"/>
      <w:numFmt w:val="bullet"/>
      <w:start w:val="1"/>
    </w:lvl>
  </w:abstractNum>
  <w:abstractNum w:abstractNumId="26">
    <w:nsid w:val="4BD8591A"/>
    <w:multiLevelType w:val="hybridMultilevel"/>
    <w:lvl w:ilvl="0">
      <w:lvlJc w:val="left"/>
      <w:lvlText w:val="n"/>
      <w:numFmt w:val="bullet"/>
      <w:start w:val="1"/>
    </w:lvl>
  </w:abstractNum>
  <w:abstractNum w:abstractNumId="27">
    <w:nsid w:val="78DF6A55"/>
    <w:multiLevelType w:val="hybridMultilevel"/>
    <w:lvl w:ilvl="0">
      <w:lvlJc w:val="left"/>
      <w:lvlText w:val="n"/>
      <w:numFmt w:val="bullet"/>
      <w:start w:val="1"/>
    </w:lvl>
  </w:abstractNum>
  <w:abstractNum w:abstractNumId="28">
    <w:nsid w:val="39B7AAA2"/>
    <w:multiLevelType w:val="hybridMultilevel"/>
    <w:lvl w:ilvl="0">
      <w:lvlJc w:val="left"/>
      <w:lvlText w:val="n"/>
      <w:numFmt w:val="bullet"/>
      <w:start w:val="1"/>
    </w:lvl>
  </w:abstractNum>
  <w:abstractNum w:abstractNumId="29">
    <w:nsid w:val="2B0D8DBE"/>
    <w:multiLevelType w:val="hybridMultilevel"/>
    <w:lvl w:ilvl="0">
      <w:lvlJc w:val="left"/>
      <w:lvlText w:val="n"/>
      <w:numFmt w:val="bullet"/>
      <w:start w:val="1"/>
    </w:lvl>
  </w:abstractNum>
  <w:abstractNum w:abstractNumId="30">
    <w:nsid w:val="6C80EC70"/>
    <w:multiLevelType w:val="hybridMultilevel"/>
    <w:lvl w:ilvl="0">
      <w:lvlJc w:val="left"/>
      <w:lvlText w:val="n"/>
      <w:numFmt w:val="bullet"/>
      <w:start w:val="1"/>
    </w:lvl>
  </w:abstractNum>
  <w:abstractNum w:abstractNumId="31">
    <w:nsid w:val="379E21B5"/>
    <w:multiLevelType w:val="hybridMultilevel"/>
    <w:lvl w:ilvl="0">
      <w:lvlJc w:val="left"/>
      <w:lvlText w:val="n"/>
      <w:numFmt w:val="bullet"/>
      <w:start w:val="1"/>
    </w:lvl>
  </w:abstractNum>
  <w:abstractNum w:abstractNumId="32">
    <w:nsid w:val="69E373"/>
    <w:multiLevelType w:val="hybridMultilevel"/>
    <w:lvl w:ilvl="0">
      <w:lvlJc w:val="left"/>
      <w:lvlText w:val="n"/>
      <w:numFmt w:val="bullet"/>
      <w:start w:val="1"/>
    </w:lvl>
  </w:abstractNum>
  <w:abstractNum w:abstractNumId="33">
    <w:nsid w:val="2C27173B"/>
    <w:multiLevelType w:val="hybridMultilevel"/>
    <w:lvl w:ilvl="0">
      <w:lvlJc w:val="left"/>
      <w:lvlText w:val="n"/>
      <w:numFmt w:val="bullet"/>
      <w:start w:val="1"/>
    </w:lvl>
  </w:abstractNum>
  <w:abstractNum w:abstractNumId="34">
    <w:nsid w:val="4C9B0904"/>
    <w:multiLevelType w:val="hybridMultilevel"/>
    <w:lvl w:ilvl="0">
      <w:lvlJc w:val="left"/>
      <w:lvlText w:val="n"/>
      <w:numFmt w:val="bullet"/>
      <w:start w:val="1"/>
    </w:lvl>
  </w:abstractNum>
  <w:abstractNum w:abstractNumId="35">
    <w:nsid w:val="6AA7B75C"/>
    <w:multiLevelType w:val="hybridMultilevel"/>
    <w:lvl w:ilvl="0">
      <w:lvlJc w:val="left"/>
      <w:lvlText w:val="n"/>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n"/>
      <w:numFmt w:val="bullet"/>
      <w:start w:val="1"/>
    </w:lvl>
  </w:abstractNum>
  <w:abstractNum w:abstractNumId="38">
    <w:nsid w:val="3DD15094"/>
    <w:multiLevelType w:val="hybridMultilevel"/>
    <w:lvl w:ilvl="0">
      <w:lvlJc w:val="left"/>
      <w:lvlText w:val="n"/>
      <w:numFmt w:val="bullet"/>
      <w:start w:val="1"/>
    </w:lvl>
  </w:abstractNum>
  <w:abstractNum w:abstractNumId="39">
    <w:nsid w:val="3DB012B3"/>
    <w:multiLevelType w:val="hybridMultilevel"/>
    <w:lvl w:ilvl="0">
      <w:lvlJc w:val="left"/>
      <w:lvlText w:val="(%1)"/>
      <w:numFmt w:val="decimal"/>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n"/>
      <w:numFmt w:val="bullet"/>
      <w:start w:val="1"/>
    </w:lvl>
  </w:abstractNum>
  <w:abstractNum w:abstractNumId="42">
    <w:nsid w:val="175DFCF0"/>
    <w:multiLevelType w:val="hybridMultilevel"/>
    <w:lvl w:ilvl="0">
      <w:lvlJc w:val="left"/>
      <w:lvlText w:val="(%1)"/>
      <w:numFmt w:val="decimal"/>
      <w:start w:val="1"/>
    </w:lvl>
  </w:abstractNum>
  <w:abstractNum w:abstractNumId="43">
    <w:nsid w:val="4F97E3E4"/>
    <w:multiLevelType w:val="hybridMultilevel"/>
    <w:lvl w:ilvl="0">
      <w:lvlJc w:val="left"/>
      <w:lvlText w:val="n"/>
      <w:numFmt w:val="bullet"/>
      <w:start w:val="1"/>
    </w:lvl>
  </w:abstractNum>
  <w:abstractNum w:abstractNumId="44">
    <w:nsid w:val="53B0A9E"/>
    <w:multiLevelType w:val="hybridMultilevel"/>
    <w:lvl w:ilvl="0">
      <w:lvlJc w:val="left"/>
      <w:lvlText w:val="n"/>
      <w:numFmt w:val="bullet"/>
      <w:start w:val="1"/>
    </w:lvl>
  </w:abstractNum>
  <w:abstractNum w:abstractNumId="45">
    <w:nsid w:val="34FD6B4F"/>
    <w:multiLevelType w:val="hybridMultilevel"/>
    <w:lvl w:ilvl="0">
      <w:lvlJc w:val="left"/>
      <w:lvlText w:val="n"/>
      <w:numFmt w:val="bullet"/>
      <w:start w:val="1"/>
    </w:lvl>
  </w:abstractNum>
  <w:abstractNum w:abstractNumId="46">
    <w:nsid w:val="5915FF32"/>
    <w:multiLevelType w:val="hybridMultilevel"/>
    <w:lvl w:ilvl="0">
      <w:lvlJc w:val="left"/>
      <w:lvlText w:val="(%1)"/>
      <w:numFmt w:val="lowerLetter"/>
      <w:start w:val="1"/>
    </w:lvl>
  </w:abstractNum>
  <w:abstractNum w:abstractNumId="47">
    <w:nsid w:val="56438D15"/>
    <w:multiLevelType w:val="hybridMultilevel"/>
    <w:lvl w:ilvl="0">
      <w:lvlJc w:val="left"/>
      <w:lvlText w:val="%1"/>
      <w:numFmt w:val="decimal"/>
      <w:start w:val="1"/>
    </w:lvl>
    <w:lvl w:ilvl="1">
      <w:lvlJc w:val="left"/>
      <w:lvlText w:val="(%2)"/>
      <w:numFmt w:val="lowerLetter"/>
      <w:start w:val="5"/>
    </w:lvl>
  </w:abstractNum>
  <w:abstractNum w:abstractNumId="48">
    <w:nsid w:val="519E3149"/>
    <w:multiLevelType w:val="hybridMultilevel"/>
    <w:lvl w:ilvl="0">
      <w:lvlJc w:val="left"/>
      <w:lvlText w:val="(%1)"/>
      <w:numFmt w:val="decimal"/>
      <w:start w:val="2"/>
    </w:lvl>
    <w:lvl w:ilvl="1">
      <w:lvlJc w:val="left"/>
      <w:lvlText w:val="%2"/>
      <w:numFmt w:val="lowerLetter"/>
      <w:start w:val="1"/>
    </w:lvl>
  </w:abstractNum>
  <w:abstractNum w:abstractNumId="49">
    <w:nsid w:val="2C6E4AFD"/>
    <w:multiLevelType w:val="hybridMultilevel"/>
    <w:lvl w:ilvl="0">
      <w:lvlJc w:val="left"/>
      <w:lvlText w:val="(%1)"/>
      <w:numFmt w:val="lowerLetter"/>
      <w:start w:val="1"/>
    </w:lvl>
    <w:lvl w:ilvl="1">
      <w:lvlJc w:val="left"/>
      <w:lvlText w:val="(%2)"/>
      <w:numFmt w:val="lowerLetter"/>
      <w:start w:val="5"/>
    </w:lvl>
  </w:abstractNum>
  <w:abstractNum w:abstractNumId="50">
    <w:nsid w:val="17A1B582"/>
    <w:multiLevelType w:val="hybridMultilevel"/>
    <w:lvl w:ilvl="0">
      <w:lvlJc w:val="left"/>
      <w:lvlText w:val="n"/>
      <w:numFmt w:val="bullet"/>
      <w:start w:val="1"/>
    </w:lvl>
  </w:abstractNum>
  <w:abstractNum w:abstractNumId="51">
    <w:nsid w:val="4DF72E4E"/>
    <w:multiLevelType w:val="hybridMultilevel"/>
    <w:lvl w:ilvl="0">
      <w:lvlJc w:val="left"/>
      <w:lvlText w:val="n"/>
      <w:numFmt w:val="bullet"/>
      <w:start w:val="1"/>
    </w:lvl>
  </w:abstractNum>
  <w:abstractNum w:abstractNumId="52">
    <w:nsid w:val="5046B5A9"/>
    <w:multiLevelType w:val="hybridMultilevel"/>
    <w:lvl w:ilvl="0">
      <w:lvlJc w:val="left"/>
      <w:lvlText w:val="n"/>
      <w:numFmt w:val="bullet"/>
      <w:start w:val="1"/>
    </w:lvl>
  </w:abstractNum>
  <w:abstractNum w:abstractNumId="53">
    <w:nsid w:val="5D888A08"/>
    <w:multiLevelType w:val="hybridMultilevel"/>
    <w:lvl w:ilvl="0">
      <w:lvlJc w:val="left"/>
      <w:lvlText w:val="n"/>
      <w:numFmt w:val="bullet"/>
      <w:start w:val="1"/>
    </w:lvl>
  </w:abstractNum>
  <w:abstractNum w:abstractNumId="54">
    <w:nsid w:val="2A082C70"/>
    <w:multiLevelType w:val="hybridMultilevel"/>
    <w:lvl w:ilvl="0">
      <w:lvlJc w:val="left"/>
      <w:lvlText w:val="n"/>
      <w:numFmt w:val="bullet"/>
      <w:start w:val="1"/>
    </w:lvl>
  </w:abstractNum>
  <w:abstractNum w:abstractNumId="55">
    <w:nsid w:val="5EC6AFD4"/>
    <w:multiLevelType w:val="hybridMultilevel"/>
    <w:lvl w:ilvl="0">
      <w:lvlJc w:val="left"/>
      <w:lvlText w:val="n"/>
      <w:numFmt w:val="bullet"/>
      <w:start w:val="1"/>
    </w:lvl>
  </w:abstractNum>
  <w:abstractNum w:abstractNumId="56">
    <w:nsid w:val="19E21BB2"/>
    <w:multiLevelType w:val="hybridMultilevel"/>
    <w:lvl w:ilvl="0">
      <w:lvlJc w:val="left"/>
      <w:lvlText w:val="n"/>
      <w:numFmt w:val="bullet"/>
      <w:start w:val="1"/>
    </w:lvl>
  </w:abstractNum>
  <w:abstractNum w:abstractNumId="57">
    <w:nsid w:val="75E0858A"/>
    <w:multiLevelType w:val="hybridMultilevel"/>
    <w:lvl w:ilvl="0">
      <w:lvlJc w:val="left"/>
      <w:lvlText w:val="n"/>
      <w:numFmt w:val="bullet"/>
      <w:start w:val="1"/>
    </w:lvl>
  </w:abstractNum>
  <w:abstractNum w:abstractNumId="58">
    <w:nsid w:val="57A61A29"/>
    <w:multiLevelType w:val="hybridMultilevel"/>
    <w:lvl w:ilvl="0">
      <w:lvlJc w:val="left"/>
      <w:lvlText w:val="(%1)"/>
      <w:numFmt w:val="decimal"/>
      <w:start w:val="1"/>
    </w:lvl>
  </w:abstractNum>
  <w:abstractNum w:abstractNumId="59">
    <w:nsid w:val="5399C654"/>
    <w:multiLevelType w:val="hybridMultilevel"/>
    <w:lvl w:ilvl="0">
      <w:lvlJc w:val="left"/>
      <w:lvlText w:val="(%1)"/>
      <w:numFmt w:val="decimal"/>
      <w:start w:val="5"/>
    </w:lvl>
  </w:abstractNum>
  <w:abstractNum w:abstractNumId="60">
    <w:nsid w:val="20EE1348"/>
    <w:multiLevelType w:val="hybridMultilevel"/>
    <w:lvl w:ilvl="0">
      <w:lvlJc w:val="left"/>
      <w:lvlText w:val="n"/>
      <w:numFmt w:val="bullet"/>
      <w:start w:val="1"/>
    </w:lvl>
  </w:abstractNum>
  <w:abstractNum w:abstractNumId="61">
    <w:nsid w:val="4427069A"/>
    <w:multiLevelType w:val="hybridMultilevel"/>
    <w:lvl w:ilvl="0">
      <w:lvlJc w:val="left"/>
      <w:lvlText w:val="(%1)"/>
      <w:numFmt w:val="decimal"/>
      <w:start w:val="1"/>
    </w:lvl>
  </w:abstractNum>
  <w:abstractNum w:abstractNumId="62">
    <w:nsid w:val="B37E80A"/>
    <w:multiLevelType w:val="hybridMultilevel"/>
    <w:lvl w:ilvl="0">
      <w:lvlJc w:val="left"/>
      <w:lvlText w:val="n"/>
      <w:numFmt w:val="bullet"/>
      <w:start w:val="1"/>
    </w:lvl>
  </w:abstractNum>
  <w:abstractNum w:abstractNumId="63">
    <w:nsid w:val="2157F6BC"/>
    <w:multiLevelType w:val="hybridMultilevel"/>
    <w:lvl w:ilvl="0">
      <w:lvlJc w:val="left"/>
      <w:lvlText w:val="n"/>
      <w:numFmt w:val="bullet"/>
      <w:start w:val="1"/>
    </w:lvl>
  </w:abstractNum>
  <w:abstractNum w:abstractNumId="64">
    <w:nsid w:val="704E1DD5"/>
    <w:multiLevelType w:val="hybridMultilevel"/>
    <w:lvl w:ilvl="0">
      <w:lvlJc w:val="left"/>
      <w:lvlText w:val="(%1)"/>
      <w:numFmt w:val="lowerRoman"/>
      <w:start w:val="19"/>
    </w:lvl>
  </w:abstractNum>
  <w:abstractNum w:abstractNumId="65">
    <w:nsid w:val="57D2F10E"/>
    <w:multiLevelType w:val="hybridMultilevel"/>
    <w:lvl w:ilvl="0">
      <w:lvlJc w:val="left"/>
      <w:lvlText w:val="(%1)"/>
      <w:numFmt w:val="lowerRoman"/>
      <w:start w:val="32"/>
    </w:lvl>
  </w:abstractNum>
  <w:abstractNum w:abstractNumId="66">
    <w:nsid w:val="BFFAE18"/>
    <w:multiLevelType w:val="hybridMultilevel"/>
    <w:lvl w:ilvl="0">
      <w:lvlJc w:val="left"/>
      <w:lvlText w:val="n"/>
      <w:numFmt w:val="bullet"/>
      <w:start w:val="1"/>
    </w:lvl>
  </w:abstractNum>
  <w:abstractNum w:abstractNumId="67">
    <w:nsid w:val="E3E47A8"/>
    <w:multiLevelType w:val="hybridMultilevel"/>
    <w:lvl w:ilvl="0">
      <w:lvlJc w:val="left"/>
      <w:lvlText w:val="(%1)"/>
      <w:numFmt w:val="decimal"/>
      <w:start w:val="1"/>
    </w:lvl>
  </w:abstractNum>
  <w:abstractNum w:abstractNumId="68">
    <w:nsid w:val="2E48F044"/>
    <w:multiLevelType w:val="hybridMultilevel"/>
    <w:lvl w:ilvl="0">
      <w:lvlJc w:val="left"/>
      <w:lvlText w:val="(%1)"/>
      <w:numFmt w:val="decimal"/>
      <w:start w:val="2"/>
    </w:lvl>
  </w:abstractNum>
  <w:abstractNum w:abstractNumId="69">
    <w:nsid w:val="49D0FEAC"/>
    <w:multiLevelType w:val="hybridMultilevel"/>
    <w:lvl w:ilvl="0">
      <w:lvlJc w:val="left"/>
      <w:lvlText w:val="n"/>
      <w:numFmt w:val="bullet"/>
      <w:start w:val="1"/>
    </w:lvl>
  </w:abstractNum>
  <w:abstractNum w:abstractNumId="70">
    <w:nsid w:val="4BEE5A5B"/>
    <w:multiLevelType w:val="hybridMultilevel"/>
    <w:lvl w:ilvl="0">
      <w:lvlJc w:val="left"/>
      <w:lvlText w:val="n"/>
      <w:numFmt w:val="bullet"/>
      <w:start w:val="1"/>
    </w:lvl>
  </w:abstractNum>
  <w:abstractNum w:abstractNumId="71">
    <w:nsid w:val="5551B9F3"/>
    <w:multiLevelType w:val="hybridMultilevel"/>
    <w:lvl w:ilvl="0">
      <w:lvlJc w:val="left"/>
      <w:lvlText w:val="n"/>
      <w:numFmt w:val="bullet"/>
      <w:start w:val="1"/>
    </w:lvl>
  </w:abstractNum>
  <w:abstractNum w:abstractNumId="72">
    <w:nsid w:val="24F6AB8E"/>
    <w:multiLevelType w:val="hybridMultilevel"/>
    <w:lvl w:ilvl="0">
      <w:lvlJc w:val="left"/>
      <w:lvlText w:val="n"/>
      <w:numFmt w:val="bullet"/>
      <w:start w:val="1"/>
    </w:lvl>
  </w:abstractNum>
  <w:abstractNum w:abstractNumId="73">
    <w:nsid w:val="634C574C"/>
    <w:multiLevelType w:val="hybridMultilevel"/>
    <w:lvl w:ilvl="0">
      <w:lvlJc w:val="left"/>
      <w:lvlText w:val="n"/>
      <w:numFmt w:val="bullet"/>
      <w:start w:val="1"/>
    </w:lvl>
  </w:abstractNum>
  <w:abstractNum w:abstractNumId="74">
    <w:nsid w:val="24E99DD7"/>
    <w:multiLevelType w:val="hybridMultilevel"/>
    <w:lvl w:ilvl="0">
      <w:lvlJc w:val="left"/>
      <w:lvlText w:val="n"/>
      <w:numFmt w:val="bullet"/>
      <w:start w:val="1"/>
    </w:lvl>
  </w:abstractNum>
  <w:abstractNum w:abstractNumId="75">
    <w:nsid w:val="2A31B62D"/>
    <w:multiLevelType w:val="hybridMultilevel"/>
    <w:lvl w:ilvl="0">
      <w:lvlJc w:val="left"/>
      <w:lvlText w:val="n"/>
      <w:numFmt w:val="bullet"/>
      <w:start w:val="1"/>
    </w:lvl>
  </w:abstractNum>
  <w:abstractNum w:abstractNumId="76">
    <w:nsid w:val="1849C29B"/>
    <w:multiLevelType w:val="hybridMultilevel"/>
    <w:lvl w:ilvl="0">
      <w:lvlJc w:val="left"/>
      <w:lvlText w:val="n"/>
      <w:numFmt w:val="bullet"/>
      <w:start w:val="1"/>
    </w:lvl>
  </w:abstractNum>
  <w:abstractNum w:abstractNumId="77">
    <w:nsid w:val="7DFF9D09"/>
    <w:multiLevelType w:val="hybridMultilevel"/>
    <w:lvl w:ilvl="0">
      <w:lvlJc w:val="left"/>
      <w:lvlText w:val="n"/>
      <w:numFmt w:val="bullet"/>
      <w:start w:val="1"/>
    </w:lvl>
  </w:abstractNum>
  <w:abstractNum w:abstractNumId="78">
    <w:nsid w:val="754342"/>
    <w:multiLevelType w:val="hybridMultilevel"/>
    <w:lvl w:ilvl="0">
      <w:lvlJc w:val="left"/>
      <w:lvlText w:val="n"/>
      <w:numFmt w:val="bullet"/>
      <w:start w:val="1"/>
    </w:lvl>
  </w:abstractNum>
  <w:abstractNum w:abstractNumId="79">
    <w:nsid w:val="69E7F3E5"/>
    <w:multiLevelType w:val="hybridMultilevel"/>
    <w:lvl w:ilvl="0">
      <w:lvlJc w:val="left"/>
      <w:lvlText w:val="n"/>
      <w:numFmt w:val="bullet"/>
      <w:start w:val="1"/>
    </w:lvl>
  </w:abstractNum>
  <w:abstractNum w:abstractNumId="80">
    <w:nsid w:val="2A6DE806"/>
    <w:multiLevelType w:val="hybridMultilevel"/>
    <w:lvl w:ilvl="0">
      <w:lvlJc w:val="left"/>
      <w:lvlText w:val="n"/>
      <w:numFmt w:val="bullet"/>
      <w:start w:val="1"/>
    </w:lvl>
  </w:abstractNum>
  <w:abstractNum w:abstractNumId="81">
    <w:nsid w:val="1816F8C4"/>
    <w:multiLevelType w:val="hybridMultilevel"/>
    <w:lvl w:ilvl="0">
      <w:lvlJc w:val="left"/>
      <w:lvlText w:val="n"/>
      <w:numFmt w:val="bullet"/>
      <w:start w:val="1"/>
    </w:lvl>
  </w:abstractNum>
  <w:abstractNum w:abstractNumId="82">
    <w:nsid w:val="37DF2233"/>
    <w:multiLevelType w:val="hybridMultilevel"/>
    <w:lvl w:ilvl="0">
      <w:lvlJc w:val="left"/>
      <w:lvlText w:val="n"/>
      <w:numFmt w:val="bullet"/>
      <w:start w:val="1"/>
    </w:lvl>
  </w:abstractNum>
  <w:abstractNum w:abstractNumId="83">
    <w:nsid w:val="7AB49DAF"/>
    <w:multiLevelType w:val="hybridMultilevel"/>
    <w:lvl w:ilvl="0">
      <w:lvlJc w:val="left"/>
      <w:lvlText w:val="n"/>
      <w:numFmt w:val="bullet"/>
      <w:start w:val="1"/>
    </w:lvl>
  </w:abstractNum>
  <w:abstractNum w:abstractNumId="84">
    <w:nsid w:val="759F82CD"/>
    <w:multiLevelType w:val="hybridMultilevel"/>
    <w:lvl w:ilvl="0">
      <w:lvlJc w:val="left"/>
      <w:lvlText w:val="(%1)"/>
      <w:numFmt w:val="decimal"/>
      <w:start w:val="202"/>
    </w:lvl>
  </w:abstractNum>
  <w:abstractNum w:abstractNumId="85">
    <w:nsid w:val="61E74EA3"/>
    <w:multiLevelType w:val="hybridMultilevel"/>
    <w:lvl w:ilvl="0">
      <w:lvlJc w:val="left"/>
      <w:lvlText w:val="(%1)"/>
      <w:numFmt w:val="decimal"/>
      <w:start w:val="513"/>
    </w:lvl>
  </w:abstractNum>
  <w:abstractNum w:abstractNumId="86">
    <w:nsid w:val="597B4D84"/>
    <w:multiLevelType w:val="hybridMultilevel"/>
    <w:lvl w:ilvl="0">
      <w:lvlJc w:val="left"/>
      <w:lvlText w:val="%1."/>
      <w:numFmt w:val="decimal"/>
      <w:start w:val="10"/>
    </w:lvl>
  </w:abstractNum>
  <w:abstractNum w:abstractNumId="87">
    <w:nsid w:val="F819E7F"/>
    <w:multiLevelType w:val="hybridMultilevel"/>
    <w:lvl w:ilvl="0">
      <w:lvlJc w:val="left"/>
      <w:lvlText w:val="%1."/>
      <w:numFmt w:val="decimal"/>
      <w:start w:val="16"/>
    </w:lvl>
  </w:abstractNum>
  <w:abstractNum w:abstractNumId="88">
    <w:nsid w:val="57C7D42D"/>
    <w:multiLevelType w:val="hybridMultilevel"/>
    <w:lvl w:ilvl="0">
      <w:lvlJc w:val="left"/>
      <w:lvlText w:val="$"/>
      <w:numFmt w:val="bullet"/>
      <w:start w:val="1"/>
    </w:lvl>
  </w:abstractNum>
  <w:abstractNum w:abstractNumId="89">
    <w:nsid w:val="312167AD"/>
    <w:multiLevelType w:val="hybridMultilevel"/>
    <w:lvl w:ilvl="0">
      <w:lvlJc w:val="left"/>
      <w:lvlText w:val="$"/>
      <w:numFmt w:val="bullet"/>
      <w:start w:val="1"/>
    </w:lvl>
  </w:abstractNum>
  <w:abstractNum w:abstractNumId="90">
    <w:nsid w:val="631B64D4"/>
    <w:multiLevelType w:val="hybridMultilevel"/>
    <w:lvl w:ilvl="0">
      <w:lvlJc w:val="left"/>
      <w:lvlText w:val="(%1)"/>
      <w:numFmt w:val="lowerRoman"/>
      <w:start w:val="2"/>
    </w:lvl>
  </w:abstractNum>
  <w:abstractNum w:abstractNumId="91">
    <w:nsid w:val="78B5E776"/>
    <w:multiLevelType w:val="hybridMultilevel"/>
    <w:lvl w:ilvl="0">
      <w:lvlJc w:val="left"/>
      <w:lvlText w:val="(%1)"/>
      <w:numFmt w:val="lowerRoman"/>
      <w:start w:val="2"/>
    </w:lvl>
  </w:abstractNum>
  <w:abstractNum w:abstractNumId="92">
    <w:nsid w:val="75486E47"/>
    <w:multiLevelType w:val="hybridMultilevel"/>
    <w:lvl w:ilvl="0">
      <w:lvlJc w:val="left"/>
      <w:lvlText w:val="(%1)"/>
      <w:numFmt w:val="lowerRoman"/>
      <w:start w:val="2"/>
    </w:lvl>
  </w:abstractNum>
  <w:abstractNum w:abstractNumId="93">
    <w:nsid w:val="6E534CDE"/>
    <w:multiLevelType w:val="hybridMultilevel"/>
    <w:lvl w:ilvl="0">
      <w:lvlJc w:val="left"/>
      <w:lvlText w:val="(%1)"/>
      <w:numFmt w:val="lowerRoman"/>
      <w:start w:val="2"/>
    </w:lvl>
  </w:abstractNum>
  <w:abstractNum w:abstractNumId="94">
    <w:nsid w:val="1A0DDE32"/>
    <w:multiLevelType w:val="hybridMultilevel"/>
    <w:lvl w:ilvl="0">
      <w:lvlJc w:val="left"/>
      <w:lvlText w:val="(%1)"/>
      <w:numFmt w:val="lowerRoman"/>
      <w:start w:val="2"/>
    </w:lvl>
  </w:abstractNum>
  <w:abstractNum w:abstractNumId="95">
    <w:nsid w:val="65968C1C"/>
    <w:multiLevelType w:val="hybridMultilevel"/>
    <w:lvl w:ilvl="0">
      <w:lvlJc w:val="left"/>
      <w:lvlText w:val="(%1)"/>
      <w:numFmt w:val="lowerRoman"/>
      <w:start w:val="2"/>
    </w:lvl>
  </w:abstractNum>
  <w:abstractNum w:abstractNumId="96">
    <w:nsid w:val="46263DEC"/>
    <w:multiLevelType w:val="hybridMultilevel"/>
    <w:lvl w:ilvl="0">
      <w:lvlJc w:val="left"/>
      <w:lvlText w:val="(%1)"/>
      <w:numFmt w:val="lowerLetter"/>
      <w:start w:val="1"/>
    </w:lvl>
    <w:lvl w:ilvl="1">
      <w:lvlJc w:val="left"/>
      <w:lvlText w:val="(%2)"/>
      <w:numFmt w:val="decimal"/>
      <w:start w:val="1"/>
    </w:lvl>
  </w:abstractNum>
  <w:abstractNum w:abstractNumId="97">
    <w:nsid w:val="260D8C4A"/>
    <w:multiLevelType w:val="hybridMultilevel"/>
    <w:lvl w:ilvl="0">
      <w:lvlJc w:val="left"/>
      <w:lvlText w:val="%1"/>
      <w:numFmt w:val="lowerLetter"/>
      <w:start w:val="1"/>
    </w:lvl>
    <w:lvl w:ilvl="1">
      <w:lvlJc w:val="left"/>
      <w:lvlText w:val="(%2)"/>
      <w:numFmt w:val="decimal"/>
      <w:start w:val="1"/>
    </w:lvl>
  </w:abstractNum>
  <w:abstractNum w:abstractNumId="98">
    <w:nsid w:val="73D4D3C4"/>
    <w:multiLevelType w:val="hybridMultilevel"/>
    <w:lvl w:ilvl="0">
      <w:lvlJc w:val="left"/>
      <w:lvlText w:val="(%1)"/>
      <w:numFmt w:val="lowerLetter"/>
      <w:start w:val="1"/>
    </w:lvl>
  </w:abstractNum>
  <w:abstractNum w:abstractNumId="99">
    <w:nsid w:val="746F2E30"/>
    <w:multiLevelType w:val="hybridMultilevel"/>
    <w:lvl w:ilvl="0">
      <w:lvlJc w:val="left"/>
      <w:lvlText w:val="(%1)"/>
      <w:numFmt w:val="lowerLetter"/>
      <w:start w:val="3"/>
    </w:lvl>
  </w:abstractNum>
  <w:abstractNum w:abstractNumId="100">
    <w:nsid w:val="6FDE8AF6"/>
    <w:multiLevelType w:val="hybridMultilevel"/>
    <w:lvl w:ilvl="0">
      <w:lvlJc w:val="left"/>
      <w:lvlText w:val="(%1)"/>
      <w:numFmt w:val="lowerLetter"/>
      <w:start w:val="5"/>
    </w:lvl>
  </w:abstractNum>
  <w:abstractNum w:abstractNumId="101">
    <w:nsid w:val="3FC32E20"/>
    <w:multiLevelType w:val="hybridMultilevel"/>
    <w:lvl w:ilvl="0">
      <w:lvlJc w:val="left"/>
      <w:lvlText w:val="(%1)"/>
      <w:numFmt w:val="lowerLetter"/>
      <w:start w:val="11"/>
    </w:lvl>
  </w:abstractNum>
  <w:abstractNum w:abstractNumId="102">
    <w:nsid w:val="49C0E823"/>
    <w:multiLevelType w:val="hybridMultilevel"/>
    <w:lvl w:ilvl="0">
      <w:lvlJc w:val="left"/>
      <w:lvlText w:val="(%1)"/>
      <w:numFmt w:val="lowerLetter"/>
      <w:start w:val="14"/>
    </w:lvl>
  </w:abstractNum>
  <w:abstractNum w:abstractNumId="103">
    <w:nsid w:val="14D53685"/>
    <w:multiLevelType w:val="hybridMultilevel"/>
    <w:lvl w:ilvl="0">
      <w:lvlJc w:val="left"/>
      <w:lvlText w:val="(%1)"/>
      <w:numFmt w:val="lowerLetter"/>
      <w:start w:val="18"/>
    </w:lvl>
  </w:abstractNum>
  <w:abstractNum w:abstractNumId="104">
    <w:nsid w:val="230F856C"/>
    <w:multiLevelType w:val="hybridMultilevel"/>
    <w:lvl w:ilvl="0">
      <w:lvlJc w:val="left"/>
      <w:lvlText w:val="(%1)"/>
      <w:numFmt w:val="lowerLetter"/>
      <w:start w:val="20"/>
    </w:lvl>
  </w:abstractNum>
  <w:abstractNum w:abstractNumId="105">
    <w:nsid w:val="6EAA85FB"/>
    <w:multiLevelType w:val="hybridMultilevel"/>
    <w:lvl w:ilvl="0">
      <w:lvlJc w:val="left"/>
      <w:lvlText w:val="%1"/>
      <w:numFmt w:val="lowerLetter"/>
      <w:start w:val="1"/>
    </w:lvl>
    <w:lvl w:ilvl="1">
      <w:lvlJc w:val="left"/>
      <w:lvlText w:val="(%2)"/>
      <w:numFmt w:val="lowerLetter"/>
      <w:start w:val="24"/>
    </w:lvl>
  </w:abstractNum>
  <w:abstractNum w:abstractNumId="106">
    <w:nsid w:val="3F06ECB2"/>
    <w:multiLevelType w:val="hybridMultilevel"/>
    <w:lvl w:ilvl="0">
      <w:lvlJc w:val="left"/>
      <w:lvlText w:val="(%1)"/>
      <w:numFmt w:val="lowerLetter"/>
      <w:start w:val="35"/>
    </w:lvl>
    <w:lvl w:ilvl="1">
      <w:lvlJc w:val="left"/>
      <w:lvlText w:val="(%2)"/>
      <w:numFmt w:val="lowerLetter"/>
      <w:start w:val="25"/>
    </w:lvl>
  </w:abstractNum>
  <w:abstractNum w:abstractNumId="107">
    <w:nsid w:val="3B594807"/>
    <w:multiLevelType w:val="hybridMultilevel"/>
    <w:lvl w:ilvl="0">
      <w:lvlJc w:val="left"/>
      <w:lvlText w:val="(%1)"/>
      <w:numFmt w:val="lowerLetter"/>
      <w:start w:val="26"/>
    </w:lvl>
  </w:abstractNum>
  <w:abstractNum w:abstractNumId="108">
    <w:nsid w:val="6CAA2304"/>
    <w:multiLevelType w:val="hybridMultilevel"/>
    <w:lvl w:ilvl="0">
      <w:lvlJc w:val="left"/>
      <w:lvlText w:val="(%1)"/>
      <w:numFmt w:val="lowerLetter"/>
      <w:start w:val="27"/>
    </w:lvl>
  </w:abstractNum>
  <w:abstractNum w:abstractNumId="109">
    <w:nsid w:val="3F7C2FF4"/>
    <w:multiLevelType w:val="hybridMultilevel"/>
    <w:lvl w:ilvl="0">
      <w:lvlJc w:val="left"/>
      <w:lvlText w:val="(%1)"/>
      <w:numFmt w:val="lowerLetter"/>
      <w:start w:val="34"/>
    </w:lvl>
  </w:abstractNum>
  <w:abstractNum w:abstractNumId="110">
    <w:nsid w:val="25413BEC"/>
    <w:multiLevelType w:val="hybridMultilevel"/>
    <w:lvl w:ilvl="0">
      <w:lvlJc w:val="left"/>
      <w:lvlText w:val="(%1)"/>
      <w:numFmt w:val="lowerLetter"/>
      <w:start w:val="40"/>
    </w:lvl>
  </w:abstractNum>
  <w:abstractNum w:abstractNumId="111">
    <w:nsid w:val="17180B0B"/>
    <w:multiLevelType w:val="hybridMultilevel"/>
    <w:lvl w:ilvl="0">
      <w:lvlJc w:val="left"/>
      <w:lvlText w:val="(%1)"/>
      <w:numFmt w:val="lowerLetter"/>
      <w:start w:val="43"/>
    </w:lvl>
  </w:abstractNum>
  <w:abstractNum w:abstractNumId="112">
    <w:nsid w:val="579328B9"/>
    <w:multiLevelType w:val="hybridMultilevel"/>
    <w:lvl w:ilvl="0">
      <w:lvlJc w:val="left"/>
      <w:lvlText w:val="(%1)"/>
      <w:numFmt w:val="lowerLetter"/>
      <w:start w:val="1"/>
    </w:lvl>
  </w:abstractNum>
  <w:abstractNum w:abstractNumId="113">
    <w:nsid w:val="5D205E20"/>
    <w:multiLevelType w:val="hybridMultilevel"/>
    <w:lvl w:ilvl="0">
      <w:lvlJc w:val="left"/>
      <w:lvlText w:val="(%1)"/>
      <w:numFmt w:val="lowerLetter"/>
      <w:start w:val="3"/>
    </w:lvl>
    <w:lvl w:ilvl="1">
      <w:lvlJc w:val="left"/>
      <w:lvlText w:val="(%2)"/>
      <w:numFmt w:val="lowerLetter"/>
      <w:start w:val="35"/>
    </w:lvl>
  </w:abstractNum>
  <w:abstractNum w:abstractNumId="114">
    <w:nsid w:val="11CCA8BA"/>
    <w:multiLevelType w:val="hybridMultilevel"/>
    <w:lvl w:ilvl="0">
      <w:lvlJc w:val="left"/>
      <w:lvlText w:val="(%1)"/>
      <w:numFmt w:val="lowerLetter"/>
      <w:start w:val="1"/>
    </w:lvl>
  </w:abstractNum>
  <w:abstractNum w:abstractNumId="115">
    <w:nsid w:val="4D32AB86"/>
    <w:multiLevelType w:val="hybridMultilevel"/>
    <w:lvl w:ilvl="0">
      <w:lvlJc w:val="left"/>
      <w:lvlText w:val="%1"/>
      <w:numFmt w:val="lowerLetter"/>
      <w:start w:val="1"/>
    </w:lvl>
    <w:lvl w:ilvl="1">
      <w:lvlJc w:val="left"/>
      <w:lvlText w:val="(%2)"/>
      <w:numFmt w:val="lowerLetter"/>
      <w:start w:val="4"/>
    </w:lvl>
  </w:abstractNum>
  <w:abstractNum w:abstractNumId="116">
    <w:nsid w:val="3F07ACC3"/>
    <w:multiLevelType w:val="hybridMultilevel"/>
    <w:lvl w:ilvl="0">
      <w:lvlJc w:val="left"/>
      <w:lvlText w:val="(%1)"/>
      <w:numFmt w:val="lowerLetter"/>
      <w:start w:val="9"/>
    </w:lvl>
    <w:lvl w:ilvl="1">
      <w:lvlJc w:val="left"/>
      <w:lvlText w:val="%2"/>
      <w:numFmt w:val="lowerLetter"/>
      <w:start w:val="1"/>
    </w:lvl>
  </w:abstractNum>
  <w:abstractNum w:abstractNumId="117">
    <w:nsid w:val="6B47F63E"/>
    <w:multiLevelType w:val="hybridMultilevel"/>
    <w:lvl w:ilvl="0">
      <w:lvlJc w:val="left"/>
      <w:lvlText w:val="(%1)"/>
      <w:numFmt w:val="lowerLetter"/>
      <w:start w:val="7"/>
    </w:lvl>
  </w:abstractNum>
  <w:abstractNum w:abstractNumId="118">
    <w:nsid w:val="5CB44A05"/>
    <w:multiLevelType w:val="hybridMultilevel"/>
    <w:lvl w:ilvl="0">
      <w:lvlJc w:val="left"/>
      <w:lvlText w:val="%1"/>
      <w:numFmt w:val="lowerLetter"/>
      <w:start w:val="1"/>
    </w:lvl>
    <w:lvl w:ilvl="1">
      <w:lvlJc w:val="left"/>
      <w:lvlText w:val="(%2)"/>
      <w:numFmt w:val="lowerLetter"/>
      <w:start w:val="12"/>
    </w:lvl>
  </w:abstractNum>
  <w:abstractNum w:abstractNumId="119">
    <w:nsid w:val="16CF80F1"/>
    <w:multiLevelType w:val="hybridMultilevel"/>
    <w:lvl w:ilvl="0">
      <w:lvlJc w:val="left"/>
      <w:lvlText w:val="(%1)"/>
      <w:numFmt w:val="lowerLetter"/>
      <w:start w:val="9"/>
    </w:lvl>
    <w:lvl w:ilvl="1">
      <w:lvlJc w:val="left"/>
      <w:lvlText w:val="(%2)"/>
      <w:numFmt w:val="lowerLetter"/>
      <w:start w:val="15"/>
    </w:lvl>
  </w:abstractNum>
  <w:abstractNum w:abstractNumId="120">
    <w:nsid w:val="1C695DEC"/>
    <w:multiLevelType w:val="hybridMultilevel"/>
    <w:lvl w:ilvl="0">
      <w:lvlJc w:val="left"/>
      <w:lvlText w:val="(%1)"/>
      <w:numFmt w:val="lowerLetter"/>
      <w:start w:val="16"/>
    </w:lvl>
  </w:abstractNum>
  <w:abstractNum w:abstractNumId="121">
    <w:nsid w:val="3FCFAED9"/>
    <w:multiLevelType w:val="hybridMultilevel"/>
    <w:lvl w:ilvl="0">
      <w:lvlJc w:val="left"/>
      <w:lvlText w:val="(%1)"/>
      <w:numFmt w:val="lowerLetter"/>
      <w:start w:val="19"/>
    </w:lvl>
  </w:abstractNum>
  <w:abstractNum w:abstractNumId="122">
    <w:nsid w:val="F856867"/>
    <w:multiLevelType w:val="hybridMultilevel"/>
    <w:lvl w:ilvl="0">
      <w:lvlJc w:val="left"/>
      <w:lvlText w:val="(%1)"/>
      <w:numFmt w:val="lowerLetter"/>
      <w:start w:val="1"/>
    </w:lvl>
  </w:abstractNum>
  <w:abstractNum w:abstractNumId="123">
    <w:nsid w:val="11B1CC3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4">
    <w:nsid w:val="2E22FBB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25">
    <w:nsid w:val="29934699"/>
    <w:multiLevelType w:val="hybridMultilevel"/>
    <w:lvl w:ilvl="0">
      <w:lvlJc w:val="left"/>
      <w:lvlText w:val="&amp;"/>
      <w:numFmt w:val="bullet"/>
      <w:start w:val="1"/>
    </w:lvl>
    <w:lvl w:ilvl="1">
      <w:lvlJc w:val="left"/>
      <w:lvlText w:val="%2"/>
      <w:numFmt w:val="lowerLetter"/>
      <w:start w:val="1"/>
    </w:lvl>
    <w:lvl w:ilvl="2">
      <w:lvlJc w:val="left"/>
      <w:lvlText w:val="(%3)"/>
      <w:numFmt w:val="lowerRoman"/>
      <w:start w:val="2"/>
    </w:lvl>
  </w:abstractNum>
  <w:abstractNum w:abstractNumId="126">
    <w:nsid w:val="77485850"/>
    <w:multiLevelType w:val="hybridMultilevel"/>
    <w:lvl w:ilvl="0">
      <w:lvlJc w:val="left"/>
      <w:lvlText w:val="&amp;"/>
      <w:numFmt w:val="bullet"/>
      <w:start w:val="1"/>
    </w:lvl>
    <w:lvl w:ilvl="1">
      <w:lvlJc w:val="left"/>
      <w:lvlText w:val="(%2)"/>
      <w:numFmt w:val="lowerLetter"/>
      <w:start w:val="8"/>
    </w:lvl>
    <w:lvl w:ilvl="2">
      <w:lvlJc w:val="left"/>
      <w:lvlText w:val="%3"/>
      <w:numFmt w:val="lowerRoman"/>
      <w:start w:val="1"/>
    </w:lvl>
  </w:abstractNum>
  <w:abstractNum w:abstractNumId="127">
    <w:nsid w:val="744939A3"/>
    <w:multiLevelType w:val="hybridMultilevel"/>
    <w:lvl w:ilvl="0">
      <w:lvlJc w:val="left"/>
      <w:lvlText w:val="&amp;"/>
      <w:numFmt w:val="bullet"/>
      <w:start w:val="1"/>
    </w:lvl>
    <w:lvl w:ilvl="1">
      <w:lvlJc w:val="left"/>
      <w:lvlText w:val="(%2)"/>
      <w:numFmt w:val="lowerLetter"/>
      <w:start w:val="10"/>
    </w:lvl>
    <w:lvl w:ilvl="2">
      <w:lvlJc w:val="left"/>
      <w:lvlText w:val="%3"/>
      <w:numFmt w:val="lowerRoman"/>
      <w:start w:val="1"/>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Roman"/>
      <w:start w:val="1"/>
    </w:lvl>
    <w:lvl w:ilvl="1">
      <w:lvlJc w:val="left"/>
      <w:lvlText w:val="(%2)"/>
      <w:numFmt w:val="lowerLetter"/>
      <w:start w:val="2"/>
    </w:lvl>
  </w:abstractNum>
  <w:abstractNum w:abstractNumId="130">
    <w:nsid w:val="68B867D3"/>
    <w:multiLevelType w:val="hybridMultilevel"/>
    <w:lvl w:ilvl="0">
      <w:lvlJc w:val="left"/>
      <w:lvlText w:val="(%1)"/>
      <w:numFmt w:val="lowerRoman"/>
      <w:start w:val="4"/>
    </w:lvl>
    <w:lvl w:ilvl="1">
      <w:lvlJc w:val="left"/>
      <w:lvlText w:val="(%2)"/>
      <w:numFmt w:val="lowerLetter"/>
      <w:start w:val="3"/>
    </w:lvl>
  </w:abstractNum>
  <w:abstractNum w:abstractNumId="131">
    <w:nsid w:val="3F7F5DD9"/>
    <w:multiLevelType w:val="hybridMultilevel"/>
    <w:lvl w:ilvl="0">
      <w:lvlJc w:val="left"/>
      <w:lvlText w:val="(%1)"/>
      <w:numFmt w:val="lowerLetter"/>
      <w:start w:val="4"/>
    </w:lvl>
  </w:abstractNum>
  <w:abstractNum w:abstractNumId="132">
    <w:nsid w:val="2AE05A34"/>
    <w:multiLevelType w:val="hybridMultilevel"/>
    <w:lvl w:ilvl="0">
      <w:lvlJc w:val="left"/>
      <w:lvlText w:val="%1."/>
      <w:numFmt w:val="decimal"/>
      <w:start w:val="11"/>
    </w:lvl>
  </w:abstractNum>
  <w:abstractNum w:abstractNumId="133">
    <w:nsid w:val="32794FF7"/>
    <w:multiLevelType w:val="hybridMultilevel"/>
    <w:lvl w:ilvl="0">
      <w:lvlJc w:val="left"/>
      <w:lvlText w:val="["/>
      <w:numFmt w:val="bullet"/>
      <w:start w:val="1"/>
    </w:lvl>
  </w:abstractNum>
  <w:abstractNum w:abstractNumId="134">
    <w:nsid w:val="5454945E"/>
    <w:multiLevelType w:val="hybridMultilevel"/>
    <w:lvl w:ilvl="0">
      <w:lvlJc w:val="left"/>
      <w:lvlText w:val="•"/>
      <w:numFmt w:val="bullet"/>
      <w:start w:val="1"/>
    </w:lvl>
  </w:abstractNum>
  <w:abstractNum w:abstractNumId="135">
    <w:nsid w:val="4DEFDFA0"/>
    <w:multiLevelType w:val="hybridMultilevel"/>
    <w:lvl w:ilvl="0">
      <w:lvlJc w:val="left"/>
      <w:lvlText w:val="•"/>
      <w:numFmt w:val="bullet"/>
      <w:start w:val="1"/>
    </w:lvl>
  </w:abstractNum>
  <w:abstractNum w:abstractNumId="136">
    <w:nsid w:val="2123D5F2"/>
    <w:multiLevelType w:val="hybridMultilevel"/>
    <w:lvl w:ilvl="0">
      <w:lvlJc w:val="left"/>
      <w:lvlText w:val="(%1)"/>
      <w:numFmt w:val="lowerRoman"/>
      <w:start w:val="1"/>
    </w:lvl>
  </w:abstractNum>
  <w:abstractNum w:abstractNumId="137">
    <w:nsid w:val="135B8110"/>
    <w:multiLevelType w:val="hybridMultilevel"/>
    <w:lvl w:ilvl="0">
      <w:lvlJc w:val="left"/>
      <w:lvlText w:val="(%1)"/>
      <w:numFmt w:val="lowerRoman"/>
      <w:start w:val="7"/>
    </w:lvl>
  </w:abstractNum>
  <w:abstractNum w:abstractNumId="138">
    <w:nsid w:val="94927A8"/>
    <w:multiLevelType w:val="hybridMultilevel"/>
    <w:lvl w:ilvl="0">
      <w:lvlJc w:val="left"/>
      <w:lvlText w:val="(%1)"/>
      <w:numFmt w:val="upperLetter"/>
      <w:start w:val="9"/>
    </w:lvl>
  </w:abstractNum>
  <w:abstractNum w:abstractNumId="139">
    <w:nsid w:val="DCDF8F6"/>
    <w:multiLevelType w:val="hybridMultilevel"/>
    <w:lvl w:ilvl="0">
      <w:lvlJc w:val="left"/>
      <w:lvlText w:val="(%1)"/>
      <w:numFmt w:val="upperLetter"/>
      <w:start w:val="35"/>
    </w:lvl>
  </w:abstractNum>
  <w:abstractNum w:abstractNumId="140">
    <w:nsid w:val="52D7B105"/>
    <w:multiLevelType w:val="hybridMultilevel"/>
    <w:lvl w:ilvl="0">
      <w:lvlJc w:val="left"/>
      <w:lvlText w:val="•"/>
      <w:numFmt w:val="bullet"/>
      <w:start w:val="1"/>
    </w:lvl>
  </w:abstractNum>
  <w:abstractNum w:abstractNumId="141">
    <w:nsid w:val="2E8A6394"/>
    <w:multiLevelType w:val="hybridMultilevel"/>
    <w:lvl w:ilvl="0">
      <w:lvlJc w:val="left"/>
      <w:lvlText w:val="%1."/>
      <w:numFmt w:val="decimal"/>
      <w:start w:val="1"/>
    </w:lvl>
    <w:lvl w:ilvl="1">
      <w:lvlJc w:val="left"/>
      <w:lvlText w:val="%2."/>
      <w:numFmt w:val="decimal"/>
      <w:start w:val="2"/>
    </w:lvl>
  </w:abstractNum>
  <w:abstractNum w:abstractNumId="142">
    <w:nsid w:val="24E60401"/>
    <w:multiLevelType w:val="hybridMultilevel"/>
    <w:lvl w:ilvl="0">
      <w:lvlJc w:val="left"/>
      <w:lvlText w:val="%1."/>
      <w:numFmt w:val="decimal"/>
      <w:start w:val="3"/>
    </w:lvl>
    <w:lvl w:ilvl="1">
      <w:lvlJc w:val="left"/>
      <w:lvlText w:val="%2"/>
      <w:numFmt w:val="decimal"/>
      <w:start w:val="1"/>
    </w:lvl>
  </w:abstractNum>
  <w:abstractNum w:abstractNumId="143">
    <w:nsid w:val="2A6AD9BE"/>
    <w:multiLevelType w:val="hybridMultilevel"/>
    <w:lvl w:ilvl="0">
      <w:lvlJc w:val="left"/>
      <w:lvlText w:val="•"/>
      <w:numFmt w:val="bullet"/>
      <w:start w:val="1"/>
    </w:lvl>
  </w:abstractNum>
  <w:abstractNum w:abstractNumId="144">
    <w:nsid w:val="BAAC1B4"/>
    <w:multiLevelType w:val="hybridMultilevel"/>
    <w:lvl w:ilvl="0">
      <w:lvlJc w:val="left"/>
      <w:lvlText w:val="(%1)"/>
      <w:numFmt w:val="decimal"/>
      <w:start w:val="1"/>
    </w:lvl>
  </w:abstractNum>
  <w:abstractNum w:abstractNumId="145">
    <w:nsid w:val="36B2ACBC"/>
    <w:multiLevelType w:val="hybridMultilevel"/>
    <w:lvl w:ilvl="0">
      <w:lvlJc w:val="left"/>
      <w:lvlText w:val="%1."/>
      <w:numFmt w:val="decimal"/>
      <w:start w:val="1"/>
    </w:lvl>
    <w:lvl w:ilvl="1">
      <w:lvlJc w:val="left"/>
      <w:lvlText w:val="(%2)"/>
      <w:numFmt w:val="lowerLetter"/>
      <w:start w:val="1"/>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9"/>
    </w:lvl>
  </w:abstractNum>
  <w:abstractNum w:abstractNumId="148">
    <w:nsid w:val="21FAA2FA"/>
    <w:multiLevelType w:val="hybridMultilevel"/>
    <w:lvl w:ilvl="0">
      <w:lvlJc w:val="left"/>
      <w:lvlText w:val="(%1)"/>
      <w:numFmt w:val="lowerRoman"/>
      <w:start w:val="2"/>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3"/>
    </w:lvl>
  </w:abstractNum>
  <w:abstractNum w:abstractNumId="151">
    <w:nsid w:val="3E6400E6"/>
    <w:multiLevelType w:val="hybridMultilevel"/>
    <w:lvl w:ilvl="0">
      <w:lvlJc w:val="left"/>
      <w:lvlText w:val="(%1)"/>
      <w:numFmt w:val="lowerLetter"/>
      <w:start w:val="2"/>
    </w:lvl>
  </w:abstractNum>
  <w:abstractNum w:abstractNumId="152">
    <w:nsid w:val="14217E23"/>
    <w:multiLevelType w:val="hybridMultilevel"/>
    <w:lvl w:ilvl="0">
      <w:lvlJc w:val="left"/>
      <w:lvlText w:val="(%1)"/>
      <w:numFmt w:val="lowerLetter"/>
      <w:start w:val="1"/>
    </w:lvl>
    <w:lvl w:ilvl="1">
      <w:lvlJc w:val="left"/>
      <w:lvlText w:val="(%2)"/>
      <w:numFmt w:val="lowerLetter"/>
      <w:start w:val="9"/>
    </w:lvl>
  </w:abstractNum>
  <w:abstractNum w:abstractNumId="153">
    <w:nsid w:val="710757D0"/>
    <w:multiLevelType w:val="hybridMultilevel"/>
    <w:lvl w:ilvl="0">
      <w:lvlJc w:val="left"/>
      <w:lvlText w:val="(%1)"/>
      <w:numFmt w:val="lowerRoman"/>
      <w:start w:val="2"/>
    </w:lvl>
    <w:lvl w:ilvl="1">
      <w:lvlJc w:val="left"/>
      <w:lvlText w:val="(%2)"/>
      <w:numFmt w:val="upperLetter"/>
      <w:start w:val="1"/>
    </w:lvl>
  </w:abstractNum>
  <w:abstractNum w:abstractNumId="154">
    <w:nsid w:val="5015CD1A"/>
    <w:multiLevelType w:val="hybridMultilevel"/>
    <w:lvl w:ilvl="0">
      <w:lvlJc w:val="left"/>
      <w:lvlText w:val="(%1)"/>
      <w:numFmt w:val="upperLetter"/>
      <w:start w:val="4"/>
    </w:lvl>
  </w:abstractNum>
  <w:abstractNum w:abstractNumId="155">
    <w:nsid w:val="424479DA"/>
    <w:multiLevelType w:val="hybridMultilevel"/>
    <w:lvl w:ilvl="0">
      <w:lvlJc w:val="left"/>
      <w:lvlText w:val="%1"/>
      <w:numFmt w:val="lowerLetter"/>
      <w:start w:val="1"/>
    </w:lvl>
    <w:lvl w:ilvl="1">
      <w:lvlJc w:val="left"/>
      <w:lvlText w:val="(%2)"/>
      <w:numFmt w:val="lowerLetter"/>
      <w:start w:val="61"/>
    </w:lvl>
  </w:abstractNum>
  <w:abstractNum w:abstractNumId="156">
    <w:nsid w:val="1A9A9E69"/>
    <w:multiLevelType w:val="hybridMultilevel"/>
    <w:lvl w:ilvl="0">
      <w:lvlJc w:val="left"/>
      <w:lvlText w:val="(%1)"/>
      <w:numFmt w:val="lowerLetter"/>
      <w:start w:val="2"/>
    </w:lvl>
    <w:lvl w:ilvl="1">
      <w:lvlJc w:val="left"/>
      <w:lvlText w:val="(%2)"/>
      <w:numFmt w:val="lowerLetter"/>
      <w:start w:val="9"/>
    </w:lvl>
  </w:abstractNum>
  <w:abstractNum w:abstractNumId="157">
    <w:nsid w:val="475E256A"/>
    <w:multiLevelType w:val="hybridMultilevel"/>
    <w:lvl w:ilvl="0">
      <w:lvlJc w:val="left"/>
      <w:lvlText w:val="(%1)"/>
      <w:numFmt w:val="lowerRoman"/>
      <w:start w:val="2"/>
    </w:lvl>
  </w:abstractNum>
  <w:abstractNum w:abstractNumId="158">
    <w:nsid w:val="368DB37E"/>
    <w:multiLevelType w:val="hybridMultilevel"/>
    <w:lvl w:ilvl="0">
      <w:lvlJc w:val="left"/>
      <w:lvlText w:val="(%1)"/>
      <w:numFmt w:val="decimal"/>
      <w:start w:val="60"/>
    </w:lvl>
  </w:abstractNum>
  <w:abstractNum w:abstractNumId="159">
    <w:nsid w:val="6A3B714C"/>
    <w:multiLevelType w:val="hybridMultilevel"/>
    <w:lvl w:ilvl="0">
      <w:lvlJc w:val="left"/>
      <w:lvlText w:val="(%1)"/>
      <w:numFmt w:val="lowerLetter"/>
      <w:start w:val="2"/>
    </w:lvl>
    <w:lvl w:ilvl="1">
      <w:lvlJc w:val="left"/>
      <w:lvlText w:val="*"/>
      <w:numFmt w:val="bullet"/>
      <w:start w:val="1"/>
    </w:lvl>
  </w:abstractNum>
  <w:abstractNum w:abstractNumId="160">
    <w:nsid w:val="327B517E"/>
    <w:multiLevelType w:val="hybridMultilevel"/>
    <w:lvl w:ilvl="0">
      <w:lvlJc w:val="left"/>
      <w:lvlText w:val="(%1)"/>
      <w:numFmt w:val="lowerLetter"/>
      <w:start w:val="1"/>
    </w:lvl>
    <w:lvl w:ilvl="1">
      <w:lvlJc w:val="left"/>
      <w:lvlText w:val="(%2)"/>
      <w:numFmt w:val="lowerLetter"/>
      <w:start w:val="9"/>
    </w:lvl>
  </w:abstractNum>
  <w:abstractNum w:abstractNumId="161">
    <w:nsid w:val="1F461B51"/>
    <w:multiLevelType w:val="hybridMultilevel"/>
    <w:lvl w:ilvl="0">
      <w:lvlJc w:val="left"/>
      <w:lvlText w:val="%1"/>
      <w:numFmt w:val="lowerLetter"/>
      <w:start w:val="1"/>
    </w:lvl>
    <w:lvl w:ilvl="1">
      <w:lvlJc w:val="left"/>
      <w:lvlText w:val="(%2)"/>
      <w:numFmt w:val="lowerRoman"/>
      <w:start w:val="2"/>
    </w:lvl>
  </w:abstractNum>
  <w:abstractNum w:abstractNumId="162">
    <w:nsid w:val="29BACF25"/>
    <w:multiLevelType w:val="hybridMultilevel"/>
    <w:lvl w:ilvl="0">
      <w:lvlJc w:val="left"/>
      <w:lvlText w:val="(%1)"/>
      <w:numFmt w:val="lowerLetter"/>
      <w:start w:val="4"/>
    </w:lvl>
    <w:lvl w:ilvl="1">
      <w:lvlJc w:val="left"/>
      <w:lvlText w:val="%2"/>
      <w:numFmt w:val="lowerRoman"/>
      <w:start w:val="1"/>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lowerLetter"/>
      <w:start w:val="1"/>
    </w:lvl>
  </w:abstractNum>
  <w:abstractNum w:abstractNumId="165">
    <w:nsid w:val="7E0F6384"/>
    <w:multiLevelType w:val="hybridMultilevel"/>
    <w:lvl w:ilvl="0">
      <w:lvlJc w:val="left"/>
      <w:lvlText w:val="(%1)"/>
      <w:numFmt w:val="lowerRoman"/>
      <w:start w:val="5"/>
    </w:lvl>
    <w:lvl w:ilvl="1">
      <w:lvlJc w:val="left"/>
      <w:lvlText w:val="%2"/>
      <w:numFmt w:val="lowerLetter"/>
      <w:start w:val="1"/>
    </w:lvl>
  </w:abstractNum>
  <w:abstractNum w:abstractNumId="166">
    <w:nsid w:val="2B4B8B53"/>
    <w:multiLevelType w:val="hybridMultilevel"/>
    <w:lvl w:ilvl="0">
      <w:lvlJc w:val="left"/>
      <w:lvlText w:val="(%1)"/>
      <w:numFmt w:val="lowerRoman"/>
      <w:start w:val="12"/>
    </w:lvl>
    <w:lvl w:ilvl="1">
      <w:lvlJc w:val="left"/>
      <w:lvlText w:val="%2"/>
      <w:numFmt w:val="lowerLetter"/>
      <w:start w:val="1"/>
    </w:lvl>
  </w:abstractNum>
  <w:abstractNum w:abstractNumId="167">
    <w:nsid w:val="72E3413A"/>
    <w:multiLevelType w:val="hybridMultilevel"/>
    <w:lvl w:ilvl="0">
      <w:lvlJc w:val="left"/>
      <w:lvlText w:val="(%1)"/>
      <w:numFmt w:val="lowerRoman"/>
      <w:start w:val="23"/>
    </w:lvl>
    <w:lvl w:ilvl="1">
      <w:lvlJc w:val="left"/>
      <w:lvlText w:val="%2"/>
      <w:numFmt w:val="lowerLetter"/>
      <w:start w:val="1"/>
    </w:lvl>
  </w:abstractNum>
  <w:abstractNum w:abstractNumId="168">
    <w:nsid w:val="116AE494"/>
    <w:multiLevelType w:val="hybridMultilevel"/>
    <w:lvl w:ilvl="0">
      <w:lvlJc w:val="left"/>
      <w:lvlText w:val="(%1)"/>
      <w:numFmt w:val="lowerRoman"/>
      <w:start w:val="32"/>
    </w:lvl>
    <w:lvl w:ilvl="1">
      <w:lvlJc w:val="left"/>
      <w:lvlText w:val="(%2)"/>
      <w:numFmt w:val="lowerLetter"/>
      <w:start w:val="2"/>
    </w:lvl>
  </w:abstractNum>
  <w:abstractNum w:abstractNumId="169">
    <w:nsid w:val="3494B2FB"/>
    <w:multiLevelType w:val="hybridMultilevel"/>
    <w:lvl w:ilvl="0">
      <w:lvlJc w:val="left"/>
      <w:lvlText w:val="(%1)"/>
      <w:numFmt w:val="lowerRoman"/>
      <w:start w:val="5"/>
    </w:lvl>
    <w:lvl w:ilvl="1">
      <w:lvlJc w:val="left"/>
      <w:lvlText w:val="%2"/>
      <w:numFmt w:val="lowerLetter"/>
      <w:start w:val="1"/>
    </w:lvl>
  </w:abstractNum>
  <w:abstractNum w:abstractNumId="170">
    <w:nsid w:val="B13A31"/>
    <w:multiLevelType w:val="hybridMultilevel"/>
    <w:lvl w:ilvl="0">
      <w:lvlJc w:val="left"/>
      <w:lvlText w:val="(%1)"/>
      <w:numFmt w:val="lowerLetter"/>
      <w:start w:val="1"/>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lowerLetter"/>
      <w:start w:val="5"/>
    </w:lvl>
  </w:abstractNum>
  <w:abstractNum w:abstractNumId="173">
    <w:nsid w:val="25973E32"/>
    <w:multiLevelType w:val="hybridMultilevel"/>
    <w:lvl w:ilvl="0">
      <w:lvlJc w:val="left"/>
      <w:lvlText w:val="(%1)"/>
      <w:numFmt w:val="lowerLetter"/>
      <w:start w:val="1"/>
    </w:lvl>
  </w:abstractNum>
  <w:abstractNum w:abstractNumId="174">
    <w:nsid w:val="EAD6F57"/>
    <w:multiLevelType w:val="hybridMultilevel"/>
    <w:lvl w:ilvl="0">
      <w:lvlJc w:val="left"/>
      <w:lvlText w:val="(%1)"/>
      <w:numFmt w:val="lowerLetter"/>
      <w:start w:val="1"/>
    </w:lvl>
  </w:abstractNum>
  <w:abstractNum w:abstractNumId="175">
    <w:nsid w:val="6EC9D844"/>
    <w:multiLevelType w:val="hybridMultilevel"/>
    <w:lvl w:ilvl="0">
      <w:lvlJc w:val="left"/>
      <w:lvlText w:val="(%1)"/>
      <w:numFmt w:val="lowerLetter"/>
      <w:start w:val="1"/>
    </w:lvl>
    <w:lvl w:ilvl="1">
      <w:lvlJc w:val="left"/>
      <w:lvlText w:val="(%2)"/>
      <w:numFmt w:val="lowerRoman"/>
      <w:start w:val="1"/>
    </w:lvl>
  </w:abstractNum>
  <w:abstractNum w:abstractNumId="176">
    <w:nsid w:val="5C49EAEE"/>
    <w:multiLevelType w:val="hybridMultilevel"/>
    <w:lvl w:ilvl="0">
      <w:lvlJc w:val="left"/>
      <w:lvlText w:val="(%1)"/>
      <w:numFmt w:val="lowerLetter"/>
      <w:start w:val="3"/>
    </w:lvl>
  </w:abstractNum>
  <w:abstractNum w:abstractNumId="177">
    <w:nsid w:val="64AF49B"/>
    <w:multiLevelType w:val="hybridMultilevel"/>
    <w:lvl w:ilvl="0">
      <w:lvlJc w:val="left"/>
      <w:lvlText w:val="(%1)"/>
      <w:numFmt w:val="lowerLetter"/>
      <w:start w:val="1"/>
    </w:lvl>
  </w:abstractNum>
  <w:abstractNum w:abstractNumId="178">
    <w:nsid w:val="397C46BC"/>
    <w:multiLevelType w:val="hybridMultilevel"/>
    <w:lvl w:ilvl="0">
      <w:lvlJc w:val="left"/>
      <w:lvlText w:val="(%1)"/>
      <w:numFmt w:val="lowerLetter"/>
      <w:start w:val="4"/>
    </w:lvl>
  </w:abstractNum>
  <w:abstractNum w:abstractNumId="179">
    <w:nsid w:val="7E448DE9"/>
    <w:multiLevelType w:val="hybridMultilevel"/>
    <w:lvl w:ilvl="0">
      <w:lvlJc w:val="left"/>
      <w:lvlText w:val="(%1)"/>
      <w:numFmt w:val="lowerLetter"/>
      <w:start w:val="2"/>
    </w:lvl>
  </w:abstractNum>
  <w:abstractNum w:abstractNumId="180">
    <w:nsid w:val="5A9CC3E5"/>
    <w:multiLevelType w:val="hybridMultilevel"/>
    <w:lvl w:ilvl="0">
      <w:lvlJc w:val="left"/>
      <w:lvlText w:val="(%1)"/>
      <w:numFmt w:val="lowerLetter"/>
      <w:start w:val="1"/>
    </w:lvl>
  </w:abstractNum>
  <w:abstractNum w:abstractNumId="181">
    <w:nsid w:val="1AFE3625"/>
    <w:multiLevelType w:val="hybridMultilevel"/>
    <w:lvl w:ilvl="0">
      <w:lvlJc w:val="left"/>
      <w:lvlText w:val="(%1)"/>
      <w:numFmt w:val="lowerLetter"/>
      <w:start w:val="1"/>
    </w:lvl>
    <w:lvl w:ilvl="1">
      <w:lvlJc w:val="left"/>
      <w:lvlText w:val="(%2)"/>
      <w:numFmt w:val="lowerRoman"/>
      <w:start w:val="1"/>
    </w:lvl>
  </w:abstractNum>
  <w:abstractNum w:abstractNumId="182">
    <w:nsid w:val="3CA88E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3">
    <w:nsid w:val="6EBE42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4">
    <w:nsid w:val="C058DF5"/>
    <w:multiLevelType w:val="hybridMultilevel"/>
    <w:lvl w:ilvl="0">
      <w:lvlJc w:val="left"/>
      <w:lvlText w:val="(%1)"/>
      <w:numFmt w:val="decimal"/>
      <w:start w:val="15"/>
    </w:lvl>
    <w:lvl w:ilvl="1">
      <w:lvlJc w:val="left"/>
      <w:lvlText w:val="(%2)"/>
      <w:numFmt w:val="lowerLetter"/>
      <w:start w:val="5"/>
    </w:lvl>
    <w:lvl w:ilvl="2">
      <w:lvlJc w:val="left"/>
      <w:lvlText w:val="%3"/>
      <w:numFmt w:val="lowerRoman"/>
      <w:start w:val="1"/>
    </w:lvl>
  </w:abstractNum>
  <w:abstractNum w:abstractNumId="185">
    <w:nsid w:val="CBE5BE9"/>
    <w:multiLevelType w:val="hybridMultilevel"/>
    <w:lvl w:ilvl="0">
      <w:lvlJc w:val="left"/>
      <w:lvlText w:val="(%1)"/>
      <w:numFmt w:val="lowerLetter"/>
      <w:start w:val="6"/>
    </w:lvl>
  </w:abstractNum>
  <w:abstractNum w:abstractNumId="186">
    <w:nsid w:val="3102BBE2"/>
    <w:multiLevelType w:val="hybridMultilevel"/>
    <w:lvl w:ilvl="0">
      <w:lvlJc w:val="left"/>
      <w:lvlText w:val="%1."/>
      <w:numFmt w:val="decimal"/>
      <w:start w:val="1"/>
    </w:lvl>
  </w:abstractNum>
  <w:abstractNum w:abstractNumId="187">
    <w:nsid w:val="26A02C5E"/>
    <w:multiLevelType w:val="hybridMultilevel"/>
    <w:lvl w:ilvl="0">
      <w:lvlJc w:val="left"/>
      <w:lvlText w:val="%1."/>
      <w:numFmt w:val="decimal"/>
      <w:start w:val="2"/>
    </w:lvl>
  </w:abstractNum>
  <w:abstractNum w:abstractNumId="188">
    <w:nsid w:val="541C8153"/>
    <w:multiLevelType w:val="hybridMultilevel"/>
    <w:lvl w:ilvl="0">
      <w:lvlJc w:val="left"/>
      <w:lvlText w:val="%1."/>
      <w:numFmt w:val="decimal"/>
      <w:start w:val="3"/>
    </w:lvl>
  </w:abstractNum>
  <w:abstractNum w:abstractNumId="189">
    <w:nsid w:val="67906F60"/>
    <w:multiLevelType w:val="hybridMultilevel"/>
    <w:lvl w:ilvl="0">
      <w:lvlJc w:val="left"/>
      <w:lvlText w:val="%1."/>
      <w:numFmt w:val="decimal"/>
      <w:start w:val="4"/>
    </w:lvl>
    <w:lvl w:ilvl="1">
      <w:lvlJc w:val="left"/>
      <w:lvlText w:val="(%2)"/>
      <w:numFmt w:val="lowerLetter"/>
      <w:start w:val="1"/>
    </w:lvl>
  </w:abstractNum>
  <w:abstractNum w:abstractNumId="190">
    <w:nsid w:val="10DB9DAA"/>
    <w:multiLevelType w:val="hybridMultilevel"/>
    <w:lvl w:ilvl="0">
      <w:lvlJc w:val="left"/>
      <w:lvlText w:val="%1"/>
      <w:numFmt w:val="decimal"/>
      <w:start w:val="1"/>
    </w:lvl>
    <w:lvl w:ilvl="1">
      <w:lvlJc w:val="left"/>
      <w:lvlText w:val="(%2)"/>
      <w:numFmt w:val="lowerLetter"/>
      <w:start w:val="2"/>
    </w:lvl>
  </w:abstractNum>
  <w:abstractNum w:abstractNumId="191">
    <w:nsid w:val="697D2D2"/>
    <w:multiLevelType w:val="hybridMultilevel"/>
    <w:lvl w:ilvl="0">
      <w:lvlJc w:val="left"/>
      <w:lvlText w:val="%1."/>
      <w:numFmt w:val="decimal"/>
      <w:start w:val="5"/>
    </w:lvl>
    <w:lvl w:ilvl="1">
      <w:lvlJc w:val="left"/>
      <w:lvlText w:val="%2"/>
      <w:numFmt w:val="lowerLetter"/>
      <w:start w:val="1"/>
    </w:lvl>
  </w:abstractNum>
  <w:abstractNum w:abstractNumId="192">
    <w:nsid w:val="6D68AB2"/>
    <w:multiLevelType w:val="hybridMultilevel"/>
    <w:lvl w:ilvl="0">
      <w:lvlJc w:val="left"/>
      <w:lvlText w:val="%1."/>
      <w:numFmt w:val="decimal"/>
      <w:start w:val="6"/>
    </w:lvl>
    <w:lvl w:ilvl="1">
      <w:lvlJc w:val="left"/>
      <w:lvlText w:val="(%2)"/>
      <w:numFmt w:val="lowerLetter"/>
      <w:start w:val="1"/>
    </w:lvl>
  </w:abstractNum>
  <w:abstractNum w:abstractNumId="193">
    <w:nsid w:val="3A966CD0"/>
    <w:multiLevelType w:val="hybridMultilevel"/>
    <w:lvl w:ilvl="0">
      <w:lvlJc w:val="left"/>
      <w:lvlText w:val="%1"/>
      <w:numFmt w:val="decimal"/>
      <w:start w:val="1"/>
    </w:lvl>
    <w:lvl w:ilvl="1">
      <w:lvlJc w:val="left"/>
      <w:lvlText w:val="(%2)"/>
      <w:numFmt w:val="lowerLetter"/>
      <w:start w:val="4"/>
    </w:lvl>
  </w:abstractNum>
  <w:abstractNum w:abstractNumId="194">
    <w:nsid w:val="63F37E85"/>
    <w:multiLevelType w:val="hybridMultilevel"/>
    <w:lvl w:ilvl="0">
      <w:lvlJc w:val="left"/>
      <w:lvlText w:val="%1."/>
      <w:numFmt w:val="decimal"/>
      <w:start w:val="7"/>
    </w:lvl>
    <w:lvl w:ilvl="1">
      <w:lvlJc w:val="left"/>
      <w:lvlText w:val="%2"/>
      <w:numFmt w:val="lowerLetter"/>
      <w:start w:val="1"/>
    </w:lvl>
  </w:abstractNum>
  <w:abstractNum w:abstractNumId="195">
    <w:nsid w:val="5895F5FA"/>
    <w:multiLevelType w:val="hybridMultilevel"/>
    <w:lvl w:ilvl="0">
      <w:lvlJc w:val="left"/>
      <w:lvlText w:val="%1."/>
      <w:numFmt w:val="decimal"/>
      <w:start w:val="8"/>
    </w:lvl>
  </w:abstractNum>
  <w:abstractNum w:abstractNumId="196">
    <w:nsid w:val="38A5D054"/>
    <w:multiLevelType w:val="hybridMultilevel"/>
    <w:lvl w:ilvl="0">
      <w:lvlJc w:val="left"/>
      <w:lvlText w:val="%1."/>
      <w:numFmt w:val="decimal"/>
      <w:start w:val="9"/>
    </w:lvl>
  </w:abstractNum>
  <w:abstractNum w:abstractNumId="197">
    <w:nsid w:val="F3F09D8"/>
    <w:multiLevelType w:val="hybridMultilevel"/>
    <w:lvl w:ilvl="0">
      <w:lvlJc w:val="left"/>
      <w:lvlText w:val="["/>
      <w:numFmt w:val="bullet"/>
      <w:start w:val="1"/>
    </w:lvl>
  </w:abstractNum>
  <w:abstractNum w:abstractNumId="198">
    <w:nsid w:val="4B7937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0">
    <w:nsid w:val="43D3BCD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01">
    <w:nsid w:val="4C2A716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02">
    <w:nsid w:val="2E534A8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2019-12-09T03:51:44Z</dcterms:created>
  <dcterms:modified xsi:type="dcterms:W3CDTF">2019-12-09T03:51:44Z</dcterms:modified>
</cp:coreProperties>
</file>