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Carley Brian T</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Medpace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MEDP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MEDPACE HOLDINGS, INC.</w:t>
            </w:r>
          </w:p>
        </w:tc>
        <w:tc>
          <w:tcPr>
            <w:tcW w:w="120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5375 MEDPACE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CINCINNATI</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45227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32,789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415.27</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1,110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05/15/2033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1,110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1,110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(i) the day immediately preceding the date of the first annual meeting of the Issuer following the date of grant, and (ii) the first anniversary of the date of grant, subject to continued service on the board of directors of the Issuer through the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7"/>
          <w:szCs w:val="17"/>
          <w:color w:val="0000FF"/>
        </w:rPr>
        <w:t xml:space="preserve">/s/ Stephen P. Ewald, Attorney- </w:t>
      </w:r>
      <w:r>
        <w:rPr>
          <w:rFonts w:ascii="Times New Roman" w:cs="Times New Roman" w:eastAsia="Times New Roman" w:hAnsi="Times New Roman"/>
          <w:sz w:val="33"/>
          <w:szCs w:val="33"/>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Brian T. Carley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43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363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7791" TargetMode="External"/><Relationship Id="rId14"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2026-05-18T16:01:52Z</dcterms:created>
  <dcterms:modified xsi:type="dcterms:W3CDTF">2026-05-18T16:01:52Z</dcterms:modified>
</cp:coreProperties>
</file>