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5728.xml.htm"/>
      <w:bookmarkStart w:id="1" w:name="kswkform4_17909757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Kraft Robert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MEDPACE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5375 MEDPACE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Medpace Holdings, Inc.</w:t>
              </w:r>
            </w:hyperlink>
            <w:r>
              <w:rPr/>
              <w:t xml:space="preserve"> [ </w:t>
            </w:r>
            <w:r>
              <w:rPr>
                <w:rFonts w:ascii="Times;serif" w:hAnsi="Times;serif"/>
                <w:color w:val="0000FF"/>
                <w:sz w:val="24"/>
                <w:shd w:fill="FFFFFF" w:val="clear"/>
              </w:rPr>
              <w:t>MEDP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987</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52"/>
        <w:gridCol w:w="44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4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MEDP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November 28, 2025, the Reporting Person was granted 130 restricted stock units vesting in four approximately equal installments on March 31, 2026, June 30, 2026, September 30, 2026 and December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P. Ewald, Attorney-in-Fact for Robert O. Kraft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8592" TargetMode="External"/><Relationship Id="rId5" Type="http://schemas.openxmlformats.org/officeDocument/2006/relationships/hyperlink" Target="http://www.sec.gov/cgi-bin/browse-edgar?action=getcompany&amp;CIK=00016683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3409</Characters>
  <CharactersWithSpaces>3963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