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022182.xml.htm"/>
      <w:bookmarkStart w:id="1" w:name="kswkform4_17900221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Troendle August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4"/>
        <w:gridCol w:w="902"/>
        <w:gridCol w:w="773"/>
        <w:gridCol w:w="599"/>
        <w:gridCol w:w="340"/>
        <w:gridCol w:w="910"/>
        <w:gridCol w:w="433"/>
        <w:gridCol w:w="789"/>
        <w:gridCol w:w="1251"/>
        <w:gridCol w:w="971"/>
        <w:gridCol w:w="108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10,880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620.4</w:t>
            </w:r>
            <w:r>
              <w:rPr>
                <w:rFonts w:ascii="Times;serif" w:hAnsi="Times;serif"/>
                <w:color w:val="008000"/>
                <w:position w:val="7"/>
                <w:sz w:val="16"/>
                <w:sz w:val="20"/>
                <w:shd w:fill="FFFFFF" w:val="clear"/>
              </w:rPr>
              <w:t>(2)</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504,273</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4,733,019</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Medpace Investors, LLC</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limit order placed by the Reporting Person during an open window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ranging from $620.00 to $622.21.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sole manager and controlling unit holder of Medpace Investors, LLC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August J. Troendle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058"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721</Words>
  <Characters>3902</Characters>
  <CharactersWithSpaces>4548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