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2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860"/>
        <w:spacing w:after="0"/>
        <w:tabs>
          <w:tab w:leader="none" w:pos="6760" w:val="left"/>
          <w:tab w:leader="none" w:pos="75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Medpace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p>
      <w:pPr>
        <w:spacing w:after="0" w:line="273" w:lineRule="exact"/>
        <w:rPr>
          <w:sz w:val="24"/>
          <w:szCs w:val="24"/>
          <w:color w:val="auto"/>
        </w:rPr>
      </w:pPr>
    </w:p>
    <w:p>
      <w:pPr>
        <w:ind w:left="28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32-0434904</w:t>
      </w:r>
    </w:p>
    <w:p>
      <w:pPr>
        <w:spacing w:after="0" w:line="31" w:lineRule="exact"/>
        <w:rPr>
          <w:sz w:val="24"/>
          <w:szCs w:val="24"/>
          <w:color w:val="auto"/>
        </w:rPr>
      </w:pPr>
    </w:p>
    <w:p>
      <w:pPr>
        <w:sectPr>
          <w:pgSz w:w="11900" w:h="16838" w:orient="portrait"/>
          <w:cols w:equalWidth="0" w:num="2">
            <w:col w:w="7080" w:space="720"/>
            <w:col w:w="3640"/>
          </w:cols>
          <w:pgMar w:left="240" w:top="328" w:right="219" w:bottom="1440" w:gutter="0" w:footer="0" w:header="0"/>
          <w:type w:val="continuous"/>
        </w:sectPr>
      </w:pPr>
    </w:p>
    <w:p>
      <w:pPr>
        <w:spacing w:after="0" w:line="12" w:lineRule="exact"/>
        <w:rPr>
          <w:sz w:val="24"/>
          <w:szCs w:val="24"/>
          <w:color w:val="auto"/>
        </w:rPr>
      </w:pPr>
    </w:p>
    <w:p>
      <w:pPr>
        <w:ind w:left="2280"/>
        <w:spacing w:after="0"/>
        <w:rPr>
          <w:sz w:val="20"/>
          <w:szCs w:val="20"/>
          <w:color w:val="auto"/>
        </w:rPr>
      </w:pPr>
      <w:r>
        <w:rPr>
          <w:rFonts w:ascii="Arial" w:cs="Arial" w:eastAsia="Arial" w:hAnsi="Arial"/>
          <w:sz w:val="13"/>
          <w:szCs w:val="13"/>
          <w:b w:val="1"/>
          <w:bCs w:val="1"/>
          <w:color w:val="auto"/>
        </w:rPr>
        <w:t>(State or other jurisdiction of</w:t>
      </w:r>
    </w:p>
    <w:p>
      <w:pPr>
        <w:ind w:left="22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6940" w:space="720"/>
            <w:col w:w="3780"/>
          </w:cols>
          <w:pgMar w:left="240" w:top="328" w:right="21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5375 Medpace Way, Cincinnati, OH 45227</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(513) 579-9911</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96520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type w:val="continuous"/>
        </w:sectPr>
      </w:pPr>
    </w:p>
    <w:p>
      <w:pPr>
        <w:spacing w:after="0" w:line="260" w:lineRule="exact"/>
        <w:rPr>
          <w:sz w:val="24"/>
          <w:szCs w:val="24"/>
          <w:color w:val="auto"/>
        </w:rPr>
      </w:pPr>
    </w:p>
    <w:p>
      <w:pPr>
        <w:ind w:right="2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r>
              <w:rPr>
                <w:rFonts w:ascii="Arial" w:cs="Arial" w:eastAsia="Arial" w:hAnsi="Arial"/>
                <w:sz w:val="18"/>
                <w:szCs w:val="18"/>
                <w:color w:val="auto"/>
                <w:w w:val="90"/>
              </w:rPr>
              <w:t>Large accelerated filer</w:t>
            </w:r>
          </w:p>
        </w:tc>
        <w:tc>
          <w:tcPr>
            <w:tcW w:w="4760" w:type="dxa"/>
            <w:vAlign w:val="bottom"/>
            <w:gridSpan w:val="3"/>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21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19"/>
                <w:szCs w:val="19"/>
                <w:color w:val="auto"/>
              </w:rPr>
            </w:pPr>
          </w:p>
        </w:tc>
      </w:tr>
      <w:tr>
        <w:trPr>
          <w:trHeight w:val="283"/>
        </w:trPr>
        <w:tc>
          <w:tcPr>
            <w:tcW w:w="1640" w:type="dxa"/>
            <w:vAlign w:val="bottom"/>
          </w:tcPr>
          <w:p>
            <w:pPr>
              <w:spacing w:after="0"/>
              <w:rPr>
                <w:sz w:val="20"/>
                <w:szCs w:val="20"/>
                <w:color w:val="auto"/>
              </w:rPr>
            </w:pPr>
            <w:r>
              <w:rPr>
                <w:rFonts w:ascii="Arial" w:cs="Arial" w:eastAsia="Arial" w:hAnsi="Arial"/>
                <w:sz w:val="18"/>
                <w:szCs w:val="18"/>
                <w:color w:val="auto"/>
                <w:w w:val="97"/>
              </w:rPr>
              <w:t>Non-accelerated filer</w:t>
            </w:r>
          </w:p>
        </w:tc>
        <w:tc>
          <w:tcPr>
            <w:tcW w:w="4760" w:type="dxa"/>
            <w:vAlign w:val="bottom"/>
            <w:gridSpan w:val="3"/>
          </w:tcPr>
          <w:p>
            <w:pPr>
              <w:ind w:left="90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(Do not check if a smaller reporting company)</w:t>
            </w:r>
          </w:p>
        </w:tc>
        <w:tc>
          <w:tcPr>
            <w:tcW w:w="4480" w:type="dxa"/>
            <w:vAlign w:val="bottom"/>
          </w:tcPr>
          <w:p>
            <w:pPr>
              <w:ind w:left="21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38"/>
        </w:trPr>
        <w:tc>
          <w:tcPr>
            <w:tcW w:w="10880" w:type="dxa"/>
            <w:vAlign w:val="bottom"/>
            <w:gridSpan w:val="5"/>
          </w:tcPr>
          <w:p>
            <w:pPr>
              <w:ind w:left="5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0880" w:type="dxa"/>
            <w:vAlign w:val="bottom"/>
            <w:gridSpan w:val="5"/>
          </w:tcPr>
          <w:p>
            <w:pPr>
              <w:ind w:left="52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640" w:type="dxa"/>
            <w:vAlign w:val="bottom"/>
          </w:tcPr>
          <w:p>
            <w:pPr>
              <w:spacing w:after="0"/>
              <w:rPr>
                <w:sz w:val="23"/>
                <w:szCs w:val="23"/>
                <w:color w:val="auto"/>
              </w:rPr>
            </w:pPr>
          </w:p>
        </w:tc>
        <w:tc>
          <w:tcPr>
            <w:tcW w:w="476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85"/>
              </w:rPr>
              <w:t>Class</w:t>
            </w: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 Outstanding</w:t>
            </w: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8"/>
        </w:trPr>
        <w:tc>
          <w:tcPr>
            <w:tcW w:w="164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tcPr>
          <w:p>
            <w:pPr>
              <w:jc w:val="center"/>
              <w:ind w:right="1554"/>
              <w:spacing w:after="0"/>
              <w:rPr>
                <w:sz w:val="20"/>
                <w:szCs w:val="20"/>
                <w:color w:val="auto"/>
              </w:rPr>
            </w:pPr>
            <w:r>
              <w:rPr>
                <w:rFonts w:ascii="Arial" w:cs="Arial" w:eastAsia="Arial" w:hAnsi="Arial"/>
                <w:sz w:val="18"/>
                <w:szCs w:val="18"/>
                <w:b w:val="1"/>
                <w:bCs w:val="1"/>
                <w:color w:val="auto"/>
                <w:w w:val="90"/>
              </w:rPr>
              <w:t>Common Stock $0.01 par value</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40,719,891 shares outstanding as of October 31, 2016</w:t>
            </w: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17"/>
        </w:trPr>
        <w:tc>
          <w:tcPr>
            <w:tcW w:w="164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5"/>
        </w:trPr>
        <w:tc>
          <w:tcPr>
            <w:tcW w:w="164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QUARTERLY PERIOD ENDED SEPTEMBER 30, 2016</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Item Number</w:t>
            </w:r>
          </w:p>
        </w:tc>
        <w:tc>
          <w:tcPr>
            <w:tcW w:w="3240" w:type="dxa"/>
            <w:vAlign w:val="bottom"/>
            <w:gridSpan w:val="14"/>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560" w:type="dxa"/>
            <w:vAlign w:val="bottom"/>
            <w:gridSpan w:val="9"/>
            <w:vMerge w:val="restart"/>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7"/>
        </w:trPr>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240" w:type="dxa"/>
            <w:vAlign w:val="bottom"/>
            <w:tcBorders>
              <w:bottom w:val="single" w:sz="8" w:color="0000EE"/>
            </w:tcBorders>
            <w:gridSpan w:val="14"/>
            <w:vMerge w:val="continue"/>
          </w:tcPr>
          <w:p>
            <w:pPr>
              <w:spacing w:after="0"/>
              <w:rPr>
                <w:sz w:val="14"/>
                <w:szCs w:val="14"/>
                <w:color w:val="auto"/>
              </w:rPr>
            </w:pPr>
          </w:p>
        </w:tc>
        <w:tc>
          <w:tcPr>
            <w:tcW w:w="6560" w:type="dxa"/>
            <w:vAlign w:val="bottom"/>
            <w:gridSpan w:val="9"/>
            <w:vMerge w:val="continue"/>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420" w:type="dxa"/>
            <w:vAlign w:val="bottom"/>
            <w:gridSpan w:val="11"/>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5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2016 and December 31, 2015</w:t>
              </w:r>
            </w:hyperlink>
          </w:p>
        </w:tc>
        <w:tc>
          <w:tcPr>
            <w:tcW w:w="3220" w:type="dxa"/>
            <w:vAlign w:val="bottom"/>
            <w:gridSpan w:val="4"/>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nine months ended September 30, 2016 and 2015</w:t>
              </w:r>
            </w:hyperlink>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0" w:type="dxa"/>
            <w:vAlign w:val="bottom"/>
            <w:gridSpan w:val="23"/>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(Loss) for the three and nine months ended September 30, 2016 and</w:t>
              </w:r>
            </w:hyperlink>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Borders>
              <w:top w:val="single" w:sz="8" w:color="0000EE"/>
            </w:tcBorders>
            <w:gridSpan w:val="4"/>
          </w:tcPr>
          <w:p>
            <w:pPr>
              <w:ind w:left="22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2015</w:t>
              </w:r>
            </w:hyperlink>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2016 and 2015</w:t>
              </w:r>
            </w:hyperlink>
          </w:p>
        </w:tc>
        <w:tc>
          <w:tcPr>
            <w:tcW w:w="1960" w:type="dxa"/>
            <w:vAlign w:val="bottom"/>
            <w:gridSpan w:val="3"/>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800" w:type="dxa"/>
            <w:vAlign w:val="bottom"/>
            <w:gridSpan w:val="8"/>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gridSpan w:val="5"/>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5440" w:type="dxa"/>
            <w:vAlign w:val="bottom"/>
            <w:gridSpan w:val="6"/>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Controls and Procedures</w:t>
              </w:r>
            </w:hyperlink>
          </w:p>
        </w:tc>
        <w:tc>
          <w:tcPr>
            <w:tcW w:w="8020" w:type="dxa"/>
            <w:vAlign w:val="bottom"/>
            <w:gridSpan w:val="13"/>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 OTHER INFORMATION</w:t>
              </w:r>
            </w:hyperlink>
          </w:p>
        </w:tc>
        <w:tc>
          <w:tcPr>
            <w:tcW w:w="6860" w:type="dxa"/>
            <w:vAlign w:val="bottom"/>
            <w:gridSpan w:val="10"/>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8460" w:type="dxa"/>
            <w:vAlign w:val="bottom"/>
            <w:gridSpan w:val="15"/>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1A.</w:t>
            </w:r>
          </w:p>
        </w:tc>
        <w:tc>
          <w:tcPr>
            <w:tcW w:w="9800" w:type="dxa"/>
            <w:vAlign w:val="bottom"/>
            <w:gridSpan w:val="2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9800" w:type="dxa"/>
            <w:vAlign w:val="bottom"/>
            <w:gridSpan w:val="2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Defaults Upon Senior Securities</w:t>
              </w:r>
            </w:hyperlink>
          </w:p>
        </w:tc>
        <w:tc>
          <w:tcPr>
            <w:tcW w:w="5460" w:type="dxa"/>
            <w:vAlign w:val="bottom"/>
            <w:gridSpan w:val="7"/>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7480" w:type="dxa"/>
            <w:vAlign w:val="bottom"/>
            <w:gridSpan w:val="12"/>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8040" w:type="dxa"/>
            <w:vAlign w:val="bottom"/>
            <w:gridSpan w:val="14"/>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Exhibits</w:t>
              </w:r>
            </w:hyperlink>
          </w:p>
        </w:tc>
        <w:tc>
          <w:tcPr>
            <w:tcW w:w="9200" w:type="dxa"/>
            <w:vAlign w:val="bottom"/>
            <w:gridSpan w:val="18"/>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40" w:type="dxa"/>
            <w:vAlign w:val="bottom"/>
            <w:gridSpan w:val="2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20" w:type="dxa"/>
            <w:vAlign w:val="bottom"/>
            <w:gridSpan w:val="2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740" w:type="dxa"/>
            <w:vAlign w:val="bottom"/>
            <w:gridSpan w:val="2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EXHIBIT INDEX</w:t>
              </w:r>
            </w:hyperlink>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669"/>
        </w:trPr>
        <w:tc>
          <w:tcPr>
            <w:tcW w:w="2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gridSpan w:val="3"/>
          </w:tcPr>
          <w:p>
            <w:pPr>
              <w:spacing w:after="0"/>
              <w:rPr>
                <w:sz w:val="24"/>
                <w:szCs w:val="24"/>
                <w:color w:val="auto"/>
              </w:rPr>
            </w:pPr>
          </w:p>
        </w:tc>
        <w:tc>
          <w:tcPr>
            <w:tcW w:w="6080" w:type="dxa"/>
            <w:vAlign w:val="bottom"/>
            <w:gridSpan w:val="15"/>
          </w:tcPr>
          <w:p>
            <w:pPr>
              <w:jc w:val="right"/>
              <w:ind w:right="1760"/>
              <w:spacing w:after="0"/>
              <w:rPr>
                <w:sz w:val="20"/>
                <w:szCs w:val="20"/>
                <w:color w:val="auto"/>
              </w:rPr>
            </w:pPr>
            <w:r>
              <w:rPr>
                <w:rFonts w:ascii="Arial" w:cs="Arial" w:eastAsia="Arial" w:hAnsi="Arial"/>
                <w:sz w:val="18"/>
                <w:szCs w:val="18"/>
                <w:color w:val="auto"/>
              </w:rPr>
              <w:t>- 2 -</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20" w:type="dxa"/>
            <w:vAlign w:val="bottom"/>
          </w:tcPr>
          <w:p>
            <w:pPr>
              <w:spacing w:after="0"/>
              <w:rPr>
                <w:sz w:val="20"/>
                <w:szCs w:val="20"/>
                <w:color w:val="auto"/>
              </w:rPr>
            </w:pPr>
            <w:r>
              <w:rPr>
                <w:rFonts w:ascii="Arial" w:cs="Arial" w:eastAsia="Arial" w:hAnsi="Arial"/>
                <w:sz w:val="14"/>
                <w:szCs w:val="14"/>
                <w:b w:val="1"/>
                <w:bCs w:val="1"/>
                <w:i w:val="1"/>
                <w:iCs w:val="1"/>
                <w:color w:val="auto"/>
              </w:rPr>
              <w:t>(Amounts in thousands, except share amounts)</w:t>
            </w:r>
          </w:p>
        </w:tc>
        <w:tc>
          <w:tcPr>
            <w:tcW w:w="200" w:type="dxa"/>
            <w:vAlign w:val="bottom"/>
          </w:tcPr>
          <w:p>
            <w:pPr>
              <w:spacing w:after="0"/>
              <w:rPr>
                <w:sz w:val="14"/>
                <w:szCs w:val="14"/>
                <w:color w:val="auto"/>
              </w:rPr>
            </w:pPr>
          </w:p>
        </w:tc>
        <w:tc>
          <w:tcPr>
            <w:tcW w:w="18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As Of</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9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3,363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Accounts receivable and unbilled, net (includes $4.6 million and $2.9 million with related parties at</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September 30, 2016 and December 31, 2015, respectively)</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81,922</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65,088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120,527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41,342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37,512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660,981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148,739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186,743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976,487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984,041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9,337</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20" w:type="dxa"/>
            <w:vAlign w:val="bottom"/>
          </w:tcPr>
          <w:p>
            <w:pPr>
              <w:ind w:left="260"/>
              <w:spacing w:after="0"/>
              <w:rPr>
                <w:sz w:val="20"/>
                <w:szCs w:val="20"/>
                <w:color w:val="auto"/>
              </w:rPr>
            </w:pPr>
            <w:r>
              <w:rPr>
                <w:rFonts w:ascii="Arial" w:cs="Arial" w:eastAsia="Arial" w:hAnsi="Arial"/>
                <w:sz w:val="18"/>
                <w:szCs w:val="18"/>
                <w:color w:val="auto"/>
              </w:rPr>
              <w:t>Pre-funded study costs (includes $4.0 million and $3.7 million with related parties at</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380"/>
              <w:spacing w:after="0"/>
              <w:rPr>
                <w:sz w:val="20"/>
                <w:szCs w:val="20"/>
                <w:color w:val="auto"/>
              </w:rPr>
            </w:pPr>
            <w:r>
              <w:rPr>
                <w:rFonts w:ascii="Arial" w:cs="Arial" w:eastAsia="Arial" w:hAnsi="Arial"/>
                <w:sz w:val="18"/>
                <w:szCs w:val="18"/>
                <w:color w:val="auto"/>
              </w:rPr>
              <w:t>September 30, 2016 and December 31, 2015, respectively)</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53,418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46,599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Advanced billings (includes $9.3 million and $10.2 million with related parties at</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September 30, 2016 and December 31, 2015, respectively)</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67,662</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51,051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156,595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Long-term debt, net, less current portion</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154,614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377,882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Deemed landlord liability, less current portion</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ind w:left="74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365,947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570,567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(see Note 10)</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Preferred stock - $0.01 par-value; 5,000,000 shares authorized; no shares issued and outstanding at</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September 30, 2016; No shares authorized at December 31, 2015</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920" w:type="dxa"/>
            <w:vAlign w:val="bottom"/>
          </w:tcPr>
          <w:p>
            <w:pPr>
              <w:ind w:left="260"/>
              <w:spacing w:after="0"/>
              <w:rPr>
                <w:sz w:val="20"/>
                <w:szCs w:val="20"/>
                <w:color w:val="auto"/>
              </w:rPr>
            </w:pPr>
            <w:r>
              <w:rPr>
                <w:rFonts w:ascii="Arial" w:cs="Arial" w:eastAsia="Arial" w:hAnsi="Arial"/>
                <w:sz w:val="18"/>
                <w:szCs w:val="18"/>
                <w:color w:val="auto"/>
                <w:w w:val="93"/>
              </w:rPr>
              <w:t>Common stock - $0.01 par-value; 250,000,000 shares and 60,000,000 shares authorized at September</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260"/>
              <w:spacing w:after="0"/>
              <w:rPr>
                <w:sz w:val="20"/>
                <w:szCs w:val="20"/>
                <w:color w:val="auto"/>
              </w:rPr>
            </w:pPr>
            <w:r>
              <w:rPr>
                <w:rFonts w:ascii="Arial" w:cs="Arial" w:eastAsia="Arial" w:hAnsi="Arial"/>
                <w:sz w:val="18"/>
                <w:szCs w:val="18"/>
                <w:color w:val="auto"/>
              </w:rPr>
              <w:t>30, 2016 and December 31, 2015, respectively; 40,716,410 and 32,624,461 shares issued and</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outstanding at September 30, 2016 and December 31, 2015, respectively</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622,071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(9,563)</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(23,009)</w:t>
            </w: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610,540</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413,474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976,487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984,041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Arial" w:cs="Arial" w:eastAsia="Arial" w:hAnsi="Arial"/>
                <w:sz w:val="14"/>
                <w:szCs w:val="14"/>
                <w:b w:val="1"/>
                <w:bCs w:val="1"/>
                <w:i w:val="1"/>
                <w:iCs w:val="1"/>
                <w:color w:val="auto"/>
              </w:rPr>
              <w:t>(Amounts in thousands, except per share amounts)</w:t>
            </w: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tcPr>
          <w:p>
            <w:pPr>
              <w:ind w:left="260"/>
              <w:spacing w:after="0"/>
              <w:rPr>
                <w:sz w:val="20"/>
                <w:szCs w:val="20"/>
                <w:color w:val="auto"/>
              </w:rPr>
            </w:pPr>
            <w:r>
              <w:rPr>
                <w:rFonts w:ascii="Arial" w:cs="Arial" w:eastAsia="Arial" w:hAnsi="Arial"/>
                <w:sz w:val="18"/>
                <w:szCs w:val="18"/>
                <w:color w:val="auto"/>
              </w:rPr>
              <w:t>Service revenue, net (includes $6.9 million and $6.1 million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rPr>
              <w:t>with related parties for the three months ended September 30,</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rPr>
              <w:t>2016 and 2015, respectively, and $19.3 million and $17.6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rPr>
              <w:t>million with related parties for the nine months ended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380"/>
              <w:spacing w:after="0"/>
              <w:rPr>
                <w:sz w:val="20"/>
                <w:szCs w:val="20"/>
                <w:color w:val="auto"/>
              </w:rPr>
            </w:pPr>
            <w:r>
              <w:rPr>
                <w:rFonts w:ascii="Arial" w:cs="Arial" w:eastAsia="Arial" w:hAnsi="Arial"/>
                <w:sz w:val="18"/>
                <w:szCs w:val="18"/>
                <w:color w:val="auto"/>
              </w:rPr>
              <w:t>September 30, 2016 and 2015, respectively)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94,812</w:t>
            </w:r>
          </w:p>
        </w:tc>
        <w:tc>
          <w:tcPr>
            <w:tcW w:w="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81,638</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275,245</w:t>
            </w:r>
          </w:p>
        </w:tc>
        <w:tc>
          <w:tcPr>
            <w:tcW w:w="160" w:type="dxa"/>
            <w:vAlign w:val="bottom"/>
          </w:tcPr>
          <w:p>
            <w:pPr>
              <w:spacing w:after="0"/>
              <w:rPr>
                <w:sz w:val="20"/>
                <w:szCs w:val="20"/>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234,420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Reimbursed out-of-pocket revenue (includes $1.4 million and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$1.3 million with related parties for the three months ended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September 30, 2016 and 2015, respectively, and $4.3 million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$5.5 million with related parties for the nine months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ended September 30, 2016 and 2015, respectively)</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12,987</w:t>
            </w:r>
          </w:p>
        </w:tc>
        <w:tc>
          <w:tcPr>
            <w:tcW w:w="24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10,493</w:t>
            </w:r>
          </w:p>
        </w:tc>
        <w:tc>
          <w:tcPr>
            <w:tcW w:w="24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107,799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92,131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313,339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Direct costs, excluding depreciation and amortization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51,221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41,763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147,436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Reimbursed out-of-pocket expenses (includes $1.4 million and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$1.3 million with related parties for the three months ended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September 30, 2016 and 2015, respectively, and $4.3 million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$5.5 million with related parties for the nine months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ended September 30, 2016 and 2015, respectively)</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12,987</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16,391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15,295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95,182</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84,936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241,567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12,617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7,195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Miscellaneous (expense) income,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(4,656)</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(6,737)</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(16,550)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(20,712)</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(5,034)</w:t>
            </w:r>
          </w:p>
        </w:tc>
        <w:tc>
          <w:tcPr>
            <w:tcW w:w="2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(6,687)</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income (loss) per share attributable to common shareholders:</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9"/>
                <w:szCs w:val="19"/>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37,118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31,430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37,623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21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5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6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5,036</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ind w:left="60"/>
              <w:spacing w:after="0"/>
              <w:rPr>
                <w:sz w:val="20"/>
                <w:szCs w:val="20"/>
                <w:color w:val="auto"/>
              </w:rPr>
            </w:pPr>
            <w:r>
              <w:rPr>
                <w:rFonts w:ascii="Arial" w:cs="Arial" w:eastAsia="Arial" w:hAnsi="Arial"/>
                <w:sz w:val="18"/>
                <w:szCs w:val="18"/>
                <w:color w:val="auto"/>
                <w:w w:val="76"/>
              </w:rPr>
              <w:t>(133)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net of taxes</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(522)</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5,212</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6"/>
              </w:rPr>
              <w:t>(260)</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360" w:type="dxa"/>
            <w:vAlign w:val="bottom"/>
          </w:tcPr>
          <w:p>
            <w:pPr>
              <w:spacing w:after="0"/>
              <w:rPr>
                <w:sz w:val="14"/>
                <w:szCs w:val="14"/>
                <w:color w:val="auto"/>
              </w:rPr>
            </w:pPr>
          </w:p>
        </w:tc>
        <w:tc>
          <w:tcPr>
            <w:tcW w:w="206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8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13,446</w:t>
            </w:r>
          </w:p>
        </w:tc>
        <w:tc>
          <w:tcPr>
            <w:tcW w:w="300" w:type="dxa"/>
            <w:vAlign w:val="bottom"/>
          </w:tcPr>
          <w:p>
            <w:pPr>
              <w:spacing w:after="0"/>
              <w:rPr>
                <w:sz w:val="19"/>
                <w:szCs w:val="19"/>
                <w:color w:val="auto"/>
              </w:rPr>
            </w:pPr>
          </w:p>
        </w:tc>
        <w:tc>
          <w:tcPr>
            <w:tcW w:w="560" w:type="dxa"/>
            <w:vAlign w:val="bottom"/>
            <w:gridSpan w:val="2"/>
          </w:tcPr>
          <w:p>
            <w:pPr>
              <w:jc w:val="right"/>
              <w:ind w:right="43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(loss) to net cash provided by operating</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5,481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4,721</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50,017</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8,559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11,831</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 and discount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Deferred income tax benefit</w:t>
            </w: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(8,314)</w:t>
            </w: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(256)</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(140)</w:t>
            </w: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(506)</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(1,220)</w:t>
            </w: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Accounts receivable and unbilled, net</w:t>
            </w: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(16,606)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5,973</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(8,733)</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(717)</w:t>
            </w: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w:t>
            </w: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Pre-funded study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4,391</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Advanced billings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(7,231)</w:t>
            </w: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Other assets and liabilities, net</w:t>
            </w: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(2,368)</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(4,543)</w:t>
            </w:r>
          </w:p>
        </w:tc>
      </w:tr>
      <w:tr>
        <w:trPr>
          <w:trHeight w:val="223"/>
        </w:trPr>
        <w:tc>
          <w:tcPr>
            <w:tcW w:w="78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62,161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57,412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expenditures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(7,843)</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(4,688)</w:t>
            </w:r>
          </w:p>
        </w:tc>
      </w:tr>
      <w:tr>
        <w:trPr>
          <w:trHeight w:val="230"/>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(4,660)</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for common stock issuance costs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(2,719)</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Proceeds from stock option exercises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debt</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(225,054)</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(66,037)</w:t>
            </w: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Payment of deemed landlord liability</w:t>
            </w: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(1,129)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(930)</w:t>
            </w:r>
          </w:p>
        </w:tc>
      </w:tr>
      <w:tr>
        <w:trPr>
          <w:trHeight w:val="230"/>
        </w:trPr>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common stock issued, net of underwriters discount</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173,578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(66,113)</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DECREASES IN CASH AND CASH EQUIVALENTS</w:t>
            </w: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(13,653)</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 Beginning of period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54,285</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CASH AND CASH EQUIVALENTS — End of period</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40,632</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MEDPACE HOLDINGS, INC. AND SUBSIDIARIES NOTES TO CONDENSED CONSOLIDATED FINANCIAL STATEMENTS (Unaudited) September 30, 2016</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Medpace Holdings, Inc. together with its subsidiaries, (“Medpace” or the “Company”), a Delaware corporation, is a global provider of clinical research-based drug and medical device development services. The Company partners with pharmaceutical, biotechnology, and medical device companies in the development and execution of clinical trials. The Company’s drug development services focus on full service Phase I-IV clinical development services and include development plan design, coordinated central laboratory, project management, regulatory affairs, clinical monitoring, data management and analysis, pharmacovigilance new drug application submissions, and post-marketing clinical support. The Company also provides bio-analytical laboratory services, clinical human pharmacology, imaging services, and electrocardiography reading support for clinical trials.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are principally based in North America, Europe, and Asia.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interim condensed consolidated financial statements include the accounts of the Company, are prepared in conformity with U.S. generally accepted accounting principles (“GAAP”), and are unaudited. In the opinion of the Company’s management, all adjustments of a normal recurring nature necessary for a fair presentation have been reflected. Certain financial information that is normally included in annual financial statements prepared in accordance with GAAP, but that is not required for interim reporting purposes, has been omitted. The preparation of the interim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and outcomes could differ from management’s estimates and assumptions. As such, the information included in this quarterly report on Form 10-Q should be read in conjunction with the Company’s audited consolidated financial statements included in the Company’s prospectus filed pursuant to Rule 424(b) under the Securities Act of 1933, as amended (the “Securities Act”), with the Securities and Exchange Commission on August 11, 2016 (the “Prospectus”). The balance sheet at December 31, 2015 has been derived from the audited consolidated financial statements of the Company but does not include all disclosures required by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July 25, 2016, the Board of Directors (the “Board”) of the Company approved, and made legally effective, a 1-for-1.35 reverse stock split of the Company’s common stock. All share, stock option and per share information presented in the condensed consolidated financial statements have been adjusted to reflect the reverse stock split on a retroactive basis for all periods presented. The Company will make a cash payment to shareholders for all fractional shares which would have otherwise been required to be issued as a result of the reverse stock split. There was no change in the par value of the Company’s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August 11, 2016, the Company's common stock began trading on the NASDAQ Global Select Market under the symbol "MEDP". On August 16, 2016, the Company completed its initial public offering (“IPO”) of its common stock at a price to the public of $23.00 per share. The Company issued and sold 8,050,000 shares of common stock in the IPO, including 1,050,000 common shares issued pursuant to the full exercise of the underwriters' option to purchase additional shares. The IPO raised net proceeds of approximately $173.6 million after deducting underwriting discounts and commissions. As contemplated in the Company’s Prospectus, the net proceeds from the IPO, along with cash on hand, were used to repay $175 million of outstanding borrowings under the Senior Secured Term Loan Facility (as defined below) and $2.7 million of offering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August 2016, the Financial Accounting Standards Board (“FASB”) issued Accounting Standards Update (“ASU”) No.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w:t>
      </w:r>
      <w:r>
        <w:rPr>
          <w:rFonts w:ascii="Arial" w:cs="Arial" w:eastAsia="Arial" w:hAnsi="Arial"/>
          <w:sz w:val="18"/>
          <w:szCs w:val="18"/>
          <w:i w:val="1"/>
          <w:iCs w:val="1"/>
          <w:color w:val="auto"/>
        </w:rPr>
        <w:t>(Topic 230): Classification of Certain Cash Receipts and Cash Payments</w:t>
      </w:r>
      <w:r>
        <w:rPr>
          <w:rFonts w:ascii="Arial" w:cs="Arial" w:eastAsia="Arial" w:hAnsi="Arial"/>
          <w:sz w:val="18"/>
          <w:szCs w:val="18"/>
          <w:color w:val="auto"/>
        </w:rPr>
        <w:t>. The new guidance is intended to reduce diversity in practice in how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are classified in the statement of cash flows. ASU 2016-15 is effective for fiscal years beginning after December 15, 2017, and for interim periods within those fiscal years. Early adoption is permitted, but all guidance must be adopted in the same period. The Company is currently evaluating the effect this standard will have on its condensed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line="29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The new guidance adds Topic 326 to the Codification and removes the thresholds that companies apply to measure credit losses on financial instruments measured at amortized cost, such as loans, receivables, and held-to-maturity debt securities. Under current U.S. GAAP, companies generally recognize credit losses when it is probable that the loss has been incurred. The revised guidance will remove all recognition thresholds and will require companies to recognize an allowance for credit losses for the difference between the amortized cost basis of a financial instrument and the amount of amortized cost that the company expects to collect over the instrument’s contractual life. ASU 2016-13 will be applied on a prospective basis for fiscal years and interim periods beginning after December 15, 2019, with early adoption permitted for fiscal years beginning and interim periods beginning after December 15, 2018. The Company is currently evaluating the effect this standard will have on its condensed consolidated financial statements.</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May 2016, the FASB issued ASU 2016-12, </w:t>
      </w:r>
      <w:r>
        <w:rPr>
          <w:rFonts w:ascii="Arial" w:cs="Arial" w:eastAsia="Arial" w:hAnsi="Arial"/>
          <w:sz w:val="17"/>
          <w:szCs w:val="17"/>
          <w:i w:val="1"/>
          <w:iCs w:val="1"/>
          <w:color w:val="auto"/>
        </w:rPr>
        <w:t>Narrow-Scope Improvements and Practical Expedients</w:t>
      </w:r>
      <w:r>
        <w:rPr>
          <w:rFonts w:ascii="Arial" w:cs="Arial" w:eastAsia="Arial" w:hAnsi="Arial"/>
          <w:sz w:val="17"/>
          <w:szCs w:val="17"/>
          <w:color w:val="auto"/>
        </w:rPr>
        <w:t xml:space="preserve">. In March 2016, the FASB issued ASU 2016-08, </w:t>
      </w:r>
      <w:r>
        <w:rPr>
          <w:rFonts w:ascii="Arial" w:cs="Arial" w:eastAsia="Arial" w:hAnsi="Arial"/>
          <w:sz w:val="17"/>
          <w:szCs w:val="17"/>
          <w:i w:val="1"/>
          <w:iCs w:val="1"/>
          <w:color w:val="auto"/>
        </w:rPr>
        <w:t>Revenue from Contracts with Customers (Topic 606): Principal versus Agent Considerations (Reporting Revenue Gross versus Net)</w:t>
      </w:r>
      <w:r>
        <w:rPr>
          <w:rFonts w:ascii="Arial" w:cs="Arial" w:eastAsia="Arial" w:hAnsi="Arial"/>
          <w:sz w:val="17"/>
          <w:szCs w:val="17"/>
          <w:color w:val="auto"/>
        </w:rPr>
        <w:t>. In April 2016, the FASB</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issued ASU 2016-10, </w:t>
      </w:r>
      <w:r>
        <w:rPr>
          <w:rFonts w:ascii="Arial" w:cs="Arial" w:eastAsia="Arial" w:hAnsi="Arial"/>
          <w:sz w:val="17"/>
          <w:szCs w:val="17"/>
          <w:i w:val="1"/>
          <w:iCs w:val="1"/>
          <w:color w:val="auto"/>
        </w:rPr>
        <w:t>Revenue from Contracts with Customers (Topic 606): Identifying Performance Obligations and Licensing</w:t>
      </w:r>
      <w:r>
        <w:rPr>
          <w:rFonts w:ascii="Arial" w:cs="Arial" w:eastAsia="Arial" w:hAnsi="Arial"/>
          <w:sz w:val="17"/>
          <w:szCs w:val="17"/>
          <w:color w:val="auto"/>
        </w:rPr>
        <w:t>. ASUs’ 2016-12, 2016-10 and 2016-08 all clarify the interpretation guidance in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specifically related to narrowing specific aspects of Topic 606 and adding illustrative examples to assist in the application of the guidance. The effective date and transition requirements in ASUs’ 2016-12, 2016-10, and 2016-08 are the same as the effective date and transition requirements of ASU 2014-09. ASU 2015-14,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 Deferral of the Effective Date</w:t>
      </w:r>
      <w:r>
        <w:rPr>
          <w:rFonts w:ascii="Arial" w:cs="Arial" w:eastAsia="Arial" w:hAnsi="Arial"/>
          <w:sz w:val="17"/>
          <w:szCs w:val="17"/>
          <w:color w:val="auto"/>
        </w:rPr>
        <w:t>, defers the effective date of ASU 2014-09 by one year. The Company will adopt the clarified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in ASUs’ 2016-12, 2016-10, 2016-08 by January 1, 2018, as required. The Company is currently evaluating the impact of this new standard on its condensed consolidated financial statements.</w:t>
      </w:r>
    </w:p>
    <w:p>
      <w:pPr>
        <w:spacing w:after="0" w:line="18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The new guidance is intended to simplify certain aspects of accounting for share-based payments to employees, including the accounting for income taxes, forfeitures, and statutory tax withholding requirements, as well as classification in the statement of cash flows. ASU 2016-09 is effective for fiscal years beginning after December 15, 2016, and for interim periods within those fiscal years. Early adoption is permitted, but all guidance must be adopted in the same period. The Company is currently evaluating the effect this standard will have on its condensed consolidated financial statements.</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guidance in ASU 2016-02 supersedes the lease recognition requirements in ASC Topic 840, </w:t>
      </w:r>
      <w:r>
        <w:rPr>
          <w:rFonts w:ascii="Arial" w:cs="Arial" w:eastAsia="Arial" w:hAnsi="Arial"/>
          <w:sz w:val="18"/>
          <w:szCs w:val="18"/>
          <w:i w:val="1"/>
          <w:iCs w:val="1"/>
          <w:color w:val="auto"/>
        </w:rPr>
        <w:t>Leases (FAS 13)</w:t>
      </w:r>
      <w:r>
        <w:rPr>
          <w:rFonts w:ascii="Arial" w:cs="Arial" w:eastAsia="Arial" w:hAnsi="Arial"/>
          <w:sz w:val="18"/>
          <w:szCs w:val="18"/>
          <w:color w:val="auto"/>
        </w:rPr>
        <w:t>. ASU 2016-02 requires an entity to recognize assets and liabilities arising from a lease for both financing and operating leases, along with additional qualitative and quantitative disclosures. ASU 2016-02 will be applied on a modified retrospective basis and to each prior reporting period presented and is effective for fiscal years beginning after December 15, 2018, with early adoption permitted. The Company is currently evaluating the effect this standard will have on its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Income (Loss) Per Share</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Basic and diluted earnings per share (“EPS”) are computed using the two-class method, which is an earnings allocation that determines EPS for each class of common stock and participating securities according to dividends declared and participation rights in undistributed earnings. Basic net income (loss) per share is calculated by dividing net income (loss) by the weighted average number of common shares outstanding, including outstanding participating securities.</w:t>
      </w:r>
    </w:p>
    <w:p>
      <w:pPr>
        <w:ind w:right="120"/>
        <w:spacing w:after="0" w:line="254" w:lineRule="auto"/>
        <w:rPr>
          <w:sz w:val="20"/>
          <w:szCs w:val="20"/>
          <w:color w:val="auto"/>
        </w:rPr>
      </w:pPr>
      <w:r>
        <w:rPr>
          <w:rFonts w:ascii="Arial" w:cs="Arial" w:eastAsia="Arial" w:hAnsi="Arial"/>
          <w:sz w:val="18"/>
          <w:szCs w:val="18"/>
          <w:color w:val="auto"/>
        </w:rPr>
        <w:t>Diluted net income (loss) per share is similar to basic net income (loss) per share, but adjusts for the potential issuance of common shares. The Company’s restricted stock awards (“RSAs”) contain non-forfeitable rights or dividend equivalents and participate in periods of net income but are not contractually obligated to share in the Company’s losses. As a result, RSAs are included in the number of shares in our basic and diluted EPS in periods of net income but are excluded in the number of shares in our basic and diluted EPS in periods of net loss.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basic to diluted weighted average shares outstanding (in thousands):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8"/>
        </w:trPr>
        <w:tc>
          <w:tcPr>
            <w:tcW w:w="5400" w:type="dxa"/>
            <w:vAlign w:val="bottom"/>
          </w:tcPr>
          <w:p>
            <w:pPr>
              <w:spacing w:after="0"/>
              <w:rPr>
                <w:sz w:val="16"/>
                <w:szCs w:val="16"/>
                <w:color w:val="auto"/>
              </w:rPr>
            </w:pPr>
          </w:p>
        </w:tc>
        <w:tc>
          <w:tcPr>
            <w:tcW w:w="1580" w:type="dxa"/>
            <w:vAlign w:val="bottom"/>
            <w:tcBorders>
              <w:bottom w:val="single" w:sz="8" w:color="auto"/>
            </w:tcBorders>
            <w:gridSpan w:val="3"/>
          </w:tcPr>
          <w:p>
            <w:pPr>
              <w:jc w:val="center"/>
              <w:ind w:left="578"/>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4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common shares outstanding</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34,138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dilutive securities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weighted average common shares outstanding</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37,623</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31,430</w:t>
            </w:r>
          </w:p>
        </w:tc>
        <w:tc>
          <w:tcPr>
            <w:tcW w:w="2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34,365</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Anti-dilutive shares</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anti-dilutive shares disclosed above were calculated using the treasury stock method. During the nine months ended September 30, 2016, the Company had stock options that were excluded due to the exercise price exceeding the average fair value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ind w:right="420"/>
        <w:spacing w:after="0" w:line="277" w:lineRule="auto"/>
        <w:rPr>
          <w:sz w:val="20"/>
          <w:szCs w:val="20"/>
          <w:color w:val="auto"/>
        </w:rPr>
      </w:pPr>
      <w:r>
        <w:rPr>
          <w:rFonts w:ascii="Arial" w:cs="Arial" w:eastAsia="Arial" w:hAnsi="Arial"/>
          <w:sz w:val="18"/>
          <w:szCs w:val="18"/>
          <w:color w:val="auto"/>
        </w:rPr>
        <w:t>the Company’s common stock during the period. During the three and nine months ended September 30, 2015, the Company had stock options that were excluded due to the Company’s net loss positions.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 follows accounting guidance related to fair value measurements that defines fair value, establishes a framework for measuring fair value, and establishes a hierarchy for inputs used in measuring fair value. This hierarchy maximizes the use of “observable” inputs and minimizes the use of unobservable inputs by requiring that the most observable inputs be used when available. The hierarchy specifies three levels based on the inputs, as follows: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Valuations based on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Valuations based on directly observable inputs or unobservable inputs corroborated by market data.</w:t>
      </w:r>
    </w:p>
    <w:p>
      <w:pPr>
        <w:spacing w:after="0" w:line="117"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Level 3: Valuations based on unobservable inputs supported by little or no market activity representing management’s determination of assumptions of how market participants would price the assets or liabilities.</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fair value of financial instruments such as cash and cash equivalents, accounts receivable and unbilled, net, accounts payable, accrued expenses and advanced billings approximate their carrying amounts due to their short term maturities.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does not have any recurring fair value measurements as of September 30, 2016. There were no transfers between Level 1, Level 2 or Level 3 during the three or nine months ended September 30, 2016 or September 30,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Certain assets are measured on the accompanying interim condensed consolidated balance sheets at cost and are not remeasured to fair value on a recurring basis. These assets, which include indefinite-lived intangible assets and goodwill, are tested for impairment annually during the fourth quarter or when a triggering event occurs. Total assets carried on the balance sheet that are not remeasured to fair value on a recurring basis, identified as Level 3 measurements, as of September 30, 2016 are $692.6 million, comprised of $661.0 million of goodwill and $31.6 million of identified indefinite-lived intangible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And Unbilled, Net</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Accounts receivable and unbilled, net includes service revenue and reimbursed out-of-pocket revenue. Accounts receivable and unbilled, net consisted of the following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36"/>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58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2015</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40,721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Unbilled</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26,091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Less allowance for doubtful accounts</w:t>
            </w:r>
          </w:p>
        </w:tc>
        <w:tc>
          <w:tcPr>
            <w:tcW w:w="18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(2,105)</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w w:val="97"/>
              </w:rPr>
              <w:t>Total accounts receivable and unbilled, net</w:t>
            </w:r>
          </w:p>
        </w:tc>
        <w:tc>
          <w:tcPr>
            <w:tcW w:w="18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81,922</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80" w:type="dxa"/>
            <w:vAlign w:val="bottom"/>
            <w:vMerge w:val="restart"/>
          </w:tcPr>
          <w:p>
            <w:pPr>
              <w:jc w:val="right"/>
              <w:ind w:right="1230"/>
              <w:spacing w:after="0"/>
              <w:rPr>
                <w:sz w:val="20"/>
                <w:szCs w:val="20"/>
                <w:color w:val="auto"/>
              </w:rPr>
            </w:pPr>
            <w:r>
              <w:rPr>
                <w:rFonts w:ascii="Arial" w:cs="Arial" w:eastAsia="Arial" w:hAnsi="Arial"/>
                <w:sz w:val="18"/>
                <w:szCs w:val="18"/>
                <w:color w:val="auto"/>
              </w:rPr>
              <w:t>- 9 -</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(5)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Finite-lived intangible assets: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Carrying amount: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740"/>
              <w:spacing w:after="0"/>
              <w:rPr>
                <w:sz w:val="20"/>
                <w:szCs w:val="20"/>
                <w:color w:val="auto"/>
              </w:rPr>
            </w:pPr>
            <w:r>
              <w:rPr>
                <w:rFonts w:ascii="Arial" w:cs="Arial" w:eastAsia="Arial" w:hAnsi="Arial"/>
                <w:sz w:val="18"/>
                <w:szCs w:val="18"/>
                <w:color w:val="auto"/>
              </w:rPr>
              <w:t>Backlog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72,630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72,630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145,051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145,051</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740"/>
              <w:spacing w:after="0"/>
              <w:rPr>
                <w:sz w:val="20"/>
                <w:szCs w:val="20"/>
                <w:color w:val="auto"/>
              </w:rPr>
            </w:pPr>
            <w:r>
              <w:rPr>
                <w:rFonts w:ascii="Arial" w:cs="Arial" w:eastAsia="Arial" w:hAnsi="Arial"/>
                <w:sz w:val="18"/>
                <w:szCs w:val="18"/>
                <w:color w:val="auto"/>
              </w:rPr>
              <w:t>Developed technologies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54,475</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finite-lived intangible assets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274,661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274,661</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Accumulated amortization:</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740"/>
              <w:spacing w:after="0"/>
              <w:rPr>
                <w:sz w:val="20"/>
                <w:szCs w:val="20"/>
                <w:color w:val="auto"/>
              </w:rPr>
            </w:pPr>
            <w:r>
              <w:rPr>
                <w:rFonts w:ascii="Arial" w:cs="Arial" w:eastAsia="Arial" w:hAnsi="Arial"/>
                <w:sz w:val="18"/>
                <w:szCs w:val="18"/>
                <w:color w:val="auto"/>
              </w:rPr>
              <w:t>Backlog</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(72,630)</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(72,630)</w:t>
            </w:r>
          </w:p>
        </w:tc>
      </w:tr>
      <w:tr>
        <w:trPr>
          <w:trHeight w:val="230"/>
        </w:trPr>
        <w:tc>
          <w:tcPr>
            <w:tcW w:w="5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(56,448)</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(26,991)</w:t>
            </w:r>
          </w:p>
        </w:tc>
      </w:tr>
      <w:tr>
        <w:trPr>
          <w:trHeight w:val="230"/>
        </w:trPr>
        <w:tc>
          <w:tcPr>
            <w:tcW w:w="5440" w:type="dxa"/>
            <w:vAlign w:val="bottom"/>
          </w:tcPr>
          <w:p>
            <w:pPr>
              <w:ind w:left="740"/>
              <w:spacing w:after="0"/>
              <w:rPr>
                <w:sz w:val="20"/>
                <w:szCs w:val="20"/>
                <w:color w:val="auto"/>
              </w:rPr>
            </w:pPr>
            <w:r>
              <w:rPr>
                <w:rFonts w:ascii="Arial" w:cs="Arial" w:eastAsia="Arial" w:hAnsi="Arial"/>
                <w:sz w:val="18"/>
                <w:szCs w:val="18"/>
                <w:color w:val="auto"/>
              </w:rPr>
              <w:t>Developed technologies</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(27,238)</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(19,066)</w:t>
            </w:r>
          </w:p>
        </w:tc>
      </w:tr>
      <w:tr>
        <w:trPr>
          <w:trHeight w:val="230"/>
        </w:trPr>
        <w:tc>
          <w:tcPr>
            <w:tcW w:w="5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(877)</w:t>
            </w:r>
          </w:p>
        </w:tc>
      </w:tr>
      <w:tr>
        <w:trPr>
          <w:trHeight w:val="223"/>
        </w:trPr>
        <w:tc>
          <w:tcPr>
            <w:tcW w:w="54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accumulated amortization</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(157,568)</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(119,564)</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finite-lived intangible assets, net</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117,093</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155,097</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Trade name (indefinite-lived)</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31,646</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31,646</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Total intangible assets, net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148,739</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186,743</w:t>
            </w:r>
          </w:p>
        </w:tc>
        <w:tc>
          <w:tcPr>
            <w:tcW w:w="8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September 30, 2016, estimated amortization expense of the Company’s intangible assets for each of the next five years and thereafter is as follows (in thousands):</w:t>
      </w: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223"/>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2016</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12,668</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37,790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29,371</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14,639</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7,797</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Later years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14,828</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117,093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59"/>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37"/>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240" w:type="dxa"/>
            <w:vAlign w:val="bottom"/>
            <w:tcBorders>
              <w:bottom w:val="single" w:sz="8" w:color="CFF0FC"/>
            </w:tcBorders>
          </w:tcPr>
          <w:p>
            <w:pPr>
              <w:spacing w:after="0"/>
              <w:rPr>
                <w:sz w:val="14"/>
                <w:szCs w:val="14"/>
                <w:color w:val="auto"/>
              </w:rPr>
            </w:pPr>
          </w:p>
        </w:tc>
        <w:tc>
          <w:tcPr>
            <w:tcW w:w="2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2015</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and benefits</w:t>
            </w:r>
          </w:p>
        </w:tc>
        <w:tc>
          <w:tcPr>
            <w:tcW w:w="2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17,195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accrued expenses</w:t>
            </w:r>
          </w:p>
        </w:tc>
        <w:tc>
          <w:tcPr>
            <w:tcW w:w="2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20,111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20" w:type="dxa"/>
            <w:vAlign w:val="bottom"/>
            <w:vMerge w:val="restart"/>
          </w:tcPr>
          <w:p>
            <w:pPr>
              <w:jc w:val="right"/>
              <w:ind w:right="1190"/>
              <w:spacing w:after="0"/>
              <w:rPr>
                <w:sz w:val="20"/>
                <w:szCs w:val="20"/>
                <w:color w:val="auto"/>
              </w:rPr>
            </w:pPr>
            <w:r>
              <w:rPr>
                <w:rFonts w:ascii="Arial" w:cs="Arial" w:eastAsia="Arial" w:hAnsi="Arial"/>
                <w:sz w:val="18"/>
                <w:szCs w:val="18"/>
                <w:color w:val="auto"/>
              </w:rPr>
              <w:t>- 10 -</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ind w:left="64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Term loan</w:t>
            </w: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Capital lease</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390,059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Arial" w:cs="Arial" w:eastAsia="Arial" w:hAnsi="Arial"/>
                <w:sz w:val="18"/>
                <w:szCs w:val="18"/>
                <w:color w:val="auto"/>
              </w:rPr>
              <w:t>Less unamortized discount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(1,700)</w:t>
            </w:r>
          </w:p>
        </w:tc>
        <w:tc>
          <w:tcPr>
            <w:tcW w:w="16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unamortized term loan debt issuance costs</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(8,686)</w:t>
            </w:r>
          </w:p>
        </w:tc>
        <w:tc>
          <w:tcPr>
            <w:tcW w:w="16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(10,134)</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Arial" w:cs="Arial" w:eastAsia="Arial" w:hAnsi="Arial"/>
                <w:sz w:val="18"/>
                <w:szCs w:val="18"/>
                <w:color w:val="auto"/>
              </w:rPr>
              <w:t>Less current portion of long-term debt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Long-term debt, net, less current portion</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377,882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18"/>
                <w:szCs w:val="18"/>
                <w:color w:val="auto"/>
              </w:rPr>
              <w:t>Principal payments on debt are due as follows (in thousands):</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5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2016 (remaining)</w:t>
            </w:r>
          </w:p>
        </w:tc>
        <w:tc>
          <w:tcPr>
            <w:tcW w:w="28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2020 and thereafter</w:t>
            </w:r>
          </w:p>
        </w:tc>
        <w:tc>
          <w:tcPr>
            <w:tcW w:w="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rPr>
              <w:t>165,000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165,006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The estimated fair value of the Company’s term loan based on Level 1 quoted market prices approximates $164.1 million and $386.3 million as of September 30, 2016 and December 31, 2015, compared to the carrying value of $163.3 million and $388.0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April 1, 2014, the Company entered into a new credit agreement (the “Senior Secured Credit Agreement”), consisting of a $530 million term loan (“Senior Secured Term Loan Facility”) and a $60 million revolving credit facility ("Senior Secured Revolving Credit Facility" and together with the Senior Secured Term Loan Facility, the “Senior Secured Credit Facilities”). The Senior Secured Term Loan Facility expires in April 2021 and the Senior Secured Revolving Credit Facility portion expires in April 2019. The Senior Secured Credit Agreement is guaranteed by the Company and its subsidiaries and is subject to customary covenants relating to financial ratios and restrictions on certain types of transactions, including restricting the Company's ability to incur additional indebtedness, acquire and dispose of assets, make investments, pay dividends, or engage in mergers and acquisitions.</w:t>
      </w:r>
    </w:p>
    <w:p>
      <w:pPr>
        <w:spacing w:after="0" w:line="16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Borrowings under the Senior Secured Credit Agreement bear interest at a rate equal to, at our option, either (a) a Eurocurrency rate based on LIBOR for U.S. dollar deposits for loans denominated in dollars, EURIBOR for Euro deposits for loans denominated in Euros and the offer rate for any other currencies for loans denominated in such other currencies for the relevant interest period, plus 4.00% per annum if our total net leverage ratio is greater than 4.75:1.00, or</w:t>
      </w:r>
    </w:p>
    <w:p>
      <w:pPr>
        <w:spacing w:after="0" w:line="252" w:lineRule="auto"/>
        <w:rPr>
          <w:sz w:val="20"/>
          <w:szCs w:val="20"/>
          <w:color w:val="auto"/>
        </w:rPr>
      </w:pPr>
      <w:r>
        <w:rPr>
          <w:rFonts w:ascii="Arial" w:cs="Arial" w:eastAsia="Arial" w:hAnsi="Arial"/>
          <w:sz w:val="18"/>
          <w:szCs w:val="18"/>
          <w:color w:val="auto"/>
        </w:rPr>
        <w:t>3.75% if our total net leverage ratio is less than or equal to 4.75:1.00; provided that the relevant Eurocurrency rate shall be deemed to be no less than 1.00% per annum; (b) a base rate, which is defined as the highest of (i) the Federal Funds Rate on such day plus ½ of 1.00%, (ii) the Prime Lending Rate on such day, (iii) the Adjusted Eurocurrency Rate for loans denominated in U.S. dollars published on such day for an Interest Period of one month plus 1.00% and (iv) 2.00%, plus 3.00% per annum if our total net leverage ratio is greater than 4.75:1.00, or 2.75% if our total leverage ratio is less than or equal to 4.75:1.00; provided that the base rate shall be deemed to be no less than 2.00% per annum. We may voluntarily prepay outstanding loans under the Senior Secured Credit Agreement without premium or penalty. As of September 30, 2016, the interest rate applicable on the term loan was the Eurocurrency minimum floor interest rate of 4.75%.</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addition, the Company is required to pay to the lenders a commitment fee of 0.5% quarterly for unused commitments on the Senior Secured Revolving Credit Facility, subject to a step-down to 0.375% based upon achievement of a certain leverage ratio as defined within the Senior Secured Credit Agreement. At September 30, 2016 the Company had no outstanding borrowings under the Senior Secured Revolving Credit Facility, resulting in $60.0 million in undrawn capacity available under the Senior Secured Revolving Credit Facility. In addition, the Company had less than $0.1 million in letters of credit outstanding, which are secured by the Senior Secured Revolving Credit Facility at September 30, 2016.</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ind w:right="160"/>
        <w:spacing w:after="0" w:line="257" w:lineRule="auto"/>
        <w:rPr>
          <w:sz w:val="20"/>
          <w:szCs w:val="20"/>
          <w:color w:val="auto"/>
        </w:rPr>
      </w:pPr>
      <w:r>
        <w:rPr>
          <w:rFonts w:ascii="Arial" w:cs="Arial" w:eastAsia="Arial" w:hAnsi="Arial"/>
          <w:sz w:val="18"/>
          <w:szCs w:val="18"/>
          <w:color w:val="auto"/>
        </w:rPr>
        <w:t>Also within the Senior Secured Credit Agreement, if we have drawn greater than 30% of the commitments under the Senior Secured Credit Agreement as of the last date of any quarter, then we are required to report compliance with a financial covenant that is tested at the end of each quarter. This financial covenant requires us to maintain a net debt to consolidated EBITDA leverage ratio (as defined under the Senior Secured Credit Agreement) of less than or equal to 8.00:1.00 for any fiscal quarter ending on or prior to March 31, 2016 and 7.50:1.00, thereafter. As of September 30, 2016, we were in compliance with all covenants under our Senior Secured Credit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Shareholder’s Equity and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On August 16, 2016 the Company amended its Certificate of Incorporation in connection with the closing of its IPO to increase the authorized number of shares of common stock to 250,000,000 and to authorize 5,000,000 shares of preferred stock that may be issued from time to time by the Company’s Board.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August 11, 2016 in connection with the Company's IPO, the Board approved the formation of the 2016 Incentive Award Plan (the “2016 Plan”), which replaced our 2014 Equity Incentive Plan (the “2014 Plan”). The 2016 Plan provides for long-term equity incentive compensation for key employees, officers and non-employee directors. A variety of discretionary awards (collectively, the “Awards”) for employees and non-employee directors are authorized under the 2016 Plan, including vested shares, stock options, stock appreciation rights (“SARs”), restricted stock awards (“RSAs”), restricted stock units (“RSUs”), or other cash based or stock dividend equivalent awards. The number of shares registered and available for grant under the 2016 Plan is 6,000,000. The vesting of such awards may be conditioned upon either a specified period of time or the attainment of specific performance goals as determined by the administrator of the 2016 Plan. The option price and term are also subject to determination by the administrator with respect to each grant. Option prices are generally expected to be set at the market price of our common stock at the date of grant and option terms are not expected to exceed ten years. The 2016 Plan expires in 2026, except for awards then outstanding, and is administered by the Board. All Awards granted at the IPO or thereafter were or will be issued under the 2016 Plan.</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satisfy stock option exercises and vested stock awards with newly issued shares. Shares available for future stock compensation grants totaled 5.4 million at September 30, 2016.</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granted 45,923 Awards under the 2014 Plan, consisting of 34,812 stock options vesting equally over four years and 11,111 fully-vested shares, during the nine months ended September 30, 2016. The Company also granted 643,680 stock options under the 2016 Plan during the nine months ended September 30, 2016, consisting of 626,650 stock options vesting after four years and 17,030 stock options with one-third vesting on October 31, 2016, and the remainder vesting in eight equal monthly installments beginning in November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Awards Modification</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a result of the Company’s IPO, a condition of all outstanding stock options issued before August 10, 2016 under the 2014 Plan that previously required the exchange of the shares issued for incentive units in the equity of a non-consolidated related party was dissolved. All future exercises of options issued pursuant to the 2014 Plan will now settle in shares of the Company. As a result of the modification in the settlement condition, the options will now be equity-classified instruments and changes in the fair value of the stock compensation liability that occur during the requisite service period are no longer recognized. According to the authoritative guidance for stock-based compensation, at modification the Company should recognize additional stock-based compensation expense in the amount of the incremental fair value of the modified award. As a result, the Company recognized $3.1 million of incremental stock-based compensation expense during the three months ended September 30, 2016. In addition, the $10.5 million stock-based compensation liability associated with the modified stock options was reclassified to additional paid-in capital as a result of the change to equity classification. The stock-based compensation liability was $0.0 at September 30, 2016. The stock-based compensation liability was $3.6 million at December 31, 2015, of which $1.7 million was included in Other current liabilities and $1.9 million was included in Other long-term liabilities in the condensed consolidated balance sheet.</w:t>
      </w:r>
    </w:p>
    <w:p>
      <w:pPr>
        <w:spacing w:after="0" w:line="16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Stock-based compensation expense recognized in the condensed consolidated statements of operations related to the Awards is summarized below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0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242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40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Direct costs, excluding depreciation and amortization</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7,619</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6,926</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11,831</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- 12 -</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Company’s effective income tax rate was 38.1% and 48.7% for the nine months ended September 30, 2016 and 2015, respectively. The Company’s effective income tax rate for the nine months ended September 30, 2016 varied from the U.S. statutory rate of 35.0% primarily due to the impact of domestic and foreign uncertain tax positions.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is involved in legal proceedings from time to time in the ordinary course of its business, including employment claims and claims related to other business transactions. The Company cannot predict with certainty the outcome of such proceedings, but it believes that adequate reserves have been recorded and losses already recognized with respect to such actions were immaterial as of September 30, 2016 and December 31, 2015. There is a reasonable possibility that a loss exceeding amounts already recognized may be incurred related to these actions; however, the Company believes that such potential losses were immaterial as of September 30, 2016.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Loans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periodically extends short term loans or advances to employees, typically upon commencement of employment. Total receivables as a result of these employee advances of $0.2 million existed at September 30, 2016 and December 31, 2015, respectively, and are included in the Prepaid expenses and other current assets and Other assets line items of the condensed consolidated balance sheets, respectively, depending on the contractual repayment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conjunction with the IPO, the Advisory Services Agreement with Cinven Capital Management (V) General Partner Limited (“Cinven”) expired. Subsequent to the IPO, the Company will pay fees for director services provided by Cinven employees that are members of the Company’s Board of Directors and any related committees. The director fees will be paid directly to Cinven in accordance with the Company’s non-employee director compensation policy. During the three and nine months ended September 30, 2016, the Company incurred management fees to Cinven of less than $0.1 million and $0.2 million, respectively, related travel expenses of $0.0 million and less than $0.1 million, respectively, and director fees of less than $0.1 million and less than $0.1 million, respectively. During the three and nine months ended September 30, 2015, the Company incurred management fees to Cinven of $0.1 million and $0.2 million, respectively, and related travel expenses of less than $0.1 million and $0.1 million, respectively. As of September 30, 2016 and December 31, 2015, the Company had outstanding accounts payable to Cinven of less than $0.1 million and $0.1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Agreements</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Medpace Investors LLC, a noncontrolling shareholder of the Company that is owned by employees of the Company and managed by our chief executive officer, has a majority ownership interest in Symplmed Pharmaceuticals, LLC (“Symplmed”), a private pharmaceutical development company. In addition, the chief executive officer and other executives of the Company are board members of Symplmed. The Company has operated under a Master Services Agreement (“MSA”) with Symplmed since 2013 (amended in 2014) to perform clinical trials and related activities. Certain task orders governed by this arrangement were amended in the third quarter of 2016, changing the fee structure from unitized in nature to time and materials and revised pricing to more appropriately reflect market pricing based on the Company’s leveraging of this work to develop and enhance certain new service capabilities. The Company has evaluated its relationship with Symplmed and concluded that Symplmed is not a variable interest entity because the Company has no direct ownership interest or relationship other than the MSA. During the three months ended September 30, 2016 and 2015, the Company recognized negative service revenue adjustments from Symplmed of $0.4 million and service revenue of $0.1 million, respectively, and during the nine months ended September 30, 2016 and 2015, the Company recognized negative service revenue adjustments from Symplmed of less than $0.1 million and service revenue of $0.6 million, respectively, in the Company’s condensed consolidated statements of operations.</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chief executive officer of the Company is a member of Coherus BioSciences, Inc.’s (“Coherus”) board of directors. The Company has secured an agreement to perform Phase I through Phase III clinical trial work for certain Coherus “bio-similar” drug compounds. The agreement provides for a minimum fee commitment for clinical trial services and is cancelable without cause by either party upon 30 days prior notice. During the three months ended September 30, 2016 and 2015, the Company recognized service revenue from Coherus of $6.8 million and $5.9 million, respectively, and during the nine months ended September 30, 2016 and 2015, the Company recognized service revenue from Coherus of $18.2 million and $16.8 million, respectively, in the Company’s condensed consolidated statements of operations. As of September 30, 2016 and December 31, 2015, respectively, the Company had accounts receivable from</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p>
      <w:pPr>
        <w:ind w:right="220"/>
        <w:spacing w:after="0" w:line="264" w:lineRule="auto"/>
        <w:rPr>
          <w:sz w:val="20"/>
          <w:szCs w:val="20"/>
          <w:color w:val="auto"/>
        </w:rPr>
      </w:pPr>
      <w:r>
        <w:rPr>
          <w:rFonts w:ascii="Arial" w:cs="Arial" w:eastAsia="Arial" w:hAnsi="Arial"/>
          <w:sz w:val="18"/>
          <w:szCs w:val="18"/>
          <w:color w:val="auto"/>
        </w:rPr>
        <w:t>Coherus of $4.4 million and $2.0 million recorded in the condensed consolidated balance sheets, respectively. As of September 30, 2016 and December 31, 2015, respectively, the Company had, from Coherus, $7.6 million and $8.4 million of Advanced billings and $3.8 million and $3.5 million of Pre-funded study costs, in the condensed consolidated balance sheets.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executives and employees of the Company, including the chief executive officer, have equity investments in Xenon, a clinical-stage biopharmaceutical company. In addition, a Medpace employee was a director of Xenon until May 2015. During July 2015 the Company and Xenon entered into an amended MSA agreement for the Company to provide certain clinical development services. The Company recognized service revenue from Xenon of $0.4 million during the three months ended September 30, 2016, and $0.8 million and $0.1 million during the nine months ended September 30, 2016 and 2015, respectively, in the Company’s condensed consolidated statements of operations. As of September 30, 2016 and December 31, 2015, respectively, the Company had, from Xenon, $1.7 million and $1.8 million of Advanced billings and $0.3 million and $0.2 million of Pre-funded study costs, in the condensed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Leased Real Estate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Headquarters Lease</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 has entered into operating leases for its corporate headquarters and a storage space facility with an entity that is wholly owned by the chief executive officer of the Company. The Company has evaluated its relationship with the related party and concluded that the related party is not a variable interest entity because the Company has no direct ownership interest or relationship other than the leases. The lease for headquarters is for an initial term of twelve years through November 2022 with a renewal option for one 10-year term at prevailing market rates. The lease for storage space was through June 2016 and is currently being leased on a month to month basis. The Company pays rent, taxes, insurance, and maintenance expenses that arise from the use of the properties. Annual base rent for the corporate headquarters allows for adjustments to the rental rate annually for increases in the consumer price index. Lease expense recognized for each of the three month periods ended September 30, 2016 and 2015 was $0.5 million, and lease expense recognized for each of the nine month periods ended September 30, 2016 and 2015 was $1.6 million. The lease expense was allocated between Direct costs, excluding depreciation and amortization, and Selling, general and administrative in the condensed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Deemed Assets and Deemed Landlord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entered into two multi-year lease agreements governing the occupancy of space of two buildings in Cincinnati, Ohio with an entity that 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wholly owned by the Company’s chief executive officer and certain members of his immediate family. In accordance with the accounting guidance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leases, the Company was deemed in substance to be the owner of the property during the construction phase and at completion. Accordingly,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reflected the buildings and related liabilities as deemed assets from landlord building construction in Property and equipment, net, Other current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Deemed landlord liabilities, respectively, on the condensed consolidated balance sheets. The Company assumed occupancy in 2012 and the leases expire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2027 with the Company having one 10-year option to extend the lease term. The deemed assets are being fully depreciated, on a straight line basis, over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15-year term of the lease. Deemed landlord liabilities are recorded at their net present value when the Company enters into qualifying leases and are reduced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the Company makes periodic lease payments on the properties. Accretion expense is being recorded over the term of the lease as a component of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 net in the Company’s condensed consolidated statements of operations. The Company paid $0.9 million during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2016 and 2015, respectively, and $2.8 million and $2.5 million during the nine months ended September 30, 2016 and 2015, respectively.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current and long-term portions of the Deemed landlord liability at September 30, 2016 were $1.6 million and $29.0 million, respectively. The current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long-term portions of the Deemed landlord liability at December 31, 2015 were $1.6 million and $30.3 million, respectively. The Company has 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deemed assets, net of $18.5 million and $19.8 million at September 30, 2016 and December 31, 2015, respectively, in the condensed consolidated balance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Travel Services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incurs expenses for travel services for company executives provided by a private aviation charter company that is owned by the chief executive officer and the senior vice president of operations of the Company (“private aviation charter”). The Company may contract directly with the private aviation charter for the use of its aircraft or indirectly through a third party aircraft management and jet charter company (the “Aircraft Management Company”). The travel services provided are primarily for business purposes, with certain personal travel paid for as part of the executives’ compensation arrangements. The Aircraft Management Company also makes the private aviation charter aircraft available to third parties. The Company incurred travel expenses of $0.3 million and $0.2 million during the three months ended September 30, 2016 and 2015, respectively, related to these travel services, and $0.8 million and $0.7 million during the nine months ended September 30, 2016 and 2015, respectively. These travel expenses are recorded in Selling, general and administrative in the Company’s condensed consolidated statements of operations.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in conjunction with our condensed consolidated financial statements and the notes thereto included elsewhere in this Quarterly Report on Form 10-Q. This item and the related discussion contain forward-looking statements reflecting current expectations that involve risks and uncertainties. Actual results and the timing of events may differ materially from those indicated in such forward-looking statements. Important factors that may cause such differences include, but are not limited to, those discussed under the “Forward-Looking Statements” below and “Risk Factors” in Item 1A of Part II of this Quarterly Report on Form 10-Q.</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herein, including statements regarding our future results of operations and financial position, business strategy, product approvals and plans and our objectives for future operations, are forward looking statements. The words “believe,” “may”, “might”, “will”, “estimate”, “continue”, “anticipate”, “intend”, “seek”, “plan”, “should”, “expect” and similar expressions are intended to identify forward looking statements. Forward looking statements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 looking statements are subject to inherent uncertainties, risks, changes in circumstances and other important factors that are difficult to predict. Moreover, we operate in a very competitive and rapidly changing environment in which new risks emerge from time to time. It is not possible for our management to predict all risks, nor can we assess the impact of all important factors on our business or the extent to which any factor, or combination of such factors, may cause actual results to differ materially from those contained in any forward looking statements we may make. In light of these risks, uncertainties and assumptions, the forward looking events and circumstances discussed may not occur and actual results could differ materially and adversely from those anticipated or implied in the forward looking statements. We caution you therefore against relying on these forward looking statements.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Some of the important factors that could cause actual results to differ from our expectations include regional, national, or global political, economic, business, competitive, market and regulatory conditions and the following:</w:t>
      </w:r>
    </w:p>
    <w:p>
      <w:pPr>
        <w:spacing w:after="0" w:line="62" w:lineRule="exact"/>
        <w:rPr>
          <w:sz w:val="20"/>
          <w:szCs w:val="20"/>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the potential loss, delay or non-renewal of our contracts, or the non-payment by customers for services we have performed;</w:t>
      </w:r>
    </w:p>
    <w:p>
      <w:pPr>
        <w:spacing w:after="0" w:line="25"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the failure to convert backlog to revenue at our historical conversion rate;</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fluctuation in our results between fiscal quarters and years;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decreased operating margins due to increased pricing pressure or other pressures;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failure to perform our services in accordance with contractual requirements, government regulations and ethical considerations;</w:t>
      </w:r>
    </w:p>
    <w:p>
      <w:pPr>
        <w:spacing w:after="0" w:line="9" w:lineRule="exact"/>
        <w:rPr>
          <w:rFonts w:ascii="MS PGothic" w:cs="MS PGothic" w:eastAsia="MS PGothic" w:hAnsi="MS PGothic"/>
          <w:sz w:val="18"/>
          <w:szCs w:val="18"/>
          <w:color w:val="auto"/>
        </w:rPr>
      </w:pPr>
    </w:p>
    <w:p>
      <w:pPr>
        <w:ind w:left="900" w:right="900" w:hanging="379"/>
        <w:spacing w:after="0" w:line="249" w:lineRule="auto"/>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the impact of underpricing our contracts, overrunning our cost estimates or failing to receive approval for or experiencing delays with documentation of change orders;</w:t>
      </w: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our failure to successfully execute our growth strategies;</w:t>
      </w:r>
    </w:p>
    <w:p>
      <w:pPr>
        <w:spacing w:after="0" w:line="10"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the impact of a failure to retain key personnel or recruit experienced personnel;</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the risks associated with our information systems infrastructure;</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our failure to manage our growth effectively;</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adverse results from customer or therapeutic area concentration;</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the risks associated with doing business internationally;</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the risks associated with the Foreign Corrupt Practices Act and other anti-corruption laws;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future net losses;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the impact of income tax rate fluctuations on operations, earnings and earnings per share;</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the risks associated with our intercompany pricing policies;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our failure to attract suitable investigators and patients to our clinical trials;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the liability risks associated with our research and development services;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the risks related to our Phase I clinical services;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inadequate insurance coverage for our operations and indemnification obligations;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fluctuations in exchange rates;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the risks related to our relationships with existing or potential customers who are in competition with each other;</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our failure to successfully integrate potential future acquisitions;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potential impairment of goodwill or other intangible assets;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our limited ability to utilize our net operating loss carryforwards or other tax attributes;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the risks associated with the use and disposal of hazardous substances and waste;</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the failure of third parties to provide us critical support services;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our limited ability to protect our intellectual property rights;</w:t>
      </w:r>
    </w:p>
    <w:p>
      <w:pPr>
        <w:spacing w:after="0" w:line="209" w:lineRule="exact"/>
        <w:rPr>
          <w:rFonts w:ascii="MS PGothic" w:cs="MS PGothic" w:eastAsia="MS PGothic" w:hAnsi="MS PGothic"/>
          <w:sz w:val="18"/>
          <w:szCs w:val="18"/>
          <w:color w:val="auto"/>
        </w:rPr>
      </w:pPr>
    </w:p>
    <w:p>
      <w:pPr>
        <w:ind w:left="5620" w:hanging="101"/>
        <w:spacing w:after="0"/>
        <w:tabs>
          <w:tab w:leader="none" w:pos="5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left="900" w:hanging="379"/>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the risks associated with potential future investments in our customers’ business or drugs;</w:t>
      </w:r>
    </w:p>
    <w:p>
      <w:pPr>
        <w:spacing w:after="0" w:line="25" w:lineRule="exact"/>
        <w:rPr>
          <w:rFonts w:ascii="MS PGothic" w:cs="MS PGothic" w:eastAsia="MS PGothic" w:hAnsi="MS PGothic"/>
          <w:sz w:val="18"/>
          <w:szCs w:val="18"/>
          <w:color w:val="auto"/>
        </w:rPr>
      </w:pPr>
    </w:p>
    <w:p>
      <w:pPr>
        <w:ind w:left="900" w:hanging="379"/>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the impact of a natural disaster or other catastrophic event;</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negative outsourcing trends in the biopharmaceutical industry and a reduction in aggregate expenditures and research and development budgets;</w:t>
      </w:r>
    </w:p>
    <w:p>
      <w:pPr>
        <w:spacing w:after="0" w:line="32" w:lineRule="exact"/>
        <w:rPr>
          <w:rFonts w:ascii="MS PGothic" w:cs="MS PGothic" w:eastAsia="MS PGothic" w:hAnsi="MS PGothic"/>
          <w:sz w:val="16"/>
          <w:szCs w:val="16"/>
          <w:color w:val="auto"/>
        </w:rPr>
      </w:pPr>
    </w:p>
    <w:p>
      <w:pPr>
        <w:ind w:left="900" w:hanging="379"/>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our inability to compete effectively with other CROs;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the impact of healthcare reform;</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the impact of recent consolidation in the biopharmaceutical industry;</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failure to comply with federal, state and foreign healthcare laws;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the effect of current and proposed laws and regulations regarding the protection of personal data;</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our potential involvement in costly intellectual property lawsuits;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actions by regulatory authorities or customers to limit the scope of or withdraw an approved drug, biologic or medical device from the market;</w:t>
      </w:r>
    </w:p>
    <w:p>
      <w:pPr>
        <w:spacing w:after="0" w:line="32" w:lineRule="exact"/>
        <w:rPr>
          <w:rFonts w:ascii="MS PGothic" w:cs="MS PGothic" w:eastAsia="MS PGothic" w:hAnsi="MS PGothic"/>
          <w:sz w:val="16"/>
          <w:szCs w:val="16"/>
          <w:color w:val="auto"/>
        </w:rPr>
      </w:pPr>
    </w:p>
    <w:p>
      <w:pPr>
        <w:ind w:left="900" w:hanging="379"/>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failure to keep pace with rapid technological changes;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the impact of industry-wide reputational harm to CROs;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our ability to fulfill our debt obligations;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the risks associated with incurring additional debt or undertaking additional debt obligations;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the effect of covenant restrictions under our debt agreements on our ability to operate our business;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our inability to generate sufficient cash to service all of our indebtedness;</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fluctuations in interest rates; and</w:t>
      </w:r>
    </w:p>
    <w:p>
      <w:pPr>
        <w:spacing w:after="0" w:line="9" w:lineRule="exact"/>
        <w:rPr>
          <w:rFonts w:ascii="MS PGothic" w:cs="MS PGothic" w:eastAsia="MS PGothic" w:hAnsi="MS PGothic"/>
          <w:sz w:val="18"/>
          <w:szCs w:val="18"/>
          <w:color w:val="auto"/>
        </w:rPr>
      </w:pPr>
    </w:p>
    <w:p>
      <w:pPr>
        <w:ind w:left="900" w:hanging="379"/>
        <w:spacing w:after="0"/>
        <w:tabs>
          <w:tab w:leader="none" w:pos="90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our dependence on our lenders, which may not be able to fund borrowings under the credit commitments, and our inability to borrow.</w:t>
      </w:r>
    </w:p>
    <w:p>
      <w:pPr>
        <w:spacing w:after="0" w:line="2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 For a further discussion of the risks relating to our business, see “Item 1A Risk Factors” Item 1 of Part II of this Quarterly Report on Form 10-Q.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focus on conducting clinical trials across all major therapeutic areas, with particular strength in Cardiology, Metabolic Disease, Oncology, Endocrinology, Central Nervous System (“CNS”), Antiviral and Anti-infective (“AVAI”), as well as therapeutic expertise in Medical Devices. Our global platform includes approximately 2,500 employees across 35 countries, providing our customers with broad access to diverse markets and patient populations as well as local regulatory expertise and market knowledge.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revenue consists of net service revenue and reimbursed-out-of-pocket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Service Revenue</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earn customer fees through the performance of services detailed in our customer contracts. Contract scope and pricing is typically based on either a fixed-fee or unit-of-service model and our contracts can range in duration from a few months to several years. These contracts are individually priced and negotiated based on the anticipated project scope, including the complexity of the project and the performance risks inherent in the project. The majority of our contracts are structured with an upfront fee that is collected at the time of contract signing, and the balance of the fee is collected over the duration of the contract either through an arranged billing schedule or upon completion of certain performance targets or defined milestones. This payment structure is standard in the CRO industry.</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Net service revenue, which is distinct from billing and cash receipt, is generally recognized based on the proportional performance methodology, which is determined by assessing the proportion of performance completed or delivered to date compared to total specific measures to be delivered or completed under the terms of the contract. The measures utilized to assess performance are specific to the service provided. Net service revenue for unit-of-service contracts is recognized as services are performed or delivered. Cancellation provisions in our contracts allow our customers to terminate a contract either immediately or according to advance notice terms specified within the applicable contract, which is typically 30 days. Contract cancellation may occur for various reasons,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ind w:right="80"/>
        <w:spacing w:after="0" w:line="257" w:lineRule="auto"/>
        <w:rPr>
          <w:sz w:val="20"/>
          <w:szCs w:val="20"/>
          <w:color w:val="auto"/>
        </w:rPr>
      </w:pPr>
      <w:r>
        <w:rPr>
          <w:rFonts w:ascii="Arial" w:cs="Arial" w:eastAsia="Arial" w:hAnsi="Arial"/>
          <w:sz w:val="18"/>
          <w:szCs w:val="18"/>
          <w:color w:val="auto"/>
        </w:rPr>
        <w:t>including, but not limited to, adverse patient reactions, lack of efficacy, or inadequate patient enrollment. Upon cancellation, we are entitled to fees for services rendered through the date of termination, including payment for subsequent services necessary to conclude the study or close out the contract. These fees are typically subject to negotiation and are realized as net service revenue when collection is reasonably assured. Changes in net service revenue from period to period are driven primarily by new business volume and task order execution activity, project cancellations, and the mix of active studies during a given period that can vary based on therapeutic and or study life cycle stage.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Reimbursed Out-of-Pocket Revenue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Reimbursed out-of-pocket revenue consists primarily of expenses we incur in relation to projects that are reimbursed by our customers with no profit or mark-up. These expenses are defined in our contracts and generally include, but are not limited to, travel, meetings, printing, and shipping and handling fees. Such reimbursements received are included in revenue with the expenditures reflected as a separate component of operating expense. Certain fees paid to investigators and other disbursements in which we act as an agent on behalf of the study sponsor are reflected in the condensed consolidated statements of operations with no resulting effect on our revenue or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costs and expenses are comprised primarily of our direct costs, selling, general and administrative costs, depreciation and amortization and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addition, as noted above, we also have reimbursed out-of-pocket expenditures that are directly offset by our reimbursed out-of-pocket revenue.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 Excluding Depreciation and Amortization</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Direct costs, excluding depreciation and amortization, are primarily driven by labor and related employee benefits, but also include laboratory supplies and other expenses contributing to service delivery. The other costs of service delivery can include office rent, utilities, supplies and software license expenses, which are allocated between direct costs, excluding depreciation and amortization and selling, general and administrative expenses based on the estimated contribution among service delivery and support function efforts on a percentage basis. Direct costs, excluding depreciation and amortization exclude reimbursed out-of-pocket expenses. Direct costs, excluding depreciation and amortization are expensed as incurred and are not deferred in anticipation of contracts being awarded or finalization of changes in scope. Direct costs, excluding depreciation and amortization as a percentage of net service revenue can vary from period to period due to project labor efficiencies, changes in workforce, compensation/bonus programs and service mix.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Selling, general and administrative expenses are primarily driven by compensation and related employee benefits, as well as rent, utilities, supplies, software licenses, professional fees (e.g., legal and accounting expenses), travel, marketing and other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Depreciation is provided on our property and equipment on the straight-line method at rates adequate to allocate the cost of the applicable assets over their estimated useful lives, which is three to five years for computer hardware, software, phone, and medical imaging equipment, five to seven years for furniture and fixtures and other equipment, and thirty to forty years for buildings. Leasehold improvements and deemed assets from landlord building construction are amortized on a straight-line basis over the shorter of the estimated useful life of the improvement or the associated remaining lease term.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Amortization relates to finite-lived intangible assets recognized as expense using the straight-line method or using an accelerated method over their estimated useful lives, which range in term from 5 to 15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tax provision (benefit) consists of federal, state and local taxes on income in multiple jurisdictions. Our income tax is impacted by the pre-tax earnings in jurisdictions with varying tax rates and any related tax credits that may be available to us. Our current and future provision for income taxes will vary from statutory rates due to the impact of valuation allowances in certain countries, income tax incentives, certain non-deductible expenses, and other discrete items.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 evaluate the performance of our business, we utilize a variety of financial and performance metrics. These key measures include new business awards, cancellations and backlog.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New Business Awards, Cancellations and Backlog</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8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Cancellations arise in the normal course of business and are reflected when we receive written confirmation from the customer to cease work on a contractual agreement. The majority of our customers can terminate our contracts without cause upon 30 days’ notice. Similar to new business awards, the number and amount of cancellations can vary significantly period over period due to timing of customer correspondence and study-specific circumstances. Total cancellations in a period are offset against gross new business awards received in a period to determine net new business awards in our backlog calculation. Net new business awards were $109.1 million and $101.4 million for the three months ended September 30, 2016 and 2015, respectively. Net new business awards were $327.2 million and $264.0 million for the nine months ended September 30, 2016 and 2015, respectively.</w:t>
      </w:r>
    </w:p>
    <w:p>
      <w:pPr>
        <w:spacing w:after="0" w:line="16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Backlog represents anticipated future net service revenue from net new business awards that have not commenced or are currently in process but not complete. Reported backlog will fluctuate based on new business awards, changes in the scope of existing contracts, cancellations, revenue recognition on existing contracts and foreign exchange adjustments from non-U.S. dollar denominated backlog. As of September 30, 2016, our backlog increased by $59.0 million, or 14.0%, to $480.4 million compared to $421.4 million as of September 30, 2015. Included within backlog as of September 30, 2016 was approximately $275 million to $285 million that we expect to convert to net service revenue over the next twelve months, with the remainder expected to convert to net service revenue thereafter.</w:t>
      </w:r>
    </w:p>
    <w:p>
      <w:pPr>
        <w:spacing w:after="0" w:line="19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effect of foreign currency adjustments on backlog was as follows: favorable foreign currency adjustments of $0.4 million for the three months ended September 30, 2016; unfavorable foreign currency adjustments of $1.0 million for the nine months ended September 30, 2016; favorable foreign currency adjustments of $1.2 million for the three months ended September 30, 2015; and unfavorable foreign currency adjustments of $1.7 million for the nine months ended September 30, 2015.</w:t>
      </w:r>
    </w:p>
    <w:p>
      <w:pPr>
        <w:spacing w:after="0" w:line="18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Backlog and net new business award metrics may not be reliable indicators of our future period revenue as they are subject to a variety of factors that may cause material fluctuations from period to period. These factors include, but are not limited to, changes in the scope of projects, cancellations, and duration and timing of services provided.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Fluctuations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majority of our contracts and operational transactions are U.S. dollar denominated. The Euro represents the largest foreign currency denomination of our contractual and operational exposure. As a result, a portion of our revenue and expenses are subject to exchange rate fluctuations. We have translated the Euro into U.S. dollars using the following average exchange rates based on data obtained from www.xe.com: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6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60" w:type="dxa"/>
            <w:vAlign w:val="bottom"/>
            <w:gridSpan w:val="4"/>
          </w:tcPr>
          <w:p>
            <w:pPr>
              <w:ind w:left="440"/>
              <w:spacing w:after="0"/>
              <w:rPr>
                <w:sz w:val="20"/>
                <w:szCs w:val="20"/>
                <w:color w:val="auto"/>
              </w:rPr>
            </w:pPr>
            <w:r>
              <w:rPr>
                <w:rFonts w:ascii="Arial" w:cs="Arial" w:eastAsia="Arial" w:hAnsi="Arial"/>
                <w:sz w:val="14"/>
                <w:szCs w:val="14"/>
                <w:b w:val="1"/>
                <w:bCs w:val="1"/>
                <w:color w:val="auto"/>
              </w:rPr>
              <w:t>September 30,</w:t>
            </w: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20" w:type="dxa"/>
            <w:vAlign w:val="bottom"/>
            <w:vMerge w:val="restart"/>
          </w:tcPr>
          <w:p>
            <w:pPr>
              <w:ind w:left="1720"/>
              <w:spacing w:after="0"/>
              <w:rPr>
                <w:sz w:val="20"/>
                <w:szCs w:val="20"/>
                <w:color w:val="auto"/>
              </w:rPr>
            </w:pPr>
            <w:r>
              <w:rPr>
                <w:rFonts w:ascii="Arial" w:cs="Arial" w:eastAsia="Arial" w:hAnsi="Arial"/>
                <w:sz w:val="18"/>
                <w:szCs w:val="18"/>
                <w:color w:val="auto"/>
              </w:rPr>
              <w:t>U.S. Dollars per Euro:</w:t>
            </w:r>
          </w:p>
        </w:tc>
        <w:tc>
          <w:tcPr>
            <w:tcW w:w="1440" w:type="dxa"/>
            <w:vAlign w:val="bottom"/>
          </w:tcPr>
          <w:p>
            <w:pPr>
              <w:spacing w:after="0"/>
              <w:rPr>
                <w:sz w:val="13"/>
                <w:szCs w:val="13"/>
                <w:color w:val="auto"/>
              </w:rPr>
            </w:pPr>
          </w:p>
        </w:tc>
        <w:tc>
          <w:tcPr>
            <w:tcW w:w="80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204"/>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2015</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42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7"/>
        </w:trPr>
        <w:tc>
          <w:tcPr>
            <w:tcW w:w="4420" w:type="dxa"/>
            <w:vAlign w:val="bottom"/>
          </w:tcPr>
          <w:p>
            <w:pPr>
              <w:spacing w:after="0"/>
              <w:rPr>
                <w:sz w:val="24"/>
                <w:szCs w:val="24"/>
                <w:color w:val="auto"/>
              </w:rPr>
            </w:pPr>
          </w:p>
        </w:tc>
        <w:tc>
          <w:tcPr>
            <w:tcW w:w="2240" w:type="dxa"/>
            <w:vAlign w:val="bottom"/>
            <w:gridSpan w:val="2"/>
          </w:tcPr>
          <w:p>
            <w:pPr>
              <w:jc w:val="right"/>
              <w:ind w:right="684"/>
              <w:spacing w:after="0"/>
              <w:rPr>
                <w:sz w:val="20"/>
                <w:szCs w:val="20"/>
                <w:color w:val="auto"/>
              </w:rPr>
            </w:pPr>
            <w:r>
              <w:rPr>
                <w:rFonts w:ascii="Arial" w:cs="Arial" w:eastAsia="Arial" w:hAnsi="Arial"/>
                <w:sz w:val="18"/>
                <w:szCs w:val="18"/>
                <w:color w:val="auto"/>
              </w:rPr>
              <w:t>- 18 -</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compared to Three Months Ended September 30,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center"/>
              <w:ind w:left="353"/>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(Amounts in thousands, except percentages)</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revenue, net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94,812</w:t>
            </w:r>
          </w:p>
        </w:tc>
        <w:tc>
          <w:tcPr>
            <w:tcW w:w="22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Reimbursed out-of-pocket revenue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12,987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2,494</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107,799</w:t>
            </w:r>
          </w:p>
        </w:tc>
        <w:tc>
          <w:tcPr>
            <w:tcW w:w="22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15,668</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Direct costs, excluding depreciation and amortization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51,221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9,458</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Reimbursed out-of-pocket expenses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12,987</w:t>
            </w:r>
          </w:p>
        </w:tc>
        <w:tc>
          <w:tcPr>
            <w:tcW w:w="22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16,391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22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12,668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(3,106)</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95,182</w:t>
            </w:r>
          </w:p>
        </w:tc>
        <w:tc>
          <w:tcPr>
            <w:tcW w:w="22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10,246</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5700" w:type="dxa"/>
            <w:vAlign w:val="bottom"/>
            <w:gridSpan w:val="2"/>
          </w:tcPr>
          <w:p>
            <w:pPr>
              <w:ind w:left="58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12,617</w:t>
            </w:r>
          </w:p>
        </w:tc>
        <w:tc>
          <w:tcPr>
            <w:tcW w:w="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Miscellaneous (expense) income, net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(378)</w:t>
            </w: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(428)</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(4,656)</w:t>
            </w: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(6,737)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2,081</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7,583</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7,075</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5,036</w:t>
            </w:r>
          </w:p>
        </w:tc>
        <w:tc>
          <w:tcPr>
            <w:tcW w:w="220" w:type="dxa"/>
            <w:vAlign w:val="bottom"/>
            <w:tcBorders>
              <w:bottom w:val="single" w:sz="8" w:color="CFF0FC"/>
              <w:right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5,169</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3"/>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080" w:type="dxa"/>
            <w:vAlign w:val="bottom"/>
            <w:gridSpan w:val="6"/>
          </w:tcPr>
          <w:p>
            <w:pPr>
              <w:jc w:val="right"/>
              <w:ind w:right="60"/>
              <w:spacing w:after="0"/>
              <w:rPr>
                <w:sz w:val="20"/>
                <w:szCs w:val="20"/>
                <w:color w:val="auto"/>
              </w:rPr>
            </w:pPr>
            <w:r>
              <w:rPr>
                <w:rFonts w:ascii="Arial" w:cs="Arial" w:eastAsia="Arial" w:hAnsi="Arial"/>
                <w:sz w:val="18"/>
                <w:szCs w:val="18"/>
                <w:b w:val="1"/>
                <w:bCs w:val="1"/>
                <w:i w:val="1"/>
                <w:iCs w:val="1"/>
                <w:color w:val="auto"/>
                <w:w w:val="87"/>
              </w:rPr>
              <w:t>Nine Months Ended September 30, 2016 compared to Nine Months Ended September 30, 2015</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center"/>
              <w:ind w:left="353"/>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(Amounts in thousands, except percentages)</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revenue, net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275,245</w:t>
            </w:r>
          </w:p>
        </w:tc>
        <w:tc>
          <w:tcPr>
            <w:tcW w:w="22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40,825</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Reimbursed out-of-pocket revenue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38,094</w:t>
            </w:r>
          </w:p>
        </w:tc>
        <w:tc>
          <w:tcPr>
            <w:tcW w:w="22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28,598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9,496</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313,339</w:t>
            </w:r>
          </w:p>
        </w:tc>
        <w:tc>
          <w:tcPr>
            <w:tcW w:w="22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263,018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50,321</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Direct costs, excluding depreciation and amortization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147,436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119,488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27,948</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Reimbursed out-of-pocket expenses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38,094</w:t>
            </w:r>
          </w:p>
        </w:tc>
        <w:tc>
          <w:tcPr>
            <w:tcW w:w="22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9,496</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44,724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38,743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5,981</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5,481</w:t>
            </w:r>
          </w:p>
        </w:tc>
        <w:tc>
          <w:tcPr>
            <w:tcW w:w="22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38,004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(12,013)</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273,739</w:t>
            </w:r>
          </w:p>
        </w:tc>
        <w:tc>
          <w:tcPr>
            <w:tcW w:w="22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32,172</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5700" w:type="dxa"/>
            <w:vAlign w:val="bottom"/>
            <w:gridSpan w:val="2"/>
          </w:tcPr>
          <w:p>
            <w:pPr>
              <w:ind w:left="580"/>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39,600</w:t>
            </w:r>
          </w:p>
        </w:tc>
        <w:tc>
          <w:tcPr>
            <w:tcW w:w="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18,149</w:t>
            </w: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Miscellaneous (expense) income, net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(1,319)</w:t>
            </w: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(391)</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(16,550)</w:t>
            </w: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(20,712)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4,162</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21,731</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21,920</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8,285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8,377</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13,446</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 net and Reimbursed out-of-pocket revenue</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three months ended September 30, 2016 service revenue, net increased by $13.2 million to $94.8 million, from $81.6 million for the three months ended September 30, 2015. For the nine months ended September 30, 2016 service revenue, net increased by $40.8 million to $275.2 million, from $234.4 million for the nine months ended September 30, 2015. These increases were primarily driven by strong activity within the Oncology, AVAI and Cardiovascular therapeutic areas.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Reimbursed out-of-pocket revenue increased by $2.5 million to $13.0 million for the three months ended September 30, 2016, from $10.5 million for the three months ended September 30, 2015. Reimbursed out-of-pocket revenue increased by $9.5 million to $38.1 million for the nine months ended September 30, 2016, from $28.6 million for the nine months ended September 30, 2015. Reimbursed out-of-pocket revenues can fluctuate significantly from period to period based on the timing of program initiation or closeout, and these changes do not necessarily correlate to changes in net service revenue. The reimbursements were offset by an equal amount of reimbursed out-of-pocket expenses.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Direct costs, excluding depreciation and amortization and Reimbursed out-of-pocket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direct costs, excluding depreciation and amortization increased by $9.5 million, to $51.2 million for the three months ended September 30, 2016 from</w:t>
      </w:r>
    </w:p>
    <w:p>
      <w:pPr>
        <w:spacing w:after="0" w:line="4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$41.8 million for the three months ended September 30, 2015. Our direct costs, excluding depreciation and amortization increased by $27.9 million, to $147.4 million for the nine months ended September 30, 2016 from $119.5 million for the nine months ended September 30, 2015. The increases were primarily attributed to increases in employee related costs for additional personnel, contracted services and increased laboratory costs, all to support the growth in project activities. The employee related costs portion of direct costs, excluding depreciation and amortization increased by $7.1 million and $19.2 million for the three and nine months ended September 30, 2016, respectively, compared to the same periods in the prior year. The contracted services costs increased by $1.7 million and $4.0 million for the three and nine months ended September 30, 2016, respectively, compared to the same periods in the prior year. Laboratory costs were relatively flat for the three months ended September 30, 2016 compared to the three months ended September 30, 2015 and increased by $1.4 million for the nine months ended September 30, 2016, compared to the same period in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Selling, general and administrative expenses increased by $1.1 million, to $16.4 million for the three months ended September 30, 2016 from $15.3 million for the three months ended September 30, 2015. Selling, general and administrative expenses increased by $6.0 million, to $44.7 million for the nine months ended September 30, 2016 from $38.7 million for the nine months ended September 30, 2015. These increases were primarily driven by increases in certain advisory and professional fees related to the IPO, as well as bad debt recoveries and gains on litigation matters in 2015. The three and nine months ended September 30, 2015 each included a $2.0 million bad debt recovery and a $0.9 million gain on litigation from the settlement of an employment matter. The costs for certain advisory and professional fees related to the IPO increased $0.4 million and $1.2 million for the three and nine months ended September 30, 2016, respectively, compared to the same periods in the prior year. In addition, charitable contributions increased $0.5 million and $0.6 million for the three and nine months ended September 30, 2016, respectively, compared to the same periods in the prior year. The aforementioned increases were partially offset by a decrease in employee related costs, which decreased $2.2 million and was relatively flat for the three and nine months ended September 30, 2016, respectively, compared to the same periods in the prior year. The decrease in employee related costs during 2016 was attributed to the impact of $4.3 million related to a one-time stock based compensation award to our chief executive officer and founder during the three and nine months ended September 30, 2015,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Depreciation and amortization expense decreased by $2.8 million, to $14.6 million for the three months ended September 30, 2016 from $17.4 for the three months ended September 30, 2015. Depreciation and amortization expense decreased by $11.3 million, to $43.5 million for the nine months ended September 30, 2016, from $54.7 million for the nine months ended September 30, 2015. The decreases in depreciation and amortization were primarily related to the continued amortization of our definite lived intangible assets, which are amortized on an accelerated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income, net</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Miscellaneous (expense) income, net increased by $0.4 million to $0.4 million of expense for the three months ended September 30, 2016 from $0.1 million of income for the three months ended September 30, 2015. Miscellaneous (expense) income, net increased by $0.4 million to $1.3 million of expense for the nine months ended September 30, 2016 from $0.9 million of expense for the nine months ended September 30, 2015. These changes were mainly attributable to foreign exchange gains or losses that arise in connection with the revaluation of short-term inter-company balances between our domestic and international subsidiaries, and gains or losses from foreign currency transactions, such as those resulting from the settlement of third-party accounts receivables and payables denominated in a currency other than the local currency of the entity making the payment.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Interest expense, net decreased by $2.1 million to $4.7 million for the three months ended September 30, 2016 from $6.7 million for the three months ended September 30, 2015. Interest expense, net decreased by $4.2 million to $16.6 million for the nine months ended September 30, 2016 from $20.7 million for the nine months ended September 30, 2015. The decreases in interest expense, net were related to the average lower outstanding balance under our Senior Secured Term Loan Facility (as defined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Income tax provision (benefit) increased by $1.9 million, to $2.5 million provision for the three months ended September 30, 2016 from $0.6 million provision for the three months ended September 30, 2015. Income tax provision (benefit) increased by $8.4 million, to $8.3 million provision for the nine months ended September 30, 2016 from $0.1 million benefit for the nine months ended September 30, 2015. The overall effective tax rate for the three and nine months ended September 30, 2016 was 33.6% and 38.1%, respectively, compared to an overall effective tax rate of 126.2% and 48.7% for the three and nine months ended September 30, 2015,</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 w:name="page21"/>
    <w:bookmarkEnd w:id="20"/>
    <w:p>
      <w:pPr>
        <w:ind w:right="260"/>
        <w:spacing w:after="0" w:line="308" w:lineRule="auto"/>
        <w:rPr>
          <w:sz w:val="20"/>
          <w:szCs w:val="20"/>
          <w:color w:val="auto"/>
        </w:rPr>
      </w:pPr>
      <w:r>
        <w:rPr>
          <w:rFonts w:ascii="Arial" w:cs="Arial" w:eastAsia="Arial" w:hAnsi="Arial"/>
          <w:sz w:val="17"/>
          <w:szCs w:val="17"/>
          <w:color w:val="auto"/>
        </w:rPr>
        <w:t>respectively. The change in effective tax rates and the increase in income tax provision was primarily due to the increases in projected pre-tax book income for the three and nine months ended September 30, 2016 coupled with relatively consistent year over year rate reconciliation drivers.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assess our liquidity in terms of our ability to generate cash to fund our operating, investing and financing activities. Our principal sources of liquidity are operating cash flows and funds available for borrowing under our Senior Secured Revolving Credit Facility (as defined below). As of September 30, 2016, we had cash and cash equivalents of $18.0 million, including approximately $3.4 million of restricted cash, primarily related to advanced payments received pursuant to certain sponsor contracts. Approximately $9.5 million of cash and cash equivalents, none of which was restricted, was held by our foreign subsidiaries as of September 30, 2016. On April 1, 2014 the Company entered into a credit agreement (the “Senior Secured Credit Agreement”) consisting of a $530 million term loan (“Senior Secured Term Loan Facility”) and a $60 million revolving credit facility (“Senior Secured Revolving Credit Facility” and together with the Senior Secured Term Loan Facility, the “Senior Secured Credit Facilities”). As of September 30, 2016, we had $60.0 million available for borrowing under our Senior Secured Revolving Credit Facility.</w:t>
      </w:r>
    </w:p>
    <w:p>
      <w:pPr>
        <w:spacing w:after="0" w:line="179"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On August 16, 2016, the Company completed its IPO of its common stock at a price of $23.00 per share. We issued and sold 8,050,000 shares of common stock in the IPO. The IPO raised net proceeds of approximately $173.6 million after deducting underwriting discounts and commissions. We used the proceeds from our IPO, combined with cash on hand, to repay $175.0 million of outstanding borrowings under our Senior Secured Term Loan Facility. In addition, subsequent to the IPO, we used operating cash flow to pay down an additional $35.0 million on our Senior Secured Term Loan Facility.</w:t>
      </w:r>
    </w:p>
    <w:p>
      <w:pPr>
        <w:spacing w:after="0" w:line="154"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Our expected primary cash needs on both a short and long-term basis are for investment in operational growth, capital expenditures, payment of debt, selective strategic bolt-on acquisitions, other investments, additional expenses we expect to incur as a public company, and other general corporate needs for the next 12 months and on a longer-term basis. We have historically funded our operations and growth with cash flow from operations and borrowings under our credit facilities. We expect to continue expanding our operations through organic growth and potentially highly selective bolt-on acquisitions and investments. We expect these activities will be funded from existing cash, cash flow from operations and, if necessary, borrowings under our existing or future credit facilities. We have deemed that foreign earnings will be indefinitely reinvested and therefore we have not provided taxes on these</w:t>
      </w:r>
    </w:p>
    <w:p>
      <w:pPr>
        <w:spacing w:after="0" w:line="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earnings. While we do not anticipate the need to repatriate these foreign earnings for liquidity purposes given our cash flows from operations and available borrowings under existing and future credit facilities, we would incur taxes on these earnings if the need for repatriation due to liquidity purposes arises. We believe that our sources of liquidity and capital will be sufficient to finance our cash needs for the next 12 months and on a longer-term basis. However, we cannot assure you that our business will generate sufficient cash flow from operations, or that future borrowings will be available to us under our Senior Secured Credit Facilities or otherwise, in an amount sufficient to fund our liquidity needs. If our cash flows and capital resources are insufficient to service our indebtedness,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agreements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and any proceeds that we could realize from any such dispositions may not be adequate to meet our debt service obligations then due. See “Risk Factors—Risks Relating to our Indebtedness—We may not be able to generate sufficient cash to service all of our indebtedness, and may be forced to take other actions to satisfy our obligations under our indebtedness that may not be successful” in Item 1A of Part II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Nine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Nine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Months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FF0FC"/>
            </w:tcBorders>
          </w:tcPr>
          <w:p>
            <w:pPr>
              <w:ind w:left="2740"/>
              <w:spacing w:after="0"/>
              <w:rPr>
                <w:sz w:val="20"/>
                <w:szCs w:val="20"/>
                <w:color w:val="auto"/>
              </w:rPr>
            </w:pPr>
            <w:r>
              <w:rPr>
                <w:rFonts w:ascii="Arial" w:cs="Arial" w:eastAsia="Arial" w:hAnsi="Arial"/>
                <w:sz w:val="14"/>
                <w:szCs w:val="14"/>
                <w:b w:val="1"/>
                <w:bCs w:val="1"/>
                <w:color w:val="auto"/>
              </w:rPr>
              <w:t>Cash Flows (Amounts in thousands)</w:t>
            </w:r>
          </w:p>
        </w:tc>
        <w:tc>
          <w:tcPr>
            <w:tcW w:w="26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6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57,412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(7,760)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(54,872)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Decrease in cash and cash equivalents</w:t>
            </w:r>
          </w:p>
        </w:tc>
        <w:tc>
          <w:tcPr>
            <w:tcW w:w="26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20" w:type="dxa"/>
            <w:vAlign w:val="bottom"/>
            <w:vMerge w:val="restart"/>
          </w:tcPr>
          <w:p>
            <w:pPr>
              <w:jc w:val="right"/>
              <w:ind w:right="1870"/>
              <w:spacing w:after="0"/>
              <w:rPr>
                <w:sz w:val="20"/>
                <w:szCs w:val="20"/>
                <w:color w:val="auto"/>
              </w:rPr>
            </w:pPr>
            <w:r>
              <w:rPr>
                <w:rFonts w:ascii="Arial" w:cs="Arial" w:eastAsia="Arial" w:hAnsi="Arial"/>
                <w:sz w:val="18"/>
                <w:szCs w:val="18"/>
                <w:color w:val="auto"/>
              </w:rPr>
              <w:t>- 21 -</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4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Cash flows from operations are driven mainly by net income and net movement in accounts receivable and unbilled, net, advanced billings, pre-funded liabilities, accounts payable and accrued expenses. Accounts receivable and unbilled, net, advanced billings and pre-funded liabilities fluctuate on a regular basis as we perform our services, bill our customers and ultimately collect on those receivables. We attempt to negotiate payment terms in order to provide for payments prior to or soon after the provision of services, but this timing of collection can vary significantly on a period by period comparative basis.</w:t>
      </w:r>
    </w:p>
    <w:p>
      <w:pPr>
        <w:spacing w:after="0" w:line="15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Net cash flows provided by operating activities was $62.2 million for the nine months ended September 30, 2016 consisting of net income of $13.4 million. Adjustments to reconcile net income to net cash provided by operating activities were $53.2 million, primarily related to amortization of intangibles of $38.0 million, depreciation of $5.5 million and stock based compensation expense of $8.6 million, offset by $0.6 million of benefit from deferred taxes. Changes in operating assets and liabilities used $4.5 million in operating cash flows and was primarily driven by increased accounts receivable and unbilled services, net of $16.6 million, increased prepaid expenses and other current assets of $8.7, offset by increased accrued expenses of $1.3 million primarily related to employee related costs, a decrease in other assets and liabilities, net of $2.4 million, and an increase in advanced billings of $16.6 million.</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cash flows provided by operating activities was $57.4 million for the nine months ended September 30, 2015 consisting of net loss of $0.1 million. Adjustments to reconcile net income to net cash provided by operating activities were $60.1 million primarily related to amortization of intangibles of $50.0 million, depreciation of $4.7 million and stock based compensation expense of $11.8 million, offset by $8.3 million of benefit from deferred taxes. Changes in operating assets and liabilities used $2.6 million in operating cash flows and was primarily driven by $7.2 million from a decrease in advanced billings and a decrease in other assets and liabilities, net of $4.5 million offset by a decrease in accounts receivable and unbilled services, net of $6.0 million and an increase in pre-funded study costs of $4.4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Net cash used in investing activities was $7.8 million for the nine months ended September 30, 2016 primarily consisting of property and equipment expenditures.</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Net cash used in investing activities was $4.7 million for the nine months ended September 30, 2015 primarily consisting of property and equipment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117"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Net cash used in financing activities was $54.9 million for the nine months ended September 30, 2016 primarily related to $225.0 million in principal payments on our Senior Secured Term Loan Facility, offset by the IPO proceeds received of $173.6 million. The remaining activity consisted of rental payments on deemed landlord assets and the payment of common stock issuance costs.</w:t>
      </w:r>
    </w:p>
    <w:p>
      <w:pPr>
        <w:spacing w:after="0" w:line="18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Net cash used in financing activities was $66.1 million for the nine months ended September 30, 2015 primarily related to $65.0 million in principal payments on our Senior Secured Term Loan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As of September 30, 2016, we had total indebtedness of $165.0 million, substantially all of which was attributed to outstanding borrowings on the Senior Secured Term Loan Facility. There were no outstanding borrowings under the Senior Secured Revolving Credit Facility as of September 30, 2016. In addition, as of September 30, 2016, we had less than $0.1 million in letters of credit outstanding related to certain operating lease obligations, which are secured by the Senior Secured Revolving Credit Facility. See Note 7 to our unaudited condensed consolidated financial statements in Item 1 of Part I of this Quarterly Report on Form 10-Q, for details regarding our Senior Secured Credit Facilities.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have various contractual obligations, which are recorded as liabilities in our condensed consolidated financial statements. Other items, such as operating lease obligations, are not recognized as liabilities in our condensed consolidated financial statements but are required to be disclosed.</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three months ended September 2016, we repaid $210.0 million aggregate principal amount of our Senior Secured Term Loan Facility. Other than the item included above there have been no material changes, outside of the ordinary course of business, to our contractual obligations as previously disclosed in our prospectus filed pursuant to Rule 424(b) under the Securities Act of 1933, as amended (the “Securities Act”), with the Securities and Exchange Commission on August 11, 2016 (the “Prospectus”).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As a result of these changes, our long-term debt obligations as of September 30, 2016 were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440" w:type="dxa"/>
            <w:vAlign w:val="bottom"/>
            <w:vMerge w:val="restart"/>
          </w:tcPr>
          <w:p>
            <w:pPr>
              <w:spacing w:after="0"/>
              <w:rPr>
                <w:sz w:val="20"/>
                <w:szCs w:val="20"/>
                <w:color w:val="auto"/>
              </w:rPr>
            </w:pPr>
            <w:r>
              <w:rPr>
                <w:rFonts w:ascii="Arial" w:cs="Arial" w:eastAsia="Arial" w:hAnsi="Arial"/>
                <w:sz w:val="18"/>
                <w:szCs w:val="18"/>
                <w:b w:val="1"/>
                <w:bCs w:val="1"/>
                <w:color w:val="auto"/>
              </w:rPr>
              <w:t>Contractual Obligations (In thousands)</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30"/>
              <w:spacing w:after="0" w:line="205" w:lineRule="exact"/>
              <w:rPr>
                <w:sz w:val="20"/>
                <w:szCs w:val="20"/>
                <w:color w:val="auto"/>
              </w:rPr>
            </w:pPr>
            <w:r>
              <w:rPr>
                <w:rFonts w:ascii="Arial" w:cs="Arial" w:eastAsia="Arial" w:hAnsi="Arial"/>
                <w:sz w:val="18"/>
                <w:szCs w:val="18"/>
                <w:b w:val="1"/>
                <w:bCs w:val="1"/>
                <w:color w:val="auto"/>
                <w:w w:val="84"/>
              </w:rPr>
              <w:t>Less than 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auto"/>
                <w:w w:val="93"/>
              </w:rPr>
              <w:t>More than 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34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2"/>
              </w:rPr>
              <w:t>1-3 years</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87"/>
              </w:rPr>
              <w:t>3-5 years</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9"/>
              </w:rPr>
              <w:t>years</w:t>
            </w: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obligations</w:t>
            </w:r>
          </w:p>
        </w:tc>
        <w:tc>
          <w:tcPr>
            <w:tcW w:w="4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165,000</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on long-term debt (1)</w:t>
            </w:r>
          </w:p>
        </w:tc>
        <w:tc>
          <w:tcPr>
            <w:tcW w:w="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16,351</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201,824</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2,061</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16,351</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16,374</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760"/>
        <w:spacing w:after="0"/>
        <w:tabs>
          <w:tab w:leader="none" w:pos="11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Interest payments on long-term debt in the above table are based on interest rates in effect as of September 30,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Off balance sheet arrangements refer to any transaction, agreement or other contractual arrangement to which an entity not consolidated under our entity structure exists, where we have an obligation arising under a guarantee contract, derivative instrument or variable interest or a retained or contingent interest in assets transferred to such an entity or similar arrangement that serves as credit, liquidity or market risk support for such assets. We have no off balance sheet arrangements currently.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United States of America, or U.S. GAAP, requires us to make a variety of decisions which affect reported amounts and related disclosures, including the selection of appropriate accounting principles and the assumptions on which to base accounting estimates. In reaching such decisions, we apply judgment based on our understanding and analysis of the relevant circumstances, including our historical experience and other assumptions. Actual results could differ from our estimates. We are committed to incorporating accounting principles, assumptions and estimates that promote the representational faithfulness, verifiability, neutrality and transparency of the accounting information included in the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the critical accounting policies and estimates as previously described in our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Market risk is the potential loss arising from adverse changes in market rates and prices, such as foreign currency exchange rates, inflation, interest rates, and other relevant market rates or prices changes. We are exposed to market risk from changes in foreign currency exchange rates, interest rates, inflation rate and credit risk and we regularly evaluate our exposure to such changes.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We have business operations globally, and accordingly, we are exposed to foreign currency fluctuations that can affect our financial results. For the nine months ended September 30, 2016, approximately 9.3% of our revenue was derived from contracts denominated in currencies other than the U.S. dollar, whereas 24.2% of our operational costs, including, but not limited to, salaries, wages and other employee benefits, were derived in foreign currencies. Of these exposures, 91.7% of revenue denominated in foreign currencies and 46.1% of operational costs denominated in foreign currencies were Euro denominated. If the U.S. dollar were to appreciate against all other currencies by a hypothetical average of 10%, our pre-tax income for the nine months ended September 30, 2016 would have been positively impacted by approximately $2.3 million, while a hypothetical depreciation of 10% against all other currencies would result in a negative pre-tax income impact of approximately $2.3 million.</w:t>
      </w:r>
    </w:p>
    <w:p>
      <w:pPr>
        <w:spacing w:after="0" w:line="17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are also subject to foreign currency transaction risk for fluctuations in exchange rates during the period of time between contract commencement and cash settlement for services that we provide in relation to the contract. This exposure may affect our contract and operational profitability. To mitigate our foreign currency risk exposure we provide for exchange rate fluctuation adjustments subject to certain thresholds within our foreign currency denominated contracts.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primarily exposed to interest rate risk through our Senior Secured Credit Facilities. As of September 30, 2016 and December 31, 2015, we had outstanding amounts related to the Senior Secured Credit Facilities of $154.6 million (net of an unamortized discount of $1.7 million and unamortized debt issuance costs of $8.7 million) and $377.9 million (net of an unamortized discount of $2.0 million and unamortized debt issuance costs of $10.1 million), respectively, subject to variable interest rates. The applicable LIBOR interest rate, our primary interest rate exposure, for the Senior Secured Credit Facilities is subject to a 1.00% floor. As the applicable LIBOR interest rates as of September 30, 2016 and December 31, 2015 were less than the floor, the applicable interest rates would have had to rise by 47 basis points and 57 basis points, respectively, to impact interest expense. Each quarter point increase in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 w:name="page24"/>
    <w:bookmarkEnd w:id="23"/>
    <w:p>
      <w:pPr>
        <w:ind w:right="20"/>
        <w:spacing w:after="0" w:line="308" w:lineRule="auto"/>
        <w:rPr>
          <w:sz w:val="20"/>
          <w:szCs w:val="20"/>
          <w:color w:val="auto"/>
        </w:rPr>
      </w:pPr>
      <w:r>
        <w:rPr>
          <w:rFonts w:ascii="Arial" w:cs="Arial" w:eastAsia="Arial" w:hAnsi="Arial"/>
          <w:sz w:val="17"/>
          <w:szCs w:val="17"/>
          <w:color w:val="auto"/>
        </w:rPr>
        <w:t>the applicable interest rate above the floor as of September 30, 2016 and December 31, 2015 would have changed our interest expense by approximately $0.7 million and $1.1 million for the nine months ended September 30, 2016 and the year ended December 31, 2015,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Financial instruments that subject the Company to credit risk primarily consist of cash and cash equivalents, and accounts receivable and unbilled, net. The cash and cash equivalent balances are held and maintained with high-quality financial institutions with reputable credit ratings and, consequently, we believe that such funds are subject to minimal credit risk.</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generally do not require collateral or other securities to support customer receivables. In the nine month periods ended September 30, 2016 and December 31, 2015, credit losses have been immaterial and within our expectations. Moreover, in many cases we require advance payment from our customers for a portion of the study contract price upon the signing of a service contract which helps to mitigate credit risk. As of September 30, 2016 and December 31, 2015, there were no major customers accounting for more than 10% of our accounts receivable and unbilled, net.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contracts that provide for services to be performed in excess of a year generally include inflation adjustments for the portion of the services to be performed beyond one year from the contract date. We do not have significant operations in countries where the economy is considered highly inflationary, and do not believe in the near term that inflation will have a material adverse impact on us. However, if actual rates are greater than our contractual inflation rates, inflation could have a material adverse effect on our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fiscal quarter ended September 30, 2016, that has materially affected, or is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are party to legal proceedings incidental to our business. While the outcome of these matters could differ from management’s expectations, we do not believe that the resolution of these matters is reasonably likely to have a material adverse effect to our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Investing in our common stock involves a high degree of risk. You should consider carefully the risks and uncertainties described below, together with the other information included in this Quarterly Report on Form 10-Q. The occurrence of any of the following risks may materially and adversely affect our business, financial condition, results of operations and future prospects.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potential loss, delay or non-renewal of our contracts, or the non-payment by our customers for services that we have performed, could adversely affect our results.</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experience termination, cancellation and non-renewals of contracts by our customers in the ordinary course of business, and the number and dollar value of cancellations can vary significantly from year to year.</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time between when a clinical trial is awarded and when it goes to contract is typically several months, and prior to a new business award going to contract, our customers can cancel the award without notice. Moreover, once an award goes to contract, most of our customers for clinical trial services can terminate our contracts without cause upon 30 days’ notice. Our customers may delay, terminate or reduce the scope of our contracts for a variety of reasons beyond our control, including, but not limited to:</w:t>
      </w:r>
    </w:p>
    <w:p>
      <w:pPr>
        <w:spacing w:after="0" w:line="79" w:lineRule="exact"/>
        <w:rPr>
          <w:sz w:val="20"/>
          <w:szCs w:val="20"/>
          <w:color w:val="auto"/>
        </w:rPr>
      </w:pPr>
    </w:p>
    <w:p>
      <w:pPr>
        <w:ind w:left="860" w:hanging="379"/>
        <w:spacing w:after="0"/>
        <w:tabs>
          <w:tab w:leader="none" w:pos="8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decisions to forego or terminate a particular clinical trial;</w:t>
      </w:r>
    </w:p>
    <w:p>
      <w:pPr>
        <w:spacing w:after="0" w:line="25" w:lineRule="exact"/>
        <w:rPr>
          <w:rFonts w:ascii="MS PGothic" w:cs="MS PGothic" w:eastAsia="MS PGothic" w:hAnsi="MS PGothic"/>
          <w:sz w:val="18"/>
          <w:szCs w:val="18"/>
          <w:color w:val="auto"/>
        </w:rPr>
      </w:pPr>
    </w:p>
    <w:p>
      <w:pPr>
        <w:ind w:left="860" w:hanging="379"/>
        <w:spacing w:after="0"/>
        <w:tabs>
          <w:tab w:leader="none" w:pos="8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lack of available financing, budgetary limits or changing priorities;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actions by regulatory authorities;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changes in law;</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production problems resulting in shortages of the drug being tested;</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failure of the drug being tested to satisfy safety requirements or efficacy criteria;</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unexpected or undesired clinical results;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insufficient investigator recruitment or patient enrollment in a trial;</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decisions to downsize product development portfolios;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dissatisfaction with our performance, including the quality of data provided and our ability to meet agreed upon schedules;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shift of business to another CRO or internal resources;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product withdrawal following market launch; or</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shut down of our customers’ manufacturing facilities.</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contract terminations, delays and modifications are a regular part of our business. In the event of termination, our contracts often provide for payment to us of fees for services provided up to the point of termination and for close-out activities for winding down the clinical trial, and reimbursement of all non-cancellable expenses. These payments may not be sufficient for us to maintain our profit margins, and termination or non-renewal may result in lower resource utilization rates, including with respect to personnel who we are not able to place on another customer engagement. Historically, cancellations and delays have negatively impacted our operating results.</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Clinical trials can be costly and for the year ended December 31, 2015, 55.7% and 29.3% of our net service revenue was derived from small biopharmaceutical companies and mid-sized biopharmaceutical companies, respectively, which may have limited access to capital. In addition, we provide services to our customers before they pay us for some of our services. There is a risk that we may initiate a clinical trial for a customer, and the customer subsequently becomes unwilling or unable to fund the completion of the trial. In such a situation, notwithstanding the customer’s ability or willingness to pay for or otherwise facilitate the completion of the trial, we may be legally or ethically bound to complete or wind down the trial at our own expense.</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Because the contracts included in our backlog are generally terminable without cause, we do not believe that our backlog as of any date is necessarily a meaningful predictor of future results. In addition, we may not realize the full benefits of our backlog of contractually committed services if our customers cancel, delay or reduce their commitments under our contracts with them. Thus, the loss or delay of a large contract or the loss or delay of multiple contracts could adversely affect our net service revenue and profitability. In addition, the terminability of our contracts puts increased pressure on our quality control efforts, since not only can our contracts be terminated by customers as a result of poor performance, but any such termination may also affect our ability to obtain future contracts from the customer involved and others.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may not convert to net service revenue at our historical conversion rates.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Backlog represents anticipated future net service revenue from net new business awards that have not commenced or are currently in process but not complete. Reported backlog will fluctuate based on new business awards, changes in scope to existing contracts, cancellations, revenue recognition on existing contracts and foreign exchange adjustments from non-U.S. dollar denominated backlog. Our backlog as of September 30, 2016 and September 30, 2015 was approximately $480.4 and $421.4 million, respectively. Once work begins on a project, net service revenue is recognized over the duration of the project. Projects may be terminated or delayed by the customer or delayed by regulatory authorities for reasons beyond our control. To the extent projects are delayed, the timing of our net service revenue could be adversely affected. Moreover, in the event that a customer cancels a contract, we often would be entitled to receive payment for services provided up to the point of cancellation and for close-out activities for winding down the clinical trial, and reimbursement of all non-cancellable expenses. Typically, however, we have no contractual right to the full amount of the future net service revenue reflected in our backlog in the event of a contract cancellation or subsequent changes in scope that reduce the value of the contract. The duration of the projects included in our backlog, and the related net service revenue recognition, generally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5" w:name="page26"/>
    <w:bookmarkEnd w:id="25"/>
    <w:p>
      <w:pPr>
        <w:ind w:right="160"/>
        <w:spacing w:after="0" w:line="331" w:lineRule="auto"/>
        <w:rPr>
          <w:sz w:val="20"/>
          <w:szCs w:val="20"/>
          <w:color w:val="auto"/>
        </w:rPr>
      </w:pPr>
      <w:r>
        <w:rPr>
          <w:rFonts w:ascii="Arial" w:cs="Arial" w:eastAsia="Arial" w:hAnsi="Arial"/>
          <w:sz w:val="16"/>
          <w:szCs w:val="16"/>
          <w:color w:val="auto"/>
        </w:rPr>
        <w:t>range from a few months to several years. Our backlog may not be indicative of our future net service revenue, and we may not realize all of the anticipated future net service revenue reflected in our backlog. A number of factors may affect the realization of our net service revenue from backlog, including:</w:t>
      </w:r>
    </w:p>
    <w:p>
      <w:pPr>
        <w:spacing w:after="0" w:line="33" w:lineRule="exact"/>
        <w:rPr>
          <w:sz w:val="20"/>
          <w:szCs w:val="20"/>
          <w:color w:val="auto"/>
        </w:rPr>
      </w:pPr>
    </w:p>
    <w:p>
      <w:pPr>
        <w:ind w:left="860" w:hanging="379"/>
        <w:spacing w:after="0"/>
        <w:tabs>
          <w:tab w:leader="none" w:pos="8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the size, complexity and duration of the projects;</w:t>
      </w:r>
    </w:p>
    <w:p>
      <w:pPr>
        <w:spacing w:after="0" w:line="25" w:lineRule="exact"/>
        <w:rPr>
          <w:rFonts w:ascii="MS PGothic" w:cs="MS PGothic" w:eastAsia="MS PGothic" w:hAnsi="MS PGothic"/>
          <w:sz w:val="18"/>
          <w:szCs w:val="18"/>
          <w:color w:val="auto"/>
        </w:rPr>
      </w:pPr>
    </w:p>
    <w:p>
      <w:pPr>
        <w:ind w:left="860" w:hanging="379"/>
        <w:spacing w:after="0"/>
        <w:tabs>
          <w:tab w:leader="none" w:pos="8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the cancellation or delay of projects; and</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changes in the scope of work during the course of a project.</w:t>
      </w:r>
    </w:p>
    <w:p>
      <w:pPr>
        <w:spacing w:after="0" w:line="20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Fluctuations in our reported backlog levels also result from the fact that we may receive a small number of relatively large projects in any given reporting period that may be included in our backlog. Because of these large projects, our backlog in that reporting period may reach levels that may not be sustained in subsequent reporting periods. Additionally, although an increase in backlog will generally result in an increase in net service revenue over time, an increase in backlog at a particular point in time does not necessarily correspond directly to an increase in net service revenue during any particular period, or at all. The extent to which contracts in backlog will result in net service revenue depends on many factors, including, but not limited to, delivery against project schedules, scope changes, contract terminations and the nature, duration and complexity of the contracts, and can vary significantly over time.</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we increasingly compete for and enter into large contracts that are more global in nature, there can be no assurance about the rate at which our backlog will convert into net service revenue. A decrease in this conversion rate would mean that the rate of net service revenue recognized on contracts may be slower than what we have experienced in the past, which could impact our net service revenue and results of operations on a quarterly and annual basis. The revenue recognition on larger, more global projects could be slower than on smaller, less global projects for a variety of reasons, including, but not limited to, an extended period of negotiation between the time the project is awarded to us and the actual execution of the contract, as well as an increased timeframe for obtaining the necessary regulatory approvals. Additionally, delayed projects will remain in backlog and will not generate revenue at the rate originally expected. Thus, the relationship of backlog to realized revenues is indirect and may vary significantly over time.</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there has been a recent slowdown in funding in the biotechnology industry. If small and mid-sized biopharmaceutical companies become less able to access capital in the future, we may see a decrease in backlog conversion to net service revenue and net new business awards due to project delays or cancellations. These companies have contributed materially to our historical net service revenue. If they cannot commit the same or a greater level of capital to our services going forward, our results of operations may suffer.</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operating results have historically fluctuated between fiscal quarters and years and may continue to fluctuate in the future, which may adversely affect the market price of our stock.</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operating results have fluctuated in previous quarters and years and may continue to vary significantly from quarter to quarter and year to year and are influenced by a variety of factors, such as:</w:t>
      </w:r>
    </w:p>
    <w:p>
      <w:pPr>
        <w:spacing w:after="0" w:line="62" w:lineRule="exact"/>
        <w:rPr>
          <w:sz w:val="20"/>
          <w:szCs w:val="20"/>
          <w:color w:val="auto"/>
        </w:rPr>
      </w:pPr>
    </w:p>
    <w:p>
      <w:pPr>
        <w:ind w:left="860" w:right="620" w:hanging="379"/>
        <w:spacing w:after="0" w:line="258" w:lineRule="auto"/>
        <w:tabs>
          <w:tab w:leader="none" w:pos="8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timing of contract amendments for changes in scope that could affect the value of a contract and potentially impact the amount of net new business awards and net service revenue from quarter to quarter;</w:t>
      </w:r>
    </w:p>
    <w:p>
      <w:pPr>
        <w:spacing w:after="0" w:line="1" w:lineRule="exact"/>
        <w:rPr>
          <w:rFonts w:ascii="MS PGothic" w:cs="MS PGothic" w:eastAsia="MS PGothic" w:hAnsi="MS PGothic"/>
          <w:sz w:val="18"/>
          <w:szCs w:val="18"/>
          <w:color w:val="auto"/>
        </w:rPr>
      </w:pPr>
    </w:p>
    <w:p>
      <w:pPr>
        <w:ind w:left="860" w:hanging="379"/>
        <w:spacing w:after="0"/>
        <w:tabs>
          <w:tab w:leader="none" w:pos="8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commencement, completion, execution, postponement or termination of large contracts;</w:t>
      </w:r>
    </w:p>
    <w:p>
      <w:pPr>
        <w:spacing w:after="0" w:line="10" w:lineRule="exact"/>
        <w:rPr>
          <w:rFonts w:ascii="MS PGothic" w:cs="MS PGothic" w:eastAsia="MS PGothic" w:hAnsi="MS PGothic"/>
          <w:sz w:val="18"/>
          <w:szCs w:val="18"/>
          <w:color w:val="auto"/>
        </w:rPr>
      </w:pPr>
    </w:p>
    <w:p>
      <w:pPr>
        <w:ind w:left="860" w:hanging="379"/>
        <w:spacing w:after="0"/>
        <w:tabs>
          <w:tab w:leader="none" w:pos="8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contract terms for the billing and recognition of revenue milestones;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progress of ongoing contracts and retention of customers;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timing of and charges associated with completion of acquisitions and other events;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changes in the mix of services delivered, both in terms of geography and type of services;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7"/>
        </w:numPr>
        <w:rPr>
          <w:rFonts w:ascii="MS PGothic" w:cs="MS PGothic" w:eastAsia="MS PGothic" w:hAnsi="MS PGothic"/>
          <w:sz w:val="16"/>
          <w:szCs w:val="16"/>
          <w:color w:val="auto"/>
        </w:rPr>
      </w:pPr>
      <w:r>
        <w:rPr>
          <w:rFonts w:ascii="Arial" w:cs="Arial" w:eastAsia="Arial" w:hAnsi="Arial"/>
          <w:sz w:val="16"/>
          <w:szCs w:val="16"/>
          <w:color w:val="auto"/>
        </w:rPr>
        <w:t>customer disputes or other issues that may impact the revenue we are able to recognize or the collectability of our related accounts receivable; and</w:t>
      </w:r>
    </w:p>
    <w:p>
      <w:pPr>
        <w:spacing w:after="0" w:line="32" w:lineRule="exact"/>
        <w:rPr>
          <w:rFonts w:ascii="MS PGothic" w:cs="MS PGothic" w:eastAsia="MS PGothic" w:hAnsi="MS PGothic"/>
          <w:sz w:val="16"/>
          <w:szCs w:val="16"/>
          <w:color w:val="auto"/>
        </w:rPr>
      </w:pPr>
    </w:p>
    <w:p>
      <w:pPr>
        <w:ind w:left="860" w:hanging="379"/>
        <w:spacing w:after="0"/>
        <w:tabs>
          <w:tab w:leader="none" w:pos="8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exchange rate fluctuations.</w:t>
      </w:r>
    </w:p>
    <w:p>
      <w:pPr>
        <w:spacing w:after="0" w:line="2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operating results for any particular quarter or year are not necessarily a meaningful indicator of future results and fluctuations in our quarterly or yearly operating results could negatively affect the market price and liquidity of shares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margins could decrease due to increased pricing pressure or other pressures.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Historically, we have been able to generate the operating margins that we do because of our disciplined, full-service operating model. However, we operate in a highly competitive environment, and, if we experience increased levels of competitive pricing pressure, our operating margins may decrease. In addition, we may adapt our operating model to achieve greater levels of growth or in response to investor demands. Such changes could result in lower operating margins.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6" w:name="page27"/>
    <w:bookmarkEnd w:id="26"/>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perform our services in accordance with contractual requirements, government regulations and ethical considerations, we could be subject to significant costs or liability and our reputation could be adversely affected.</w:t>
      </w:r>
    </w:p>
    <w:p>
      <w:pPr>
        <w:spacing w:after="0" w:line="6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contract with biopharmaceutical companies to perform a wide range of services to assist them in bringing new drugs to market. Our services include monitoring clinical trials, data and laboratory analysis, electronic data capture, patient recruitment and other related services. Such services are complex and subject to contractual requirements, government regulations, and ethical considerations. For example, we are subject to regulation by the Food and Drug Administration, or the FDA, and comparable foreign regulatory authorities relating to our activities in conducting pre-clinical studies and clinical trials. Before clinical trials begin in the United States, a drug is tested in pre-clinical trials that must comply with Good Laboratory Practice and other requirements. An applicant must file an Investigational New Drug Application, or IND, which must become effective before human clinical testing may begin. Further, an independent Institutional Review Board, or IRB, for each medical center proposing to participate in the clinical trial must review and approve the protocol for the clinical trial. Once initiated, clinical trials must be conducted pursuant to and in accordance with the applicable IND conditions, the requirements of the relevant IRBs, the Federal Food, Drug, and Cosmetic Act and its implementing regulations, including Good Clinical Practice, or GCP, and other requirements. We are also subject to regulation by the Drug Enforcement Administration, or DEA, which regulates the distribution, recordkeeping, handling, security, and disposal of controlled substances. If we fail to perform our services in accordance with these requirements, regulatory authorities may take action against us or our customers. Such actions may include injunctions or failure of such regulatory authority to grant marketing approval of our customers’ products, imposition of clinical holds or delays, suspension or withdrawal of approvals, rejection of data collected in our clinical trials, license revocation, product seizures or recalls, operational restrictions, civil or criminal penalties or prosecutions, damages or fines. Customers may also bring claims against us for breach of our contractual obligations, and patients in the clinical trials and patients taking drugs approved on the basis of those trials may bring personal injury claims against us. Any such action could have a material adverse effect on our business, financial condition, results of operations, cash flows or reputation.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Such consequences could arise if, among other things, the following occur:</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Improper performance of our services</w:t>
      </w:r>
      <w:r>
        <w:rPr>
          <w:rFonts w:ascii="Arial" w:cs="Arial" w:eastAsia="Arial" w:hAnsi="Arial"/>
          <w:sz w:val="18"/>
          <w:szCs w:val="18"/>
          <w:color w:val="auto"/>
        </w:rPr>
        <w:t>. The performance of clinical development services is complex and time-consuming. For example, we may make</w:t>
      </w:r>
      <w:r>
        <w:rPr>
          <w:rFonts w:ascii="Arial" w:cs="Arial" w:eastAsia="Arial" w:hAnsi="Arial"/>
          <w:sz w:val="18"/>
          <w:szCs w:val="18"/>
          <w:i w:val="1"/>
          <w:iCs w:val="1"/>
          <w:color w:val="auto"/>
        </w:rPr>
        <w:t xml:space="preserve"> </w:t>
      </w:r>
      <w:r>
        <w:rPr>
          <w:rFonts w:ascii="Arial" w:cs="Arial" w:eastAsia="Arial" w:hAnsi="Arial"/>
          <w:sz w:val="18"/>
          <w:szCs w:val="18"/>
          <w:color w:val="auto"/>
        </w:rPr>
        <w:t>mistakes in conducting a clinical trial that could negatively impact or obviate the usefulness of results of the trial or cause the results of the trial to be reported improperly. If the trial results are compromised, we could be subject to significant costs or liability, which could have an adverse impact on our ability to perform our services and our reputation would be harmed. As examples:</w:t>
      </w:r>
    </w:p>
    <w:p>
      <w:pPr>
        <w:spacing w:after="0" w:line="79" w:lineRule="exact"/>
        <w:rPr>
          <w:sz w:val="20"/>
          <w:szCs w:val="20"/>
          <w:color w:val="auto"/>
        </w:rPr>
      </w:pPr>
    </w:p>
    <w:p>
      <w:pPr>
        <w:ind w:left="860" w:right="420" w:hanging="379"/>
        <w:spacing w:after="0" w:line="258" w:lineRule="auto"/>
        <w:tabs>
          <w:tab w:leader="none" w:pos="8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non-compliance generally could result in the termination of ongoing clinical trials or the disqualification of data for submission to regulatory authorities;</w:t>
      </w:r>
    </w:p>
    <w:p>
      <w:pPr>
        <w:spacing w:after="0" w:line="1" w:lineRule="exact"/>
        <w:rPr>
          <w:rFonts w:ascii="MS PGothic" w:cs="MS PGothic" w:eastAsia="MS PGothic" w:hAnsi="MS PGothic"/>
          <w:sz w:val="18"/>
          <w:szCs w:val="18"/>
          <w:color w:val="auto"/>
        </w:rPr>
      </w:pPr>
    </w:p>
    <w:p>
      <w:pPr>
        <w:ind w:left="860" w:right="40" w:hanging="379"/>
        <w:spacing w:after="0" w:line="250" w:lineRule="auto"/>
        <w:tabs>
          <w:tab w:leader="none" w:pos="8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non-compliance could compromise data from a particular trial, such as failure to verify that adequate informed consent was obtained from patients, which could require us to repeat the trial under the terms of our contract at no further cost to our customer, but at a potentially substantial cost to us; and</w:t>
      </w:r>
    </w:p>
    <w:p>
      <w:pPr>
        <w:spacing w:after="0" w:line="1" w:lineRule="exact"/>
        <w:rPr>
          <w:rFonts w:ascii="MS PGothic" w:cs="MS PGothic" w:eastAsia="MS PGothic" w:hAnsi="MS PGothic"/>
          <w:sz w:val="18"/>
          <w:szCs w:val="18"/>
          <w:color w:val="auto"/>
        </w:rPr>
      </w:pPr>
    </w:p>
    <w:p>
      <w:pPr>
        <w:ind w:left="860" w:hanging="379"/>
        <w:spacing w:after="0"/>
        <w:tabs>
          <w:tab w:leader="none" w:pos="8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breach of a contractual term could result in liability for damages or termination of the contract.</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services we provide in connection with large clinical trials can cost tens of millions of dollars, and while we endeavor to contractually limit our exposure to such risks, improper performance of our services could have a material adverse effect on our financial condition, damage our reputation and result in the cancellation of current contracts by the affected customer or other current customers or failure to obtain future contracts from the affected customer or other current or potential customers.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Investigation of customers. </w:t>
      </w:r>
      <w:r>
        <w:rPr>
          <w:rFonts w:ascii="Arial" w:cs="Arial" w:eastAsia="Arial" w:hAnsi="Arial"/>
          <w:sz w:val="17"/>
          <w:szCs w:val="17"/>
          <w:color w:val="auto"/>
        </w:rPr>
        <w:t>From time to time, one or more of our customers are investigated by regulatory authorities or enforcement agencies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compliance of their clinical trials, programs or the marketing and sale of their drugs. In these situations, we have often provided services to our customers with respect to the clinical trials, programs or activities being investigated, and we are called upon to respond to requests for information by the authorities and agencies. There is a risk that either our customers or regulatory authorities could claim that we performed our services improperly or that we are responsible for clinical trial or program compliance. If our customers or regulatory authorities make such claims against us, we could be subject to significant costs in defending our activities and potential damages, fines or penalties. In addition, negative publicity regarding regulatory compliance of our customers’ clinical trials, programs or products could have an adverse effect on our business and reputation.</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Insufficient customer funding to complete a clinical trial. </w:t>
      </w:r>
      <w:r>
        <w:rPr>
          <w:rFonts w:ascii="Arial" w:cs="Arial" w:eastAsia="Arial" w:hAnsi="Arial"/>
          <w:sz w:val="18"/>
          <w:szCs w:val="18"/>
          <w:color w:val="auto"/>
        </w:rPr>
        <w:t>As noted above, clinical trials can cost tens of millions of dollars. There is a risk that we may initiate</w:t>
      </w:r>
      <w:r>
        <w:rPr>
          <w:rFonts w:ascii="Arial" w:cs="Arial" w:eastAsia="Arial" w:hAnsi="Arial"/>
          <w:sz w:val="18"/>
          <w:szCs w:val="18"/>
          <w:i w:val="1"/>
          <w:iCs w:val="1"/>
          <w:color w:val="auto"/>
        </w:rPr>
        <w:t xml:space="preserve"> </w:t>
      </w:r>
      <w:r>
        <w:rPr>
          <w:rFonts w:ascii="Arial" w:cs="Arial" w:eastAsia="Arial" w:hAnsi="Arial"/>
          <w:sz w:val="18"/>
          <w:szCs w:val="18"/>
          <w:color w:val="auto"/>
        </w:rPr>
        <w:t>a clinical trial for a customer, and then the customer becomes unwilling or unable to fund the completion of the trial. In such a situation, notwithstanding the customer’s ability or willingness to pay for or otherwise facilitate the completion of the trial, we may be ethically bound to complete or wind down the trial at our own expense.</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Interactive voice/web response service malfunction. </w:t>
      </w:r>
      <w:r>
        <w:rPr>
          <w:rFonts w:ascii="Arial" w:cs="Arial" w:eastAsia="Arial" w:hAnsi="Arial"/>
          <w:sz w:val="18"/>
          <w:szCs w:val="18"/>
          <w:color w:val="auto"/>
        </w:rPr>
        <w:t>We develop and maintain our own, and also use third-parties to run, interactive voice/web 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These systems automatically manage the randomization of patients in a given clinical trial to different treatment arms and regulate the supply of investigational drugs. An error in the design, programming or validation of these systems could lead to inappropriate assignment or dosing of patients which could give rise to patient safety issues, invalidation of the trial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liability claims against us. Furthermore, negative publicity associated with such a malfunction could have an adverse effect on our business and reputation.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Additionally, errors in randomization may require us to repeat the trial at no further cost to our customer, but at a substantial cost to us.</w:t>
      </w:r>
    </w:p>
    <w:p>
      <w:pPr>
        <w:spacing w:after="0" w:line="21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addition to the above U.S. laws and regulations, we must comply with the laws of all countries where we do business, including laws governing clinical trials in the jurisdiction where the trials are performed. Failure to comply with applicable requirements could subject us to regulatory risk, liability and potential costs associated with redoing the trials, which could damage our reputation and adversely affect our operating results.</w:t>
      </w:r>
    </w:p>
    <w:p>
      <w:pPr>
        <w:spacing w:after="0" w:line="16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bear financial risk if we underprice our fixed-fee contracts or overrun cost estimates, and our financial results can also be adversely affected by failure to receive approval for change orders or delays in documenting change orders.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majority of our Phase I–IV contracts are fixed-fee contracts. We bear the financial risk if we initially underprice our contracts or otherwise overrun our cost estimates. In addition, contracts with our customers are subject to change orders, which we commonly experience and which occur when the scope of work we perform needs to be modified from that originally contemplated by our contract with the customer. Modifications can occur, for example, when there is a change in a key trial assumption or parameter, a significant change in timing or a change in staffing needs. Furthermore, we may be unable to successfully negotiate changes in scope or change orders on a timely basis or at all, which could require us to incur cost outlays ahead of the receipt of any additional revenue. In addition, under U.S. GAAP, we cannot recognize additional revenue anticipated from change orders until appropriate documentation is received by us from the customer authorizing the change. However, if we incur additional expense in anticipation of receipt of that documentation, we must recognize the expense as incurred. Such underpricing, significant cost overruns or delay in documentation of change orders could have a material adverse effect on our business, results of operations, financial condition or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successfully execute our growth strategies, our results of operations or financial condition could be adversely affected.</w:t>
      </w:r>
    </w:p>
    <w:p>
      <w:pPr>
        <w:spacing w:after="0" w:line="1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key growth strategies include: continued organic growth, continued maintenance of industry-leading margins (compared to our public competitors), increasing capture of the high-growth clinical development market, deepening existing and developing new relationships with our core customer segment, pursuing selective and complementary bolt-on acquisitions and increasing our capture of the large pharmaceutical company market. Though we will strive to meet these goals, we may not have or adequately build the competencies necessary to achieve our objectives. In addition, we may not receive market acceptance for our services and we may face increased competition. If we are unable to successfully continue our organic growth, continue to maintain our margins, increase our capture of the clinical development market, deepen existing and develop new relationships with our core customer segment, pursue complementary and non-transformative acquisitions or attract additional large pharmaceutical company customers, our future business, reputation, results of operations and financial condition could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lose the services of key personnel or are unable to recruit experienced personnel, our business could be adversely affected.</w:t>
      </w:r>
    </w:p>
    <w:p>
      <w:pPr>
        <w:spacing w:after="0" w:line="11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Our success substantially depends on the collective performance, contributions and expertise of our senior management team, including Dr. August J. Troendle, our Chief Executive Officer and founder, and other key personnel including qualified management, professional, scientific and technical operating staff. There is significant competition for qualified personnel in the biopharmaceutical services industry, particularly for those with higher educational degrees, such as a medical or nursing degree, a Doctor of Philosophy, or Ph.D., or an equivalent degree, and our industry generally tends to experience relatively high levels of employee turnover. If any of our key employees were to join a competitor or to form a competing company, some of our customers might choose to use the services of that competitor or new company instead of our own. Furthermore, customers or other companies seeking to develop in-house capabilities may hire some of our senior management or other key employees. The departure of any key contributor, the payment of increased compensation to attract and retain qualified personnel or our inability to continue to identify, attract and retain qualified personnel or replace any departed personnel in a timely fashion may impact our ability to grow our business and compete effectively in our industry and may negatively affect our business, financial condition, results of operations, cash flows or reputation.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ind w:right="40"/>
        <w:spacing w:after="0" w:line="308" w:lineRule="auto"/>
        <w:rPr>
          <w:sz w:val="20"/>
          <w:szCs w:val="20"/>
          <w:color w:val="auto"/>
        </w:rPr>
      </w:pPr>
      <w:r>
        <w:rPr>
          <w:rFonts w:ascii="Arial" w:cs="Arial" w:eastAsia="Arial" w:hAnsi="Arial"/>
          <w:sz w:val="17"/>
          <w:szCs w:val="17"/>
          <w:b w:val="1"/>
          <w:bCs w:val="1"/>
          <w:i w:val="1"/>
          <w:iCs w:val="1"/>
          <w:color w:val="auto"/>
        </w:rPr>
        <w:t>Our business depends on the continued effectiveness and availability of our information systems, including the information systems we use to provide our services to our customers, such as ClinTrak, and failures of these systems may materially limit our operations.</w:t>
      </w:r>
    </w:p>
    <w:p>
      <w:pPr>
        <w:spacing w:after="0" w:line="38"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Due to the global nature of our business and our reliance on information systems to provide our services, we intend to increase our use of web-enabled and other integrated information systems in delivering our services. We already provide access to such an information system, ClinTrak, to certain of our customers in connection with the services we provide to them. As the breadth and complexity of our information systems continue to grow, we will increasingly be exposed to the risks inherent in the development, integration and ongoing operation of evolving information systems, including:</w:t>
      </w:r>
    </w:p>
    <w:p>
      <w:pPr>
        <w:spacing w:after="0" w:line="46" w:lineRule="exact"/>
        <w:rPr>
          <w:sz w:val="20"/>
          <w:szCs w:val="20"/>
          <w:color w:val="auto"/>
        </w:rPr>
      </w:pPr>
    </w:p>
    <w:p>
      <w:pPr>
        <w:ind w:left="860" w:hanging="379"/>
        <w:spacing w:after="0"/>
        <w:tabs>
          <w:tab w:leader="none" w:pos="86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disruption, impairment or failure of data centers, telecommunications facilities or other key infrastructure platforms;</w:t>
      </w:r>
    </w:p>
    <w:p>
      <w:pPr>
        <w:spacing w:after="0" w:line="25" w:lineRule="exact"/>
        <w:rPr>
          <w:rFonts w:ascii="MS PGothic" w:cs="MS PGothic" w:eastAsia="MS PGothic" w:hAnsi="MS PGothic"/>
          <w:sz w:val="18"/>
          <w:szCs w:val="18"/>
          <w:color w:val="auto"/>
        </w:rPr>
      </w:pPr>
    </w:p>
    <w:p>
      <w:pPr>
        <w:ind w:left="860" w:hanging="379"/>
        <w:spacing w:after="0"/>
        <w:tabs>
          <w:tab w:leader="none" w:pos="8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security breaches of, cyberattacks on and other failures or malfunctions in our critical application systems or their associated hardware; and</w:t>
      </w:r>
    </w:p>
    <w:p>
      <w:pPr>
        <w:spacing w:after="0" w:line="20" w:lineRule="exact"/>
        <w:rPr>
          <w:rFonts w:ascii="MS PGothic" w:cs="MS PGothic" w:eastAsia="MS PGothic" w:hAnsi="MS PGothic"/>
          <w:sz w:val="17"/>
          <w:szCs w:val="17"/>
          <w:color w:val="auto"/>
        </w:rPr>
      </w:pPr>
    </w:p>
    <w:p>
      <w:pPr>
        <w:ind w:left="860" w:hanging="379"/>
        <w:spacing w:after="0"/>
        <w:tabs>
          <w:tab w:leader="none" w:pos="86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excessive costs, excessive delays or other deficiencies in systems development and deployment.</w:t>
      </w:r>
    </w:p>
    <w:p>
      <w:pPr>
        <w:spacing w:after="0" w:line="20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materialization of any of these risks may impede the processing of data, the delivery of databases and services and the day-to-day management of our business and could result in the corruption, loss or unauthorized disclosure of proprietary, confidential or other data. While we have disaster recovery plans in place, they might not adequately protect us in the event of a system failure. Despite any precautions we take, damage from fire, floods, hurricanes, power loss, telecommunications failures, computer viruses, information system security breaches and similar events at our facilities or at those of our third party provider that backs up our data centers could result in interruptions in the flow of data to our servers and from our servers to our customers. Corruption or loss of data may result in the need to repeat a trial at no cost to the customer, but at significant cost to us, or result in the termination of a contract or damage to our reputation. Moreover, regulatory authorities may impose requirements on the use of electronic records and signatures for regulatory purposes. For example, FDA’s regulations at 21 CFR Part 11 establish the criteria pursuant to which the FDA will consider electronic records and signatures to be trustworthy, reliable, and generally equivalent to paper records and handwritten signatures. Any failures to comply with those regulatory requirements could impact our customers’ ability to rely on the data contained in those electronic records in our systems or result in the FDA’s rejection of the data. Additionally, in order for our information systems to continue to be effective going forward, we periodically need to upgrade our technology systems and increase our capacity to keep pace with technological developments and our growth as a company. Significant delays in system enhancements or inadequate performance of new or upgraded systems once completed could damage our reputation and harm our business. Our operations also may suffer if we are unable to effectively manage the implementation of and adapt to new technology systems. Any such shortcoming may require us to make substantial further investments in our IT platform, which could adversely affect our financial results. Finally, long-term disruptions in the infrastructure caused by events such as natural disasters, the outbreak of war, the escalation of hostilities and acts of terrorism, particularly involving cities in which we have offices, could adversely affect our business. As our business continues to expand globally, these types of risks may be further increased by instability in the geopolitical climate of certain regions, underdeveloped and less stable utilities and communications infrastructure and other local and regional factors. Although we carry property and business interruption insurance, our coverage might not be adequate to compensate us for all losses that may occur.</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Unauthorized disclosure of sensitive or confidential data, whether through system failure or breaches or employee negligence, fraud or misappropriation, could damage our reputation and cause us to lose customers. Similarly, unauthorized access to or through our information systems or those we develop for our customers, whether by our employees or third parties, including a cyberattack by computer programmers and hackers who may develop and deploy viruses, worms or other malicious software programs, could result in negative publicity, significant remediation costs, legal liability and damage to our reputation and could have a material adverse effect on our results of operations. In addition, our liability insurance might not be sufficient in type or amount to adequately cover us against claims related to security breaches, cyberattacks and other related breaches.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if we are unable to manage our growth effectively.</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that sustained growth places a strain on operational, human and financial resources. To manage our growth, we must continue to improve our operating and administrative systems and to attract and retain qualified management, professional, scientific and technical operating personnel. We believe that maintaining and enhancing both our systems and personnel at reasonable cost are instrumental to our success. We cannot assure you that we will be able to enhance our current technology or obtain new technology that will enable our systems to keep pace with developments and the needs of our customers. The nature and pace of our growth introduces risks associated with quality control and customer dissatisfaction due to delays in performance or other problems. In addition, foreign operations involve the additional risks of assimilating differences in foreign business practices, hiring and retaining qualified personnel and overcoming language barriers. Failure to manage growth effectively could have a material adverse effect on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right="300"/>
        <w:spacing w:after="0" w:line="277" w:lineRule="auto"/>
        <w:rPr>
          <w:sz w:val="20"/>
          <w:szCs w:val="20"/>
          <w:color w:val="auto"/>
        </w:rPr>
      </w:pPr>
      <w:r>
        <w:rPr>
          <w:rFonts w:ascii="Arial" w:cs="Arial" w:eastAsia="Arial" w:hAnsi="Arial"/>
          <w:sz w:val="18"/>
          <w:szCs w:val="18"/>
          <w:b w:val="1"/>
          <w:bCs w:val="1"/>
          <w:i w:val="1"/>
          <w:iCs w:val="1"/>
          <w:color w:val="auto"/>
        </w:rPr>
        <w:t>Our customer or therapeutic area concentration may have a material adverse effect on our business, financial condition, results of operations or cash flows.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Although we did not have any customer that represented 10% or more of our net service revenue during the nine months ended September 30, 2016 or the year ended December 31, 2015, we derive a significant portion of our revenues from a limited number of large customers. For the nine months ended September 30, 2016, we derived 38.3% and 6.6% of our net service revenue from our top 10 customers and our largest customer, respectively. For the year ended December 31, 2015, we derived 39.9% and 6.9% of our net service revenue from our top 10 customers and our largest customer, respectively. For more information about our largest customer, Coherus, see Note 11 to our unaudited condensed consolidated financial statements in Item 1 of Part I of this Quarterly Report on Form 10-Q. In addition, approximately 41.5% and 7.4% of our backlog, as of September 30, 2016, was concentrated among our top 10 customers and our largest customer by backlog concentration, respectively. Moreover, 2.7% of our backlog, as of September 30, 2016, was concentrated with our largest customer by net service revenue. If any large customer decreases or terminates its relationship with us, our business, financial condition, results of operations or cash flows could be materially adversely affected. Also, consolidation in our actual or potential customer base results in increased competition for important market segments and fewer available customer accounts.</w:t>
      </w:r>
    </w:p>
    <w:p>
      <w:pPr>
        <w:spacing w:after="0" w:line="17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Additionally, conducting multiple clinical trials for different sponsors in a single therapeutic class, involving similar drugs, biologics or medical devices, may adversely affect our business if some or all of the trials are terminated because of new scientific information or regulatory decisions that affect the products as a class. Moreover, even if these trials are not terminated, they may compete with each other, thereby limiting our potential revenue going forward.</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subject to international economic, political and other risks that could negatively affect our results of operations and financial condition.</w:t>
      </w:r>
    </w:p>
    <w:p>
      <w:pPr>
        <w:spacing w:after="0" w:line="1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significant operations in foreign countries, including, but not limited to, countries in Europe, Latin America, Asia, the Middle East and Africa, that may require complex arrangements to deliver services on global contracts for our customers. As of September 30, 2016 and December 31, 2015, approximately 33% and 34% of our workforce was located outside of North America, respectively, and for the nine months ended September 30, 2016 and the year ended December 31, 2015, 9.3% and 8.4% of our revenue was denominated in currencies other than the U.S. dollar, respectively. As a result, we are subject to heightened risks inherent in conducting business internationally, including the following:</w:t>
      </w:r>
    </w:p>
    <w:p>
      <w:pPr>
        <w:spacing w:after="0" w:line="64" w:lineRule="exact"/>
        <w:rPr>
          <w:sz w:val="20"/>
          <w:szCs w:val="20"/>
          <w:color w:val="auto"/>
        </w:rPr>
      </w:pPr>
    </w:p>
    <w:p>
      <w:pPr>
        <w:ind w:left="860" w:right="80" w:hanging="379"/>
        <w:spacing w:after="0" w:line="256" w:lineRule="auto"/>
        <w:tabs>
          <w:tab w:leader="none" w:pos="8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conducting a single trial across multiple countries is complex, and issues in one country, such as a failure to comply with local regulations or restrictions, may affect the progress of the trial in the other countries, for example, by limiting the amount of data necessary for a trial to proceed, resulting in delays or potential cancellation of contracts, which in turn may result in loss of revenue;</w:t>
      </w:r>
    </w:p>
    <w:p>
      <w:pPr>
        <w:ind w:left="860" w:right="140" w:hanging="379"/>
        <w:spacing w:after="0" w:line="281" w:lineRule="auto"/>
        <w:tabs>
          <w:tab w:leader="none" w:pos="860" w:val="left"/>
        </w:tabs>
        <w:numPr>
          <w:ilvl w:val="0"/>
          <w:numId w:val="10"/>
        </w:numPr>
        <w:rPr>
          <w:rFonts w:ascii="MS PGothic" w:cs="MS PGothic" w:eastAsia="MS PGothic" w:hAnsi="MS PGothic"/>
          <w:sz w:val="16"/>
          <w:szCs w:val="16"/>
          <w:color w:val="auto"/>
        </w:rPr>
      </w:pPr>
      <w:r>
        <w:rPr>
          <w:rFonts w:ascii="Arial" w:cs="Arial" w:eastAsia="Arial" w:hAnsi="Arial"/>
          <w:sz w:val="16"/>
          <w:szCs w:val="16"/>
          <w:color w:val="auto"/>
        </w:rPr>
        <w:t>the United States or other countries could enact legislation or impose regulations or other restrictions, including unfavorable labor regulations or tax policies, which could have an adverse effect on our ability to conduct business in or expatriate profits from those countries;</w:t>
      </w:r>
    </w:p>
    <w:p>
      <w:pPr>
        <w:spacing w:after="0" w:line="1" w:lineRule="exact"/>
        <w:rPr>
          <w:rFonts w:ascii="MS PGothic" w:cs="MS PGothic" w:eastAsia="MS PGothic" w:hAnsi="MS PGothic"/>
          <w:sz w:val="16"/>
          <w:szCs w:val="16"/>
          <w:color w:val="auto"/>
        </w:rPr>
      </w:pPr>
    </w:p>
    <w:p>
      <w:pPr>
        <w:ind w:left="860" w:right="240" w:hanging="379"/>
        <w:spacing w:after="0" w:line="250" w:lineRule="auto"/>
        <w:tabs>
          <w:tab w:leader="none" w:pos="8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tax rates in certain foreign countries may exceed those in the United States and foreign earnings may be subject to withholding requirements or the imposition of tariffs, exchange controls or other restrictions, including restrictions on repatriation;</w:t>
      </w:r>
    </w:p>
    <w:p>
      <w:pPr>
        <w:ind w:left="860" w:right="540" w:hanging="379"/>
        <w:spacing w:after="0" w:line="250" w:lineRule="auto"/>
        <w:tabs>
          <w:tab w:leader="none" w:pos="8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certain foreign countries are expanding or may expand their regulatory framework with respect to patient informed consent, protection and compensation in clinical trials, and privacy, which could delay or inhibit our ability to conduct trials in such jurisdictions or which could materially increase the risks associated with performing trials in such jurisdictions;</w:t>
      </w:r>
    </w:p>
    <w:p>
      <w:pPr>
        <w:spacing w:after="0" w:line="1" w:lineRule="exact"/>
        <w:rPr>
          <w:rFonts w:ascii="MS PGothic" w:cs="MS PGothic" w:eastAsia="MS PGothic" w:hAnsi="MS PGothic"/>
          <w:sz w:val="18"/>
          <w:szCs w:val="18"/>
          <w:color w:val="auto"/>
        </w:rPr>
      </w:pPr>
    </w:p>
    <w:p>
      <w:pPr>
        <w:ind w:left="860" w:right="440" w:hanging="379"/>
        <w:spacing w:after="0" w:line="265" w:lineRule="auto"/>
        <w:tabs>
          <w:tab w:leader="none" w:pos="86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certain foreign countries are expanding or may expand their banking regulations that govern international currency transactions, particularly cross-border transfers, which may inhibit our ability to transfer funds into or within a jurisdiction, impeding our ability to pay our principal investigators, vendors and employees, thereby impacting our ability to conduct trials in such jurisdictions;</w:t>
      </w:r>
    </w:p>
    <w:p>
      <w:pPr>
        <w:ind w:left="860" w:right="60" w:hanging="379"/>
        <w:spacing w:after="0" w:line="250" w:lineRule="auto"/>
        <w:tabs>
          <w:tab w:leader="none" w:pos="8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the regulatory or judicial authorities of foreign countries may not enforce legal rights and recognize business procedures in a manner to which we are accustomed or would reasonably expect;</w:t>
      </w:r>
    </w:p>
    <w:p>
      <w:pPr>
        <w:ind w:left="860" w:right="40" w:hanging="379"/>
        <w:spacing w:after="0" w:line="250" w:lineRule="auto"/>
        <w:tabs>
          <w:tab w:leader="none" w:pos="8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we may have difficulty complying with a variety of laws and regulations in foreign countries, some of which may conflict with laws in the United States;</w:t>
      </w:r>
    </w:p>
    <w:p>
      <w:pPr>
        <w:ind w:left="860" w:right="20" w:hanging="379"/>
        <w:spacing w:after="0" w:line="250" w:lineRule="auto"/>
        <w:tabs>
          <w:tab w:leader="none" w:pos="8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potential violations of existing or newly adopted local laws or anti-bribery laws, such as the United States Foreign Corrupt Practices Act, or FCPA, and the UK Bribery Act of 2010, may cause a material adverse effect on our business, financial condition, results of operations, cash flows or reputation;</w:t>
      </w:r>
    </w:p>
    <w:p>
      <w:pPr>
        <w:spacing w:after="0" w:line="1" w:lineRule="exact"/>
        <w:rPr>
          <w:rFonts w:ascii="MS PGothic" w:cs="MS PGothic" w:eastAsia="MS PGothic" w:hAnsi="MS PGothic"/>
          <w:sz w:val="18"/>
          <w:szCs w:val="18"/>
          <w:color w:val="auto"/>
        </w:rPr>
      </w:pPr>
    </w:p>
    <w:p>
      <w:pPr>
        <w:ind w:left="860" w:right="160" w:hanging="379"/>
        <w:spacing w:after="0" w:line="250" w:lineRule="auto"/>
        <w:tabs>
          <w:tab w:leader="none" w:pos="8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changes in political and economic conditions, including inflation, may lead to changes in the business environment in which we operate, as well as changes in foreign currency exchange rates;</w:t>
      </w:r>
    </w:p>
    <w:p>
      <w:pPr>
        <w:ind w:left="860" w:right="200" w:hanging="379"/>
        <w:spacing w:after="0" w:line="261" w:lineRule="auto"/>
        <w:tabs>
          <w:tab w:leader="none" w:pos="8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foreign governments may enact currency exchange controls that may limit the ability to fund our operations or significantly increase the cost of maintaining operations;</w:t>
      </w:r>
    </w:p>
    <w:p>
      <w:pPr>
        <w:spacing w:after="0" w:line="183" w:lineRule="exact"/>
        <w:rPr>
          <w:rFonts w:ascii="MS PGothic" w:cs="MS PGothic" w:eastAsia="MS PGothic" w:hAnsi="MS PGothic"/>
          <w:sz w:val="18"/>
          <w:szCs w:val="18"/>
          <w:color w:val="auto"/>
        </w:rPr>
      </w:pPr>
    </w:p>
    <w:p>
      <w:pPr>
        <w:ind w:left="5620" w:hanging="101"/>
        <w:spacing w:after="0"/>
        <w:tabs>
          <w:tab w:leader="none" w:pos="5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ind w:left="860" w:hanging="379"/>
        <w:spacing w:after="0"/>
        <w:tabs>
          <w:tab w:leader="none" w:pos="860" w:val="left"/>
        </w:tabs>
        <w:numPr>
          <w:ilvl w:val="0"/>
          <w:numId w:val="11"/>
        </w:numPr>
        <w:rPr>
          <w:rFonts w:ascii="MS PGothic" w:cs="MS PGothic" w:eastAsia="MS PGothic" w:hAnsi="MS PGothic"/>
          <w:sz w:val="16"/>
          <w:szCs w:val="16"/>
          <w:color w:val="auto"/>
        </w:rPr>
      </w:pPr>
      <w:r>
        <w:rPr>
          <w:rFonts w:ascii="Arial" w:cs="Arial" w:eastAsia="Arial" w:hAnsi="Arial"/>
          <w:sz w:val="16"/>
          <w:szCs w:val="16"/>
          <w:color w:val="auto"/>
        </w:rPr>
        <w:t>customers in foreign jurisdictions may have longer payment cycles, and it may be more difficult to collect receivables in foreign jurisdictions; and</w:t>
      </w:r>
    </w:p>
    <w:p>
      <w:pPr>
        <w:spacing w:after="0" w:line="48" w:lineRule="exact"/>
        <w:rPr>
          <w:rFonts w:ascii="MS PGothic" w:cs="MS PGothic" w:eastAsia="MS PGothic" w:hAnsi="MS PGothic"/>
          <w:sz w:val="16"/>
          <w:szCs w:val="16"/>
          <w:color w:val="auto"/>
        </w:rPr>
      </w:pPr>
    </w:p>
    <w:p>
      <w:pPr>
        <w:ind w:left="860" w:right="60" w:hanging="379"/>
        <w:spacing w:after="0" w:line="259" w:lineRule="auto"/>
        <w:tabs>
          <w:tab w:leader="none" w:pos="86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natural disasters, pandemics or international conflict, including terrorist acts, could interrupt our services, endanger our personnel or cause project delays or loss of trial materials or results.</w:t>
      </w:r>
    </w:p>
    <w:p>
      <w:pPr>
        <w:spacing w:after="0" w:line="18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These risks and uncertainties could negatively impact our ability to, among other things, perform large, global projects for our customers. Furthermore, our ability to deal with these issues could be affected by applicable U.S. laws and the need to protect our assets. In addition, we may be more susceptible to these risks as we enter and continue to target growth in emerging countries and regions, including Asia, Eastern Europe and Latin America, which may be subject to a relatively higher risk of political instability, economic volatility, crime, corruption and social and ethnic unrest, all of which are exacerbated in many cases by a lack of an independent and experienced judiciary and uncertainties in how local law is applied and enforced. The materialization of any such risks could have an adverse impact on our financial condition, results of operations, cash flows or reputation.</w:t>
      </w:r>
    </w:p>
    <w:p>
      <w:pPr>
        <w:spacing w:after="0" w:line="17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Due to the global nature of our business, we may be exposed to liabilities under the Foreign Corrupt Practices Act and various other anti-corruption laws, and any allegation or determination that we violated these laws could have a material adverse effect on our business.</w:t>
      </w:r>
    </w:p>
    <w:p>
      <w:pPr>
        <w:spacing w:after="0" w:line="3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required to comply with the FCPA, UK Bribery Act of 2010 and other U.S. and foreign anti-corruption laws, which prohibit companies from engaging in bribery including corruptly or improperly offering, promising, or providing money or anything else of value to foreign officials and certain other recipients. In addition, the FCPA imposes certain books, records and accounting control obligations on public companies and other issuers. We operate in parts of the world in which corruption can be common and compliance with anti-bribery laws may conflict with local customs and practices. Our global operations face the risk of unauthorized payments or offers being made by employees, consultants, sales agents and other business partners outside of our control or without our authorization. It is our policy to implement safeguards (including mandatory training) to prohibit these practices by our employees and business partners with respect to our operations. However, irrespective of these safeguards, or as a result of monitoring compliance with such safeguards, it is possible that we or certain other parties may discover or receive information at some point that certain employees, consultants, sales agents, or other business partners may have engaged in corrupt conduct for which we might be held responsible. Violations of the FCPA or other foreign anti-corruption laws may result in restatements of, or irregularities in, our financial statements as well as severe criminal or civil sanctions, and we may be subject to other liabilities, which could negatively affect our business, operating results and financial condition. In some cases, companies that violate the FCPA may be debarred by the U.S. government and/or lose their U.S. export privileges. Changes in anti-corruption laws or enforcement priorities could also result in increased compliance requirements and related costs which could adversely affect our business, financial condition and results of operations. In addition, the U.S. or other governments may seek to hold us liable for successor liability FCPA violations or violations of other anti-corruption laws committed by companies in which we invest or that we acquired or will acquire.</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the past, we have had net losses and we may report net losses in the future, which could negatively impact our ability to achieve or sustain profitability.</w:t>
      </w:r>
    </w:p>
    <w:p>
      <w:pPr>
        <w:spacing w:after="0" w:line="15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the past, we have had net losses and we cannot assure you that we will achieve or sustain profitability on a quarterly or annual basis in the future. For the nine months ended September 30, 2016 and the year ended December 31, 2015, our net income (loss) was $13.4 million, and $(8.7) million, respectively. If we cannot reach or maintain profitability, the value of our stock price may be impacted.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income tax rate may fluctuate, which may adversely affect our operations, earnings and earnings per share.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effective income tax rate is influenced by our projected profitability in the various taxing jurisdictions in which we operate. The global nature of our business increases our tax risks. In addition, for various reasons, revenue authorities in many of the jurisdictions in which we operate are known to have become more active in their tax collection activities. Changes in the distribution of profits and losses among taxing jurisdictions may have a significant impact on our effective income tax rate, which in turn could have an adverse effect on our net income and earnings per share. The application of tax laws in various taxing jurisdictions, including the United States, is subject to interpretation, and tax authorities in various jurisdictions may have diverging and sometimes conflicting interpretations of the application of tax laws. Changes in tax laws or tax rulings, in the United States or other tax jurisdictions in which we operate, could materially impact our effective tax 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affect our effective income tax rate include, but are not limited to:</w:t>
      </w:r>
    </w:p>
    <w:p>
      <w:pPr>
        <w:spacing w:after="0" w:line="117" w:lineRule="exact"/>
        <w:rPr>
          <w:sz w:val="20"/>
          <w:szCs w:val="20"/>
          <w:color w:val="auto"/>
        </w:rPr>
      </w:pPr>
    </w:p>
    <w:p>
      <w:pPr>
        <w:ind w:left="860" w:right="40" w:hanging="379"/>
        <w:spacing w:after="0" w:line="258" w:lineRule="auto"/>
        <w:tabs>
          <w:tab w:leader="none" w:pos="86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the requirement to exclude from our quarterly worldwide effective income tax calculations losses in jurisdictions where no income tax benefit can be recognized;</w:t>
      </w:r>
    </w:p>
    <w:p>
      <w:pPr>
        <w:spacing w:after="0" w:line="1" w:lineRule="exact"/>
        <w:rPr>
          <w:rFonts w:ascii="MS PGothic" w:cs="MS PGothic" w:eastAsia="MS PGothic" w:hAnsi="MS PGothic"/>
          <w:sz w:val="18"/>
          <w:szCs w:val="18"/>
          <w:color w:val="auto"/>
        </w:rPr>
      </w:pPr>
    </w:p>
    <w:p>
      <w:pPr>
        <w:ind w:left="860" w:hanging="379"/>
        <w:spacing w:after="0"/>
        <w:tabs>
          <w:tab w:leader="none" w:pos="860" w:val="left"/>
        </w:tabs>
        <w:numPr>
          <w:ilvl w:val="0"/>
          <w:numId w:val="12"/>
        </w:numPr>
        <w:rPr>
          <w:rFonts w:ascii="MS PGothic" w:cs="MS PGothic" w:eastAsia="MS PGothic" w:hAnsi="MS PGothic"/>
          <w:sz w:val="16"/>
          <w:szCs w:val="16"/>
          <w:color w:val="auto"/>
        </w:rPr>
      </w:pPr>
      <w:r>
        <w:rPr>
          <w:rFonts w:ascii="Arial" w:cs="Arial" w:eastAsia="Arial" w:hAnsi="Arial"/>
          <w:sz w:val="16"/>
          <w:szCs w:val="16"/>
          <w:color w:val="auto"/>
        </w:rPr>
        <w:t>actual and projected full year pre-tax income, including differences between actual and anticipated income before taxes in various jurisdictions;</w:t>
      </w:r>
    </w:p>
    <w:p>
      <w:pPr>
        <w:spacing w:after="0" w:line="33" w:lineRule="exact"/>
        <w:rPr>
          <w:rFonts w:ascii="MS PGothic" w:cs="MS PGothic" w:eastAsia="MS PGothic" w:hAnsi="MS PGothic"/>
          <w:sz w:val="16"/>
          <w:szCs w:val="16"/>
          <w:color w:val="auto"/>
        </w:rPr>
      </w:pPr>
    </w:p>
    <w:p>
      <w:pPr>
        <w:ind w:left="860" w:hanging="379"/>
        <w:spacing w:after="0"/>
        <w:tabs>
          <w:tab w:leader="none" w:pos="86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changes in tax laws, or in the interpretation or application of tax laws, in various taxing jurisdictions;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audits or other challenges by taxing authorities;</w:t>
      </w:r>
    </w:p>
    <w:p>
      <w:pPr>
        <w:spacing w:after="0" w:line="209" w:lineRule="exact"/>
        <w:rPr>
          <w:rFonts w:ascii="MS PGothic" w:cs="MS PGothic" w:eastAsia="MS PGothic" w:hAnsi="MS PGothic"/>
          <w:sz w:val="18"/>
          <w:szCs w:val="18"/>
          <w:color w:val="auto"/>
        </w:rPr>
      </w:pPr>
    </w:p>
    <w:p>
      <w:pPr>
        <w:ind w:left="5620" w:hanging="101"/>
        <w:spacing w:after="0"/>
        <w:tabs>
          <w:tab w:leader="none" w:pos="5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ind w:left="860" w:right="100" w:hanging="379"/>
        <w:spacing w:after="0" w:line="258" w:lineRule="auto"/>
        <w:tabs>
          <w:tab w:leader="none" w:pos="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the establishment of valuation allowances against a portion or all of certain deferred income tax assets if we determined that it is more likely than not that future income tax benefits will not be realized; and</w:t>
      </w:r>
    </w:p>
    <w:p>
      <w:pPr>
        <w:spacing w:after="0" w:line="1" w:lineRule="exact"/>
        <w:rPr>
          <w:rFonts w:ascii="MS PGothic" w:cs="MS PGothic" w:eastAsia="MS PGothic" w:hAnsi="MS PGothic"/>
          <w:sz w:val="18"/>
          <w:szCs w:val="18"/>
          <w:color w:val="auto"/>
        </w:rPr>
      </w:pPr>
    </w:p>
    <w:p>
      <w:pPr>
        <w:ind w:left="860" w:hanging="379"/>
        <w:spacing w:after="0"/>
        <w:tabs>
          <w:tab w:leader="none" w:pos="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changes in the relative mix and size of clinical trials and staffing levels in various tax jurisdictions.</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These changes may cause fluctuations in our effective income tax rate that could adversely affect our results of operations and cause fluctuations in our earnings and earnings per share.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Governmental authorities may question our intercompany transfer pricing policies or change their laws in a manner that could increase our effective tax rate or otherwise harm our business.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a U.S. company doing business in international markets through subsidiaries, we are subject to foreign tax and intercompany pricing laws, including those relating to the flow of funds between the parent and subsidiaries. Tax authorities in the United States and in foreign markets closely monitor our corporate structure and how we account for intercompany fund transfers. If tax authorities challenge our corporate structure, transfer pricing mechanisms or intercompany transfers, our operations may be negatively impacted and our effective tax rate may increase. Tax rates vary from country to country and if regulators determine that our profits in one jurisdiction should be increased, we might not be able to fully utilize all foreign tax credits that are generated, which would increase our effective tax rate. Additionally, the Organization for Economic Cooperation and Development, or OECD, has issued certain proposed guidelines regarding base erosion and profit sharing. Once these guidelines are formally adopted by the OECD, it is possible that separate taxing jurisdictions may also adopt some form of these guidelines. In such case, we may need to change our approach to intercompany transfer pricing in order to maintain compliance under the new rules. Our effective tax rate may increase or decrease depending on the current location of global operations at the time of the change. Finally, we might not always be in compliance with all applicable customs, exchange control, Value Added Tax and transfer pricing laws despite our efforts to be aware of and to comply with such laws. In such case, we may need to adjust our operating procedures and our business could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recruit suitable investigators and enroll patients for our customers’ clinical trials, our clinical development business may suffer.</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recruitment of investigators and patients for clinical trials is essential to our business. Investigators are typically located at hospitals, clinics or other sites and supervise the administration of the investigational drug, biologic or device to patients during the course of a clinical trial. Patients typically include people from the communities in which the clinical trials are conducted. Our clinical development business could be adversely affected if we are unable to attract suitable and willing investigators or patients for clinical trials on a consistent basis. For example, if we are unable to engage investigators to conduct clinical trials as planned or enroll sufficient patients in clinical trials, we may need to expend additional funds to obtain access to resources or else be compelled to delay or modify the clinical trial plans, which may result in additional costs to us. These considerations might result in our being unable to successfully achieve our projected development timelines, or potentially even lead to the termination of ongoing clinical trials or development of a product.</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research and development services could subject us to potential liability that may adversely affect our results of operations and financial condition.</w:t>
      </w:r>
    </w:p>
    <w:p>
      <w:pPr>
        <w:spacing w:after="0" w:line="15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Our business involves the testing of new drugs, biologics and medical devices on patients in clinical trials. Our involvement in the clinical trial and development process creates a risk of liability for personal injury to or death of patients, particularly for those with life-threatening illnesses, resulting from adverse reactions to the products administered during testing or after regulatory approval. For example, we may be sued in the future by individuals alleging personal injury due to their participation in clinical trials and seeking damages from us under a variety of legal theories. If we are required to pay damages or incur defense costs in connection with any personal injury claim that is outside the scope of indemnification agreements we have with our customers, if any indemnification agreement is not performed in accordance with its terms or if our liability exceeds the amount of any applicable indemnification limits or available insurance coverage, our business, financial condition, results of operations, cash flows or reputation could be materially and adversely affected. We might also not be able to obtain adequate insurance or indemnification for these types of risks at reasonable rates in the future.</w:t>
      </w:r>
    </w:p>
    <w:p>
      <w:pPr>
        <w:spacing w:after="0" w:line="16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also contract with institutions and physicians to serve as investigators in conducting clinical trials. Investigators are typically located at hospitals, clinics or other sites and supervise the administration of the investigational products to patients during the course of a clinical trial. If the investigators or study staff commit errors or make omissions during a clinical trial that result in harm to trial patients, or patients suffer harm with a delayed onset after a clinical trial is completed and the product has obtained regulatory approval, claims for personal injury or products liability damages may result. Additionally, if the investigators engage in fraudulent or negligent behavior, trial data may be compromised, which may require us to repeat the clinical trial or subject us to liability or regulatory action. We do not believe we are legally responsible for the medical care rendered by such third party investigators, and we would vigorously defend any claims brought against us. However, it is possible we could be found liable for claims with respect to the actions of third party investigators and the institutions at which clinical trials may be conducted.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ind w:right="60"/>
        <w:spacing w:after="0" w:line="277" w:lineRule="auto"/>
        <w:rPr>
          <w:sz w:val="20"/>
          <w:szCs w:val="20"/>
          <w:color w:val="auto"/>
        </w:rPr>
      </w:pPr>
      <w:r>
        <w:rPr>
          <w:rFonts w:ascii="Arial" w:cs="Arial" w:eastAsia="Arial" w:hAnsi="Arial"/>
          <w:sz w:val="18"/>
          <w:szCs w:val="18"/>
          <w:b w:val="1"/>
          <w:bCs w:val="1"/>
          <w:i w:val="1"/>
          <w:iCs w:val="1"/>
          <w:color w:val="auto"/>
        </w:rPr>
        <w:t>Some of our services involve direct interaction with clinical trial patients and operation of a Phase I clinical facility, which could create potential liability that may adversely affect our results of operations and financial condition.</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operate a facility where Phase I clinical trials are conducted, which ordinarily involve testing an investigational drug, biologic or medical device on a limited number of individuals to evaluate its safety, determine a safe dosage range and identify side effects. Failure to operate such a facility and clinical trials in accordance with FDA, DEA and other applicable regulations could result in disruptions to our operations. Additionally, we face risks associated with adverse events resulting from the administration of such drugs, biologics and medical devices and the professional malpractice of medical care providers. We also directly employ nurses and other trained employees who assist in implementing the testing involved in our clinical trials, such as drawing blood from subjects. Any professional malpractice or negligence by such investigators, nurses or other employees could potentially result in liability to us in the event of personal injury to or death of a subject in clinical trials. This liability, particularly if it were to exceed the limits of any indemnification agreements and insurance coverage we may have, may adversely affect our financial condition, results of operations and reputation.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cover all of our indemnification obligations and other liabilities associated with our operations.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maintain insurance designed to provide coverage for ordinary risks associated with our operations and our ordinary indemnification obligations, which we believe to be customary for our industry. The coverage provided by such insurance may not be adequate for all claims we may make or may be contested by our insurance carriers. If our insurance is not adequate or available to pay liabilities associated with our operations, or if we are unable to purchase adequate insurance at reasonable rates in the future, our business, financial condition, results of operations or cash flows may be materially adversely impacted.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rate fluctuations may have a material adverse effect on our business, financial condition, results of operations or cash flows.</w:t>
      </w:r>
    </w:p>
    <w:p>
      <w:pPr>
        <w:spacing w:after="0" w:line="1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For the nine months ended September 30, 2016 and the year ended December 31, 2015, approximately 9.3% and 8.4% of our revenue was denominated in currencies other than U.S. dollars, respectively, and 24.2% and 24.9% of our operational costs, including, but not limited to, salaries, wages and other employee benefits were denominated in foreign currencies, respectively. Of these exposures, 91.7% and 94.9% of our revenue denominated in foreign currencies, respectively, and 46.1% and 46.8% of our operational costs denominated in foreign currencies, respectively, were Euro denominated. Because a large portion of our net service revenue and expenses are denominated in currencies other than the U.S. dollar and our financial statements are reported in U.S. dollars, changes in foreign currency exchange rates could significantly affect our financial condition, results of operations and cash flows.</w:t>
      </w:r>
    </w:p>
    <w:p>
      <w:pPr>
        <w:spacing w:after="0" w:line="16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revenue and expenses of our foreign operations are generally denominated in local currencies and translated into U.S. dollars for financial reporting purposes. Accordingly, exchange rate fluctuations will affect the translation of foreign results into U.S. dollars for purposes of reporting our consolidated results.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foreign currency transaction risk for fluctuations in exchange rates during the period of time between the consummation and cash settlement of a transaction. We earn revenue from our service contracts over a period of several months and, in some cases, over several years. Accordingly, exchange rate fluctuations during such periods may affect our profitability with respect to such contracts.</w:t>
      </w:r>
    </w:p>
    <w:p>
      <w:pPr>
        <w:spacing w:after="0" w:line="18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Additionally, the majority of our global contracts are denominated in U.S. dollars or Euros, while the currency used to fund our operating costs in foreign countries is denominated in various different currencies. Fluctuations in the exchange rates of the currencies we use to contract with our customers and the currencies in which we incur cost to complete those contracts can have a significant impact on our results of operations.</w:t>
      </w:r>
    </w:p>
    <w:p>
      <w:pPr>
        <w:spacing w:after="0" w:line="16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may limit these risks through exchange rate fluctuation provisions stated in our service contracts. We have not, however, mitigated all of our foreign currency transaction risk, and we may experience fluctuations in financial results from our operations outside the United States and foreign currency transaction risk associated with our service contracts.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biopharmaceutical industry is highly competitive, with companies each seeking to persuade payors, providers and patients that their drug therapies are more cost-effective than competing therapies marketed or being developed by competing firms. In addition to the adverse competitive interests that biopharmaceutical companies have with each other, these companies also have adverse interests with respect to drug selection, coverage and reimbursement with other participants in the healthcare industry, including payors and providers. Biopharmaceutical companies also compete to be first to the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deter other biopharmaceutical customers from using our services or, in certain instances, may result in our customers seeking to place limits 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 w:name="page34"/>
    <w:bookmarkEnd w:id="33"/>
    <w:p>
      <w:pPr>
        <w:ind w:right="200"/>
        <w:spacing w:after="0" w:line="257" w:lineRule="auto"/>
        <w:rPr>
          <w:sz w:val="20"/>
          <w:szCs w:val="20"/>
          <w:color w:val="auto"/>
        </w:rPr>
      </w:pPr>
      <w:r>
        <w:rPr>
          <w:rFonts w:ascii="Arial" w:cs="Arial" w:eastAsia="Arial" w:hAnsi="Arial"/>
          <w:sz w:val="18"/>
          <w:szCs w:val="18"/>
          <w:color w:val="auto"/>
        </w:rPr>
        <w:t>our ability to serve their competitors and other industry participants. In addition, our further expansion into the broader healthcare market may adversely impact our relationships with biopharmaceutical customers, and such customers may elect not to use our services, reduce the scope of services that we provide to them or seek to place restrictions on our ability to serve customers in the broader healthcare market with interests that are adverse to theirs. Any loss of customers or reductions in the level of revenues from a customer could have a material adverse effect on our business, financial condition, results of operations or cash flows.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integrate potential future acquisitions, our business, financial condition, results of operations and cash flows could be adversely affected.</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anticipate that a portion of our future growth may come from targeted acquisitions to expand our current capabilities and service offerings. The success of any acquisition will depend upon, among other things, our ability to effectively integrate acquired personnel, operations, products and technologies into our business and to retain the key personnel and customers of our acquired businesses. In addition, we may be unable to identify suitable acquisition opportunities or obtain any necessary financing on commercially acceptable terms. We may also spend time and money investigating and negotiating with potential acquisition targets but not complete the transaction. Any acquisition could involve other risks, including, among others, the assumption of additional liabilities and expenses, difficulties and expenses in connection with integrating the acquired companies and achieving the expected benefits, issuances of potentially dilutive securities or interest-bearing debt, loss of key employees of the acquired companies, transaction expenses, diversion of management’s attention from other business concerns and, with respect to the acquisition of international companies, the inability to overcome differences in international business practices, language and customs. Our failure to successfully integrate potential future acquisitions could have an adverse effect on our business, financial condition, results of operations and cash flows.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We have a significant amount of goodwill and intangible assets on our balance sheet, and our results of operations may be adversely affected if we fail to realize the full value of our goodwill and intangible </w:t>
      </w:r>
      <w:r>
        <w:rPr>
          <w:rFonts w:ascii="Arial" w:cs="Arial" w:eastAsia="Arial" w:hAnsi="Arial"/>
          <w:sz w:val="18"/>
          <w:szCs w:val="18"/>
          <w:color w:val="auto"/>
        </w:rPr>
        <w:t>assets.</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balance sheet reflects goodwill and intangibles assets of $661.0 million and $148.7 million, respectively, as of September 30, 2016. Collectively, goodwill and intangibles assets represented 82.9% of our total assets as of September 30, 2016. Our goodwill was recorded in connection with Cinven’s acquisition of us in 2014. In accordance with U.S. GAAP, goodwill and indefinite lived intangible assets are not amortized, but are subject to a periodic impairment evaluation. We assess the realizability of our indefinite lived intangible assets and goodwill annually and conduct an interim evaluation whenever events or changes in circumstances, such as operating losses or a significant decline in earnings associated with the acquired business or asset, indicate that these assets may be impaired. In addition, we review long-lived assets for impairment whenever events or changes in circumstances indicate that the carrying amount of the assets might not be recoverable. If indicators of impairment are present, we evaluate the carrying value in relation to estimates of future discounted cash flows. Our ability to realize the value of the goodwill and intangible assets will depend on the future cash flows of our businesses. The carrying amount of the goodwill could be impaired if there is a downturn in our business or our industry or other factors that affect the fair value of our business, in which case a charge to earnings would become necessary. If we are not able to realize the value of the goodwill and intangible assets, we may be required to incur material charges relating to the impairment of those assets. For example, in conjunction with the 2015 fourth quarter annual assessment of goodwill, we determined that goodwill related to our Clinics reporting unit was impaired and we recognized an impairment charge of $9.3 million, which represented 100% of the goodwill that had been allocated to this reporting unit. Such impairment charges in the future could materially and adversely affect our business, financial condition, results of operations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or certain other tax attributes may be limited</w:t>
      </w:r>
      <w:r>
        <w:rPr>
          <w:rFonts w:ascii="Arial" w:cs="Arial" w:eastAsia="Arial" w:hAnsi="Arial"/>
          <w:sz w:val="18"/>
          <w:szCs w:val="18"/>
          <w:color w:val="auto"/>
        </w:rPr>
        <w: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Sections 382 and 383 of the U.S. Internal Revenue Code of 1986, as amended, if a corporation undergoes an “ownership change” (generally defined as a greater than 50 percentage point change, by value, in the aggregate stock ownership of certain shareholders over a three-year period), the corporation’s ability to use its pre-change net operating loss carryforwards to offset its future taxable income and other pre-change tax attributes may be limited. We have experienced at least one ownership change in the past. We may experience additional ownership changes in the future. In addition, future changes in our stock ownership (including future sales by Cinven) could result in additional ownership changes. Any such ownership changes could limit our ability to use our net operating loss carryforwards to offset any future taxable income and other tax attributes. State and foreign tax laws may also impose limitations on our ability to utilize net operating loss carryforwards and other tax attributes.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operations involve the use and disposal of hazardous substances and waste which can give rise to liability that could adversely impact our financial condition.</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 activities that have involved, and may continue to involve, the controlled use of hazardous materials and the creation of hazardous substances, including medical waste and other highly regulated substances. As a result, our operations pose the risk of accidental contamination or injury caused by the release of these materials and/or the creation of hazardous substances, including medical waste and other highly regulated substances. In the event of such an accident, we could be held liable for damages and cleanup costs which, to the extent not covered by existing insurance or indemnification, could harm our business. In addition, other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adverse effects could result from such liability, including reputational damage resulting in the loss of additional business from certain customers.</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failure of third parties to provide us critical support services could materially adversely affect our business, financial condition, results of operations, cash flows or reputation.</w:t>
      </w:r>
    </w:p>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depend on third parties for support services vital to our business. Such support services include, but are not limited to, laboratory services, third-party transportation and travel providers, technology providers, freight forwarders and customs brokers, drug depots and distribution centers, suppliers or contract manufacturers of drugs for patients participating in clinical trials and providers of licensing agreements, maintenance contracts or other services. In addition, we also rely on third-party CROs and other contract clinical personnel for clinical services either in regions where we have limited resources, or in cases where demand cannot be met by our internal staff. The failure of any of these third parties to adequately provide us critical support services could have a material adverse effect on our business, financial condition, results of operations, cash flows or reputation.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only a limited ability to protect our intellectual property rights, and these rights are important to our success.</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copyright, trademark and trade secret laws, to protect our intellectual property rights. These laws are subject to change at any time and certain agreements may not be fully enforceable, which could further restrict our ability to protect our innovations. Our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1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European Union may have a negative effect on global economic conditions, financial markets and our business.</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June 2016, a majority of voters in the United Kingdom elected to withdraw from the European Union, or the EU, in a national referendum. The referendum was advisory, and the terms of any withdrawal are subject to a negotiation period that could last at least two years after the government of the United Kingdom formally initiates a withdrawal process. Nevertheless, the referendum has created significant uncertainty about the future relationship between the United Kingdom and the EU, including with respect to the laws and regulations that will apply as the United Kingdom determines which EU laws to replace or replicate in the event of a withdrawal. The referendum has also given rise to calls for the governments of other EU member states to consider withdrawal. These developments, or the perception that any of them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future investments in our customers’ businesses or products could have a negative impact on our financial results.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in the past and may in the future enter into arrangements with our customers or other drug, biologic or medical device companies in which we take on payment risk by making strategic investments in our customers or other drug companies, providing flexible payment terms or fee financing to customers or other companies, or entering into other risk sharing arrangements on trial execution. Our financial results would be adversely affected if the amount realized from any such risk sharing arrangement was less than the value of our services under the contract related to such arrangement.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affected by the occurrence of a natural disaster or other catastrophic event.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depend on our customers, investigators, laboratories and other facilities for the continued operation of our business. Although we have contingency plans in place for natural disasters or other catastrophic events, these events, including terrorist attacks, pandemic flu, hurricanes, floods and ice and snow storms, could nevertheless disrupt our operations or those of our customers, investigators and collaboration partners, which could also affect us. Even though we carry business interruption insurance policies and typically have provisions in our contracts that protect us in certain events, we might suffer losses as a result of business interruptions that exceed the coverage available under our insurance policies or for which we do not have coverage. Any natural disaster or catastrophic event affecting us or our customers, investigators or collaboration partners could have a significant negative impact on our operations and financial performance.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Outsourcing trends in the biopharmaceutical industry and changes in aggregate expenditures and R&amp;D budgets could adversely affect our operating results and growth rate.</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revenues depend on the level of research and development (“R&amp;D”) expenditures, size of the drug development pipelines and outsourcing trends of the biopharmaceutical industry, including the amount of such R&amp;D expenditures that is outsourced and subject to competitive bidding among CROs. Accordingly, economic factors and industry trends that affect biopharmaceutical companies affect our business. For example, if biopharmaceutical companies become less able to access capital in the future, they may commit less capital to our services going forward. Also, biopharmaceutical companies continue to seek long-term strategic collaborations with global CROs with favorable pricing terms. Many of our competitors seek out these collaborations, while we generally do not. If our competitors can successfully enter into these collaborations, it may reduce the share of the biopharmaceutical outsourcing business that we might otherwise be positioned to capture.</w:t>
      </w:r>
    </w:p>
    <w:p>
      <w:pPr>
        <w:spacing w:after="0" w:line="1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if the biopharmaceutical industry reduces its outsourcing of clinical trials or such outsourcing fails to grow at projected or expected rates, or at all, our business, financial condition, results of operations and cash flows could be materially and adversely affected. We may also be negatively impacted by consolidation and other factors in the biopharmaceutical industry, which may slow decision making by our customers, result in the delay or cancellation of existing projects, cause reductions in overall R&amp;D expenditures or lead to increased pricing pressures. Further, in the event that one of our customers combines with a company that is using the services of one of our competitors, the combined company could decide to use the services of that competitor or another provider. All of these events could adversely affect our business, financial condition, cash flows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many areas of our business and, if we do not compete effectively, our business may be harmed.</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CRO industry is highly competitive. We often compete for business with other CROs as well as internal development departments at some of our customers, some of which could be considered large CROs in their own right. We also compete with universities and teaching hospitals. Some of these competitors have greater financial resources and a wider range of service offerings over a greater geographic area than we do. If we do not compete successfully, our business will suffer. The industry is highly fragmented, with numerous smaller specialized companies and a handful of full-service companies with global capabilities similar to ours. Increased competition has led to price and other forms of competition, such as acceptance of less favorable contract terms, which could adversely affect our operating results. In recent years, our industry has experienced consolidation. This trend is likely to produce more competition from the resulting larger companies. Further, certain of our key competitors are private and, therefore, they do not contend with the cost pressures of being a public company. We compete with both large CROs and mid-sized CROs, and have increasingly faced more competition from larger CROs. Our ability to continue to grow and perform effectively will directly impact our success against our competitors. In addition, there are few barriers to entry for smaller specialized companies considering entering the industry. Because of their size and focus, small CROs might compete effectively against larger companies such as us, especially in lower cost geographic areas, which could have a material adverse effect on our business.</w:t>
      </w:r>
    </w:p>
    <w:p>
      <w:pPr>
        <w:spacing w:after="0" w:line="1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affected by healthcare reform and potential additional regulatory reforms, which may adversely impact the biopharmaceutical industry or otherwise reduce the need for our services or negatively impact our profitability.</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Numerous government bodies are considering or have adopted various healthcare reforms and may undertake, or are in the process of undertaking, efforts to control growing healthcare costs through legislation, regulation and voluntary agreements with healthcare providers and biopharmaceutical companies, including many of our customers. By way of example, in March 2010, the Patient Protection and Affordable Care Act, as amended by the Health Care and Education Reconciliation Act, or collectively, the Affordable Care Act, was signed into law, which, among other things, expanded, over time, health insurance coverage, imposed health industry cost containment measures, enhanced remedies against healthcare fraud and abuse, added new transparency requirements for healthcare and health insurance industries, imposed new taxes and fees on pharmaceutical and medical device manufacturers, added new requirements for certain applicable drug and device manufacturers to disclose payments to physicians, including principal investigators, and imposed additional health policy reforms, any of which may significantly impact the biopharmaceutical industry. We are uncertain as to the full effects of these reforms on our business and are unable to predict what legislative proposals, if any, will be adopted in the future. If regulatory cost containment efforts limit the profitability of new drugs, our customers may reduce their R&amp;D expenditures, which could reduce the business they outsource to us. Similarly, if regulatory requirements for product testing are relaxed or harmonized across jurisdictions, or simplified drug approval procedures are adopted, the demand for our services could decrease.</w:t>
      </w:r>
    </w:p>
    <w:p>
      <w:pPr>
        <w:spacing w:after="0" w:line="17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Government bodies may also adopt healthcare legislation or regulations that are more burdensome than existing regulations. For example, product safety concerns and recommendations by the Drug Safety Oversight Board could change the regulatory environment for drug products, and new or heightened regulatory requirements may increase our expenses or limit our ability to offer some of our services. Additionally, new or heightened regulatory requirements may have a negative impact on the ability of our customers to conduct industry sponsored clinical trials, which could reduce the need for our services.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Recent consolidation in the biopharmaceutical industry could lead to a reduction in our revenues.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biopharmaceutical industry is currently undergoing a period of increased merger activity. Several large biopharmaceutical companies have recently completed mergers and acquisitions that will consolidate the outsourcing trends and R&amp;D expenditures into fewer companies, and many larger and medium sized biopharmaceutical companies have been acquiring smaller biopharmaceutical companies. As a result of this and future consolidations, our customer diversity may decrease and our business may be adversely affected.</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state and foreign healthcare laws, including fraud and abuse laws, we could face substantial penalties and our business, results of operations, financial condition and prospects could be adversely affected.</w:t>
      </w:r>
    </w:p>
    <w:p>
      <w:pPr>
        <w:spacing w:after="0" w:line="6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Even though we do not order healthcare services or bill directly to Medicare, Medicaid or other third party payors, certain federal and state healthcare laws and regulations pertaining to fraud and abuse are applicable to our business. We could be subject to healthcare fraud and abuse laws of both the federal government and the states in which we conduct our business.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 laws described above or any other governmental regulations that apply to us, we may be subject to penalties, including civil and criminal penalties, damages, fines, imprisonment and the curtailment or restructuring of our operations, any of which could materially adversely affect our ability to operate our business and our financial results.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Current and proposed laws and regulations regarding the protection of personal data could result in increased risks of liability or increased cost to us or could limit our service offerings.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confidentiality, collection, use and disclosure of personal data, including clinical trial patient-specific information, are subject to governmental regulation generally in the country in which the personal data was collected or used. For example, U.S. federal regulations under the Health Insurance Portability and Accountability Act of 1996, as amended by the Health Information Technology for Economic and Clinical Health Act of 2009 and their implementing regulations, including the Privacy and Security Rules, or collectively, HIPAA, generally require individuals’ written authorization, in addition to any required informed consent, before protected health information may be used for research and such regulations specify standards for de-identifications and for limited data sets. We may also be subject to applicable state privacy and security laws and regulations in states in which we operate. Two of our subsidiaries, Medpace Clinical Pharmacology, LLC and C-MARC, LLC, are covered entities under HIPAA. Further, because of amendments to the HIPAA Privacy and Security Rules that were promulgated on January 25, 2013, known as the Omnibus Final Rule, service providers to covered entities under HIPAA, known as business associates, are now directly subject to HIPAA. There are some instances where we may be a HIPAA “business associate” of a “covered entity,” meaning that we may be directly liable for any breaches of protected health information and other HIPAA violations. We are also liable contractually under any business associate agreements we have signed with covered entities. If we are determined to be a business associate, we would be subject to HIPAA’s enforcement scheme, which, as amended, can result in up to $1.5 million in annual civil penalties for each HIPAA violation. A single breach incident can result in multiple violations of the HIPAA standards, meaning that penalties could be in excess of $1.5 million. In addition, the Federal Civil Penalties Inflation Adjustment Improvement Act of 2015 required all federal agencies to adjust their civil monetary penalties to inflation, no later than August 1, 2016. As a result, the minimum annual penalties for each HIPPA violation which occurs later than February 17, 2009 are now $1.7 million.</w:t>
      </w:r>
    </w:p>
    <w:p>
      <w:pPr>
        <w:spacing w:after="0" w:line="16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protected health information. In addition, HIPAA mandates that the Secretary of the U.S. Department of Health and Human Services conduct periodic compliance audits of HIPAA covered entities and their business associates for compliance with the HIPAA privacy and security standards, and Phase 2 of these audits, focusing on business associates has begun.</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EU, personal data includes any information that relates to an identified or identifiable natural person with health information carrying additional obligations, including obtaining the explicit consent from the individual for collection, use or disclosure of the information. In addition, we are subject to EU rules with respect to export of such data out of the EU. Such data export rules are constantly changing, for example, following a decision of the European Court of Justice in October 2015, transferring personal data to U.S. companies like us that had certified as a member of the EU-U.S. Safe Harbor Scheme was declared invalid and the other methods to permit transfer are now under review. In July 2016, the European Commission approved the EU-U.S. Privacy Shield, which replaces the U.S. Safe Harbor Scheme. The United States, the EU and its member states, and other countries where we have operations, such as Singapore and Russia,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or security complaints, could subject us to regulatory sanctions, criminal prosecution or civil liability. Federal, state and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 w:name="page38"/>
    <w:bookmarkEnd w:id="37"/>
    <w:p>
      <w:pPr>
        <w:ind w:right="20"/>
        <w:spacing w:after="0" w:line="269" w:lineRule="auto"/>
        <w:rPr>
          <w:sz w:val="20"/>
          <w:szCs w:val="20"/>
          <w:color w:val="auto"/>
        </w:rPr>
      </w:pPr>
      <w:r>
        <w:rPr>
          <w:rFonts w:ascii="Arial" w:cs="Arial" w:eastAsia="Arial" w:hAnsi="Arial"/>
          <w:sz w:val="17"/>
          <w:szCs w:val="17"/>
          <w:color w:val="auto"/>
        </w:rPr>
        <w:t>foreign governments may propose or have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and suffer reputational harm. The laws in the EU are under reform and from early 2018 onwards, we will be subject to the requirements of the General Data Protection Regulation, or GDPR, because we are processing data in the EU. The GDPR increases the deadline for data breach notifications, imposes additional obligations when we process personal data on behalf of our customers, including in relation to security measures, and increases administrative burdens on companies processing personal data. If we do not comply with our obligations under the GDPR we could be exposed to significant fines of up to 20 million EUR or up to 4% of the total worldwide annual turnover of the preceding financial year, whichever is higher.</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biopharmaceutical industry has a history of patent and other intellectual property litigation, and we might be involved in costly intellectual property lawsuits.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biopharmaceutical industry has a history of intellectual property litigation, and these lawsuits will likely continue in the future. Accordingly, even without wrongdoing on our part, we may face patent infringement suits by companies that have patents for similar business processes or other suits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Further, our customers could be similarly exposed to intellectual property suits and the resulting economic and operational strain defending such claims could negatively impact such customers’ ability to fund or continue ongoing clinical trials on which we are working.</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Actions by regulatory authorities or customers to limit the scope of or withdraw an approved drug, biologic or medical device from the market could result in a loss of revenue.</w:t>
      </w:r>
    </w:p>
    <w:p>
      <w:pPr>
        <w:spacing w:after="0" w:line="6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Government regulators have the authority, after approving a drug, biologic or medical device, to limit its indication for use by requiring additional labeled warnings or to withdraw the product’s approval for its approved indication based on safety or other concerns. Similarly, customers may act to voluntarily limit the availability of approved products or withdraw them from the market after we begin our work. If we are providing services to customers for products that are limited in availability or withdrawn, we may be required to narrow the scope of or terminate our services with respect to such products, which would prevent us from earning the full amount of net service revenue anticipated under the related service contracts.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keep pace with rapid technological changes, our services may become less competitive or obsolete.</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biopharmaceutical industry generally, and drug development and clinical research more specifically, are subject to rapid technological changes. Our current competitors or other businesses might develop technologies or services that are more effective or commercially attractive than, or render obsolete, our current or future technologies and services. If our competitors introduce superior technologies or services and if we cannot make enhancements to remain competitive, our competitive position would be harmed. If we are unable to compete successfully, we may lose customers or be unable to attract new customers, which could lead to a decrease in our revenue and have a material adverse effect on our financial condition.</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Circumstances beyond our control could cause the CRO industry to suffer reputational or other harm that could result in an industry-wide reduction in demand for CRO services, which could harm our business.</w:t>
      </w:r>
    </w:p>
    <w:p>
      <w:pPr>
        <w:spacing w:after="0" w:line="6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Demand for our services may be affected by perceptions of our customers regarding the CRO industry as a whole. For example, other CROs could engage in conduct that could render our customers less willing to do business with us or any CRO. Likewise, a widely reported injury to clinical trial participants could result in negative perceptions of clinical trial activity, thereby adversely impacting our industry. One or more CROs could engage in or fail to detect malfeasance, such as inadequately monitoring sites, producing inaccurate databases or analysis, falsifying patient records, and performing incomplete lab work, or take other actions that would reduce the confidence of our customers in the CRO industry. As a result, the willingness of biopharmaceutical companies to outsource R&amp;D services to CROs could diminish and our business could thus be harmed materially by events outside our control.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prevent us from fulfilling our debt obligations and may otherwise restrict our activities.</w:t>
      </w:r>
    </w:p>
    <w:p>
      <w:pPr>
        <w:spacing w:after="0" w:line="6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Senior Secured Credit Facilities consist of a $60.0 million Senior Secured Revolving Credit Facility maturing in April 2019 and a $530.0 million Senior Secured Term Loan Facility maturing in April 2021. As of September 30, 2016, we had approximately $165.0 million of outstanding indebtedness under our Senior Secured Term Loan Facility and no borrowings outstanding under our Senior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ind w:right="240"/>
        <w:spacing w:after="0" w:line="257" w:lineRule="auto"/>
        <w:rPr>
          <w:sz w:val="20"/>
          <w:szCs w:val="20"/>
          <w:color w:val="auto"/>
        </w:rPr>
      </w:pPr>
      <w:r>
        <w:rPr>
          <w:rFonts w:ascii="Arial" w:cs="Arial" w:eastAsia="Arial" w:hAnsi="Arial"/>
          <w:sz w:val="18"/>
          <w:szCs w:val="18"/>
          <w:color w:val="auto"/>
        </w:rPr>
        <w:t>Secured Revolving Credit Facility. In addition, we had up to $60.0 million of additional borrowing capacity available under our Senior Secured Revolving Credit Facility. Our substantial indebtedness could adversely affect our financial condition and thus make it more difficult for us to satisfy our obligations with respect to our Senior Secured Credit Facilities. If our cash flow is not sufficient to service our debt and adequately fund our business, we may be required to seek further additional financing or refinancing or dispose of assets. We might not be able to influence any of these alternatives on satisfactory terms or at all. Our substantial indebtedness could also:</w:t>
      </w:r>
    </w:p>
    <w:p>
      <w:pPr>
        <w:spacing w:after="0" w:line="80" w:lineRule="exact"/>
        <w:rPr>
          <w:sz w:val="20"/>
          <w:szCs w:val="20"/>
          <w:color w:val="auto"/>
        </w:rPr>
      </w:pPr>
    </w:p>
    <w:p>
      <w:pPr>
        <w:ind w:left="860" w:hanging="379"/>
        <w:spacing w:after="0"/>
        <w:tabs>
          <w:tab w:leader="none" w:pos="86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increase our vulnerability to adverse general economic, industry or competitive developments;</w:t>
      </w:r>
    </w:p>
    <w:p>
      <w:pPr>
        <w:spacing w:after="0" w:line="25" w:lineRule="exact"/>
        <w:rPr>
          <w:rFonts w:ascii="MS PGothic" w:cs="MS PGothic" w:eastAsia="MS PGothic" w:hAnsi="MS PGothic"/>
          <w:sz w:val="18"/>
          <w:szCs w:val="18"/>
          <w:color w:val="auto"/>
        </w:rPr>
      </w:pPr>
    </w:p>
    <w:p>
      <w:pPr>
        <w:ind w:left="860" w:right="460" w:hanging="379"/>
        <w:spacing w:after="0" w:line="280" w:lineRule="auto"/>
        <w:tabs>
          <w:tab w:leader="none" w:pos="860" w:val="left"/>
        </w:tabs>
        <w:numPr>
          <w:ilvl w:val="0"/>
          <w:numId w:val="14"/>
        </w:numPr>
        <w:rPr>
          <w:rFonts w:ascii="MS PGothic" w:cs="MS PGothic" w:eastAsia="MS PGothic" w:hAnsi="MS PGothic"/>
          <w:sz w:val="16"/>
          <w:szCs w:val="16"/>
          <w:color w:val="auto"/>
        </w:rPr>
      </w:pPr>
      <w:r>
        <w:rPr>
          <w:rFonts w:ascii="Arial" w:cs="Arial" w:eastAsia="Arial" w:hAnsi="Arial"/>
          <w:sz w:val="16"/>
          <w:szCs w:val="16"/>
          <w:color w:val="auto"/>
        </w:rPr>
        <w:t>require us to dedicate a more substantial portion of our cash flows from operations to payments on our indebtedness, thereby reducing the availability of our cash flows to fund working capital, investments, acquisitions, capital expenditures, and other general corporate purposes;</w:t>
      </w:r>
    </w:p>
    <w:p>
      <w:pPr>
        <w:spacing w:after="0" w:line="1" w:lineRule="exact"/>
        <w:rPr>
          <w:rFonts w:ascii="MS PGothic" w:cs="MS PGothic" w:eastAsia="MS PGothic" w:hAnsi="MS PGothic"/>
          <w:sz w:val="16"/>
          <w:szCs w:val="16"/>
          <w:color w:val="auto"/>
        </w:rPr>
      </w:pPr>
    </w:p>
    <w:p>
      <w:pPr>
        <w:ind w:left="860" w:hanging="379"/>
        <w:spacing w:after="0"/>
        <w:tabs>
          <w:tab w:leader="none" w:pos="860" w:val="left"/>
        </w:tabs>
        <w:numPr>
          <w:ilvl w:val="0"/>
          <w:numId w:val="14"/>
        </w:numPr>
        <w:rPr>
          <w:rFonts w:ascii="MS PGothic" w:cs="MS PGothic" w:eastAsia="MS PGothic" w:hAnsi="MS PGothic"/>
          <w:sz w:val="17"/>
          <w:szCs w:val="17"/>
          <w:color w:val="auto"/>
        </w:rPr>
      </w:pPr>
      <w:r>
        <w:rPr>
          <w:rFonts w:ascii="Arial" w:cs="Arial" w:eastAsia="Arial" w:hAnsi="Arial"/>
          <w:sz w:val="17"/>
          <w:szCs w:val="17"/>
          <w:color w:val="auto"/>
        </w:rPr>
        <w:t>limit our ability to make required payments under our existing contractual commitments, including our existing long-term indebtedness;</w:t>
      </w:r>
    </w:p>
    <w:p>
      <w:pPr>
        <w:spacing w:after="0" w:line="22" w:lineRule="exact"/>
        <w:rPr>
          <w:rFonts w:ascii="MS PGothic" w:cs="MS PGothic" w:eastAsia="MS PGothic" w:hAnsi="MS PGothic"/>
          <w:sz w:val="17"/>
          <w:szCs w:val="17"/>
          <w:color w:val="auto"/>
        </w:rPr>
      </w:pPr>
    </w:p>
    <w:p>
      <w:pPr>
        <w:ind w:left="860" w:hanging="379"/>
        <w:spacing w:after="0"/>
        <w:tabs>
          <w:tab w:leader="none" w:pos="86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limit our ability to fund a change of control offer;</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require us to sell certain assets;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restrict us from making strategic investments, including acquisitions or cause us to make non-strategic divestitures;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limit our flexibility in planning for, or reacting to, changes in market conditions, our business and the industry in which we operate;</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cause us to incur substantial fees from time to time in connection with debt amendments or refinancings;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increase our exposure to rising interest rates because a portion of our borrowings is at variable interest rates; and</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limit our ability to borrow additional funds or to borrow on terms that are satisfactory to us.</w:t>
      </w:r>
    </w:p>
    <w:p>
      <w:pPr>
        <w:spacing w:after="0" w:line="20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For more information about our indebtedness, see “Item 2—Management’s Discussion and Analysis of Financial Condition and Results of Operations - Indebtedness” and Note 7 to our unaudited condensed consolidated financial statements included in Item 1 of Part I of this Quarterly Report on Form 10-Q.</w:t>
      </w:r>
    </w:p>
    <w:p>
      <w:pPr>
        <w:spacing w:after="0" w:line="12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Despite our current level of indebtedness, we may incur more debt and undertake additional obligations. Incurring such debt or undertaking such additional obligations could further exacerbate the risks to our financial condition.</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Although the credit agreement governing the Senior Secured Credit Facilities contains restrictions on our incurrence of additional indebtedness, these restrictions are subject to a number of qualifications and exceptions and the indebtedness incurred in compliance with these restrictions could increase. To the extent new debt is added to our current debt levels, the risks to our financial condition would increase.</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While the credit agreement governing the Senior Secured Credit Facilities also contains restrictions on our ability to make loans and investments, these restrictions are subject to a number of qualifications and exceptions, and the investments incurred in compliance with these restrictions could be substantial.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restrictions under our Senior Secured Credit Facilities may limit our ability to operate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agreement governing our Senior Secured Credit Facilities contains covenants that may restrict our ability to, among other things:</w:t>
      </w:r>
    </w:p>
    <w:p>
      <w:pPr>
        <w:spacing w:after="0" w:line="117" w:lineRule="exact"/>
        <w:rPr>
          <w:sz w:val="20"/>
          <w:szCs w:val="20"/>
          <w:color w:val="auto"/>
        </w:rPr>
      </w:pPr>
    </w:p>
    <w:p>
      <w:pPr>
        <w:ind w:left="860" w:hanging="379"/>
        <w:spacing w:after="0"/>
        <w:tabs>
          <w:tab w:leader="none" w:pos="8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create, incur or assume any lien upon any of our property, assets or revenue;</w:t>
      </w:r>
    </w:p>
    <w:p>
      <w:pPr>
        <w:spacing w:after="0" w:line="25" w:lineRule="exact"/>
        <w:rPr>
          <w:rFonts w:ascii="MS PGothic" w:cs="MS PGothic" w:eastAsia="MS PGothic" w:hAnsi="MS PGothic"/>
          <w:sz w:val="18"/>
          <w:szCs w:val="18"/>
          <w:color w:val="auto"/>
        </w:rPr>
      </w:pPr>
    </w:p>
    <w:p>
      <w:pPr>
        <w:ind w:left="860" w:hanging="379"/>
        <w:spacing w:after="0"/>
        <w:tabs>
          <w:tab w:leader="none" w:pos="8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make or hold certain investments;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incur or assume any indebtedness;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merge, dissolve, liquidate or consolidate with or into another person;</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make certain dispositions of property or other assets (including sale leaseback transactions);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declare or make certain restricted payments, including dividends;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enter into certain transactions with affiliates;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prepay subordinated debt;</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enter into burdensome agreements;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engage in any material line of business substantially different from our currently conducted business; or</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change our fiscal year.</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if we have drawn greater than 30% of the commitments under the Senior Secured Revolving Credit Facility as of the last date of any quarter, then we are required to report compliance with a financial covenant that is tested at the end of such quarter. This financial covenant requires us to maintain a funded first lien net debt to consolidated EBITDA leverage ratio of less than or equal to 7.50:1.00. As of September 30, 2016, we maintained a net debt to consolidated EBITDA leverage ratio, as defined under the Senior Secured Credit Facilities, of 1.20:1.00. As of September 30, 2016, we were in compliance with all covenants under our Senior Secured Credit Agreement.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9" w:name="page40"/>
    <w:bookmarkEnd w:id="39"/>
    <w:p>
      <w:pPr>
        <w:ind w:right="40"/>
        <w:spacing w:after="0" w:line="288" w:lineRule="auto"/>
        <w:rPr>
          <w:sz w:val="20"/>
          <w:szCs w:val="20"/>
          <w:color w:val="auto"/>
        </w:rPr>
      </w:pPr>
      <w:r>
        <w:rPr>
          <w:rFonts w:ascii="Arial" w:cs="Arial" w:eastAsia="Arial" w:hAnsi="Arial"/>
          <w:sz w:val="16"/>
          <w:szCs w:val="16"/>
          <w:color w:val="auto"/>
        </w:rPr>
        <w:t>Although the covenants in our Senior Secured Credit Facilities are subject to various exceptions, we cannot assure you that these covenants will not adversely affect our ability to finance future operations or capital needs or to engage in other activities that may be in our best interest. In addition, in certain circumstances, our long-term debt requires us to maintain a specified financial ratio and satisfy certain financial condition tests, which may require that we take action to reduce our debt or to act in a manner contrary to our business objectives. A breach of any of these covenants could result in a default under our Senior Secured Credit Facilities. If an event of default under our Senior Secured Credit Facilities occurs, the lenders thereunder could elect to declare all amounts outstanding thereunder, together with accrued interest, to be immediately due and payable. In such case, we might not have sufficient funds to repay all the outstanding amounts. In addition, our Senior Secured Credit Facilities are secured by first priority security interests on substantially all of our assets, including the capital stock of certain of our subsidiaries. If an event of default under our Senior Secured Credit Facilities occurs, the lenders thereunder could exercise their rights under the related security documents. Any acceleration of amounts due under the Senior Secured Credit Facilities or the substantial exercise by the lenders of their rights under the security documents would likely have a material adverse effect on us.</w:t>
      </w:r>
    </w:p>
    <w:p>
      <w:pPr>
        <w:spacing w:after="0" w:line="16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that may not be successful.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satisfy our debt obligations will depend upon, among other things:</w:t>
      </w:r>
    </w:p>
    <w:p>
      <w:pPr>
        <w:spacing w:after="0" w:line="117" w:lineRule="exact"/>
        <w:rPr>
          <w:sz w:val="20"/>
          <w:szCs w:val="20"/>
          <w:color w:val="auto"/>
        </w:rPr>
      </w:pPr>
    </w:p>
    <w:p>
      <w:pPr>
        <w:ind w:left="860" w:right="140" w:hanging="379"/>
        <w:spacing w:after="0" w:line="258" w:lineRule="auto"/>
        <w:tabs>
          <w:tab w:leader="none" w:pos="86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our future financial and operating performance, which will be affected by prevailing economic conditions and financial, business, regulatory and other factors, many of which are beyond our control; and</w:t>
      </w:r>
    </w:p>
    <w:p>
      <w:pPr>
        <w:spacing w:after="0" w:line="1" w:lineRule="exact"/>
        <w:rPr>
          <w:rFonts w:ascii="MS PGothic" w:cs="MS PGothic" w:eastAsia="MS PGothic" w:hAnsi="MS PGothic"/>
          <w:sz w:val="18"/>
          <w:szCs w:val="18"/>
          <w:color w:val="auto"/>
        </w:rPr>
      </w:pPr>
    </w:p>
    <w:p>
      <w:pPr>
        <w:ind w:left="860" w:right="220" w:hanging="379"/>
        <w:spacing w:after="0" w:line="261" w:lineRule="auto"/>
        <w:tabs>
          <w:tab w:leader="none" w:pos="86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the future availability of borrowings under our Senior Secured Credit Facilities, which depends on, among other things, our complying with the covenants in those facilities.</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cannot assure you that our business will generate sufficient cash flow from operations, or that future borrowings will be available to us under our Senior Secured Credit Facilities or otherwise, in an amount sufficient to fund our liquidity needs.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our cash flows and capital resources are insufficient to service our indebtedness,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agreements,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and any proceeds that we could realize from any such dispositions may not be adequate to meet our debt service obligations then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fluctuations may affect our results of operations and financial condition.</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Because a substantial portion of our debt is variable-rate debt, fluctuations in interest rates could have a material effect on our business. As a result, we may incur higher interest costs if interest rates increase. These higher interest costs could have a material adverse impact on our financial condition and the levels of cash we maintain for working capital.</w:t>
      </w:r>
    </w:p>
    <w:p>
      <w:pPr>
        <w:spacing w:after="0" w:line="18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We are dependent upon our lenders for financing to execute our business strategy and meet our liquidity needs. If our lenders are unable to fund borrowings under their credit commitments or we are unable to borrow, it could negatively impact our business.</w:t>
      </w:r>
    </w:p>
    <w:p>
      <w:pPr>
        <w:spacing w:after="0" w:line="3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During periods of volatile credit markets, there is risk that any lenders, even those with strong balance sheets and sound lending practices, could fail or refuse to honor their legal commitments and obligations under existing credit commitments, including but not limited to, extending credit up to the maximum permitted by a credit facility. If our lenders are unable to fund borrowings under their revolving credit commitments or we are unable to borrow (such as having insufficient capacity under our borrowing base), it could be difficult in such environments to obtain sufficient liquidity to meet our operational needs.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Cinven and our Chief Executive Officer and founder collectively control a substantial majority of our outstanding common stock and their interests may be different from or conflict with those of our other shareholders.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September 30, 2016, Cinven owned approximately 56.5% of the outstanding shares of our common stock and Dr. August J. Troendle, our Chief Executive Officer and founder, through his direct ownership of 1,221,416 shares of our common stock and his beneficial ownership of 9,210,118 shares of our common stock held by MPI, controls approximately 25.6% of the outstanding shares of our common stock. Additionally, upon a distribution of our common stock held by MPI, our Chief Executive Officer would receive approximately 73% of such shares. Accordingly, both Cinven and Dr. Troendle will be able to exert a significant degree of influence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ind w:right="680"/>
        <w:spacing w:after="0" w:line="277" w:lineRule="auto"/>
        <w:rPr>
          <w:sz w:val="20"/>
          <w:szCs w:val="20"/>
          <w:color w:val="auto"/>
        </w:rPr>
      </w:pPr>
      <w:r>
        <w:rPr>
          <w:rFonts w:ascii="Arial" w:cs="Arial" w:eastAsia="Arial" w:hAnsi="Arial"/>
          <w:sz w:val="18"/>
          <w:szCs w:val="18"/>
          <w:color w:val="auto"/>
        </w:rPr>
        <w:t>or actual control over our management and affairs and will control all corporate actions requiring shareholder approval, irrespective of how our other shareholders may vote, including:</w:t>
      </w:r>
    </w:p>
    <w:p>
      <w:pPr>
        <w:spacing w:after="0" w:line="62" w:lineRule="exact"/>
        <w:rPr>
          <w:sz w:val="20"/>
          <w:szCs w:val="20"/>
          <w:color w:val="auto"/>
        </w:rPr>
      </w:pPr>
    </w:p>
    <w:p>
      <w:pPr>
        <w:ind w:left="860" w:hanging="379"/>
        <w:spacing w:after="0"/>
        <w:tabs>
          <w:tab w:leader="none" w:pos="860" w:val="left"/>
        </w:tabs>
        <w:numPr>
          <w:ilvl w:val="0"/>
          <w:numId w:val="17"/>
        </w:numPr>
        <w:rPr>
          <w:rFonts w:ascii="MS PGothic" w:cs="MS PGothic" w:eastAsia="MS PGothic" w:hAnsi="MS PGothic"/>
          <w:sz w:val="16"/>
          <w:szCs w:val="16"/>
          <w:color w:val="auto"/>
        </w:rPr>
      </w:pPr>
      <w:r>
        <w:rPr>
          <w:rFonts w:ascii="Arial" w:cs="Arial" w:eastAsia="Arial" w:hAnsi="Arial"/>
          <w:sz w:val="16"/>
          <w:szCs w:val="16"/>
          <w:color w:val="auto"/>
        </w:rPr>
        <w:t>subject to the Voting Agreement (as defined below), the election and removal of directors and the size of our board of directors, or the Board;</w:t>
      </w:r>
    </w:p>
    <w:p>
      <w:pPr>
        <w:spacing w:after="0" w:line="48" w:lineRule="exact"/>
        <w:rPr>
          <w:rFonts w:ascii="MS PGothic" w:cs="MS PGothic" w:eastAsia="MS PGothic" w:hAnsi="MS PGothic"/>
          <w:sz w:val="16"/>
          <w:szCs w:val="16"/>
          <w:color w:val="auto"/>
        </w:rPr>
      </w:pPr>
    </w:p>
    <w:p>
      <w:pPr>
        <w:ind w:left="860" w:hanging="379"/>
        <w:spacing w:after="0"/>
        <w:tabs>
          <w:tab w:leader="none" w:pos="86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any amendment of our articles of incorporation or bylaws; or</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the approval of mergers and other significant corporate transactions, including a sale of substantially all of our assets.</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Moreover, Cinven’s and Dr. Troendle’s share ownership may also adversely affect the trading price for our common stock to the extent investors perceive disadvantages in owning shares of a company with controlling shareholders. In addition, Cinven is in the business of making investments in companies and may, from time to time, acquire interests in businesses that directly or indirectly compete with our business, as well as businesses that are significant existing or potential customers. Cinven may acquire or seek to acquire assets that we seek to acquire and, as a result, those acquisition opportunities may not be available to us or may be more expensive for us to pursue, and as a result, the interests of Cinven may not coincide and may even conflict with the interests of our other shareholders.</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we qualify for, and rely on, exemptions from certain corporate governance requirements. Our shareholders do not have the same protections afforded to shareholders of companies that are subject to such requirements.</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Substantially concurrently with the closing of the IPO, Cinven and Dr. August J. Troendle, our Chief Executive Officer and founder, entered into a voting agreement, or the Voting Agreement. Pursuant to the terms of the Voting Agreement, for so long as Cinven and Dr. Troendle collectively hold at least 40% of our outstanding voting shares, or the Voting Agreement is otherwise terminated in accordance with its terms, Cinven will agree to vote its shares of our common stock in favor of the election of Dr. Troendle to our Board (so long as Dr. Troendle remains our Chief Executive Officer) upon his nomination by our Board and Dr. Troendle will agree to vote his shares of our common stock in favor of the election of the directors affiliated with Cinven upon their nomination by our Board; provided, that in the event that Cinven holds less than (a) 40% but greater than or equal to 25% of our voting shares then outstanding, Dr. Troendle shall be required to vote for two directors affiliated with Cinven, after giving effect to the directors then sitting on the Board, (b) 25% but greater than or equal to 10% of our voting shares then outstanding, Dr. Troendle shall be required to vote for one director affiliated with Cinven, after giving effect to the directors then sitting on the Board and (c) 10% of our voting shares then outstanding, Dr. Troendle shall not be required to vote for any directors affiliated with Cinven.</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the Voting Agreement and the aggregate voting power of Cinven and Dr. Troendle, we are considered a “controlled company” within the meaning of the corporate governance standards of NASDAQ. Under these rules, a company of which more than 50% of the voting power for the election of directors is held by an individual, group or another company is a “controlled company” and may elect not to comply with certain corporate governance requirements, including the requirements that, within one year of the date of the listing of our common stock:</w:t>
      </w:r>
    </w:p>
    <w:p>
      <w:pPr>
        <w:spacing w:after="0" w:line="79" w:lineRule="exact"/>
        <w:rPr>
          <w:sz w:val="20"/>
          <w:szCs w:val="20"/>
          <w:color w:val="auto"/>
        </w:rPr>
      </w:pPr>
    </w:p>
    <w:p>
      <w:pPr>
        <w:ind w:left="860" w:hanging="379"/>
        <w:spacing w:after="0"/>
        <w:tabs>
          <w:tab w:leader="none" w:pos="86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we have a Board that is composed of a majority of “independent directors,” as defined under the rules of such exchange;</w:t>
      </w:r>
    </w:p>
    <w:p>
      <w:pPr>
        <w:spacing w:after="0" w:line="25" w:lineRule="exact"/>
        <w:rPr>
          <w:rFonts w:ascii="MS PGothic" w:cs="MS PGothic" w:eastAsia="MS PGothic" w:hAnsi="MS PGothic"/>
          <w:sz w:val="18"/>
          <w:szCs w:val="18"/>
          <w:color w:val="auto"/>
        </w:rPr>
      </w:pPr>
    </w:p>
    <w:p>
      <w:pPr>
        <w:ind w:left="860" w:right="140" w:hanging="379"/>
        <w:spacing w:after="0" w:line="249" w:lineRule="auto"/>
        <w:tabs>
          <w:tab w:leader="none" w:pos="86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we have a compensation committee that is composed entirely of independent directors with a written charter addressing the committee’s purpose and responsibilities; and</w:t>
      </w:r>
    </w:p>
    <w:p>
      <w:pPr>
        <w:jc w:val="both"/>
        <w:ind w:left="860" w:right="420" w:hanging="379"/>
        <w:spacing w:after="0" w:line="323" w:lineRule="auto"/>
        <w:tabs>
          <w:tab w:leader="none" w:pos="860" w:val="left"/>
        </w:tabs>
        <w:numPr>
          <w:ilvl w:val="0"/>
          <w:numId w:val="18"/>
        </w:numPr>
        <w:rPr>
          <w:rFonts w:ascii="MS PGothic" w:cs="MS PGothic" w:eastAsia="MS PGothic" w:hAnsi="MS PGothic"/>
          <w:sz w:val="16"/>
          <w:szCs w:val="16"/>
          <w:color w:val="auto"/>
        </w:rPr>
      </w:pPr>
      <w:r>
        <w:rPr>
          <w:rFonts w:ascii="Arial" w:cs="Arial" w:eastAsia="Arial" w:hAnsi="Arial"/>
          <w:sz w:val="16"/>
          <w:szCs w:val="16"/>
          <w:color w:val="auto"/>
        </w:rPr>
        <w:t>director nominations be made, or recommended to the full Board, by our independent directors or by a nominating and corporate governance committee that is composed entirely of independent directors with a written charter addressing the committee’s purpose and responsibilities.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After we cease to be a “controlled company,” we will be required to comply with the above-referenced requirements within one year.</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currently do not have a nominating and corporate governance committee. Accordingly, our shareholders do not have the same protections afforded to shareholders of companies that are subject to all of the corporate governance requirements of NASDAQ. Cinven and Dr. Troendle, however, are not subject to any contractual obligation to retain their controlling interest, except that they have agreed, subject to certain exceptions, not to sell or otherwise dispose of any shares of our common stock or other capital stock or other securities exercisable or convertible therefor for a period of at least 180 days after August 10, 2016 without the prior written consent of Jefferies LLC. Except for this brief period, there can be no assurance as to the period of time during which Cinven and Dr. Troendle will maintain their ownership of our common stock. As a result, there can be no assurance as to the period of time during which we will be able to avail ourselves of the controlled company exemptions.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Upon the sale of a sufficient number of shares by Cinven or Dr. Troendle, we will no longer be a controlled company, and we may have difficulties complying with the NASDAQ rules listed above. We intend to comply with these NASDAQ rules if we cease to be a controlled company. However, there can be no assurance that we will be able to comply with such rules during the phase-in period for compliance.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1" w:name="page42"/>
    <w:bookmarkEnd w:id="41"/>
    <w:p>
      <w:pPr>
        <w:ind w:right="580"/>
        <w:spacing w:after="0" w:line="277" w:lineRule="auto"/>
        <w:rPr>
          <w:sz w:val="20"/>
          <w:szCs w:val="20"/>
          <w:color w:val="auto"/>
        </w:rPr>
      </w:pPr>
      <w:r>
        <w:rPr>
          <w:rFonts w:ascii="Arial" w:cs="Arial" w:eastAsia="Arial" w:hAnsi="Arial"/>
          <w:sz w:val="18"/>
          <w:szCs w:val="18"/>
          <w:b w:val="1"/>
          <w:bCs w:val="1"/>
          <w:i w:val="1"/>
          <w:iCs w:val="1"/>
          <w:color w:val="auto"/>
        </w:rPr>
        <w:t>Our anti-takeover provisions could prevent or delay a change in control of our company, even if such change in control would be beneficial to our shareholders.</w:t>
      </w:r>
    </w:p>
    <w:p>
      <w:pPr>
        <w:spacing w:after="0" w:line="6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as well as provisions of Delaware law could discourage, delay or prevent a merger, acquisition or other change in control of our company, even if such change in control would be beneficial to our shareholders. These provisions include:</w:t>
      </w:r>
    </w:p>
    <w:p>
      <w:pPr>
        <w:spacing w:after="0" w:line="73" w:lineRule="exact"/>
        <w:rPr>
          <w:sz w:val="20"/>
          <w:szCs w:val="20"/>
          <w:color w:val="auto"/>
        </w:rPr>
      </w:pPr>
    </w:p>
    <w:p>
      <w:pPr>
        <w:ind w:left="860" w:right="400" w:hanging="379"/>
        <w:spacing w:after="0" w:line="258" w:lineRule="auto"/>
        <w:tabs>
          <w:tab w:leader="none" w:pos="86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authorizing the issuance of “blank check” preferred stock that could be issued by our Board to increase the number of outstanding shares and thwart a takeover attempt;</w:t>
      </w:r>
    </w:p>
    <w:p>
      <w:pPr>
        <w:spacing w:after="0" w:line="1" w:lineRule="exact"/>
        <w:rPr>
          <w:rFonts w:ascii="MS PGothic" w:cs="MS PGothic" w:eastAsia="MS PGothic" w:hAnsi="MS PGothic"/>
          <w:sz w:val="18"/>
          <w:szCs w:val="18"/>
          <w:color w:val="auto"/>
        </w:rPr>
      </w:pPr>
    </w:p>
    <w:p>
      <w:pPr>
        <w:ind w:left="860" w:hanging="379"/>
        <w:spacing w:after="0"/>
        <w:tabs>
          <w:tab w:leader="none" w:pos="86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establishing a classified Board so that not all members of our Board are elected at one time;</w:t>
      </w:r>
    </w:p>
    <w:p>
      <w:pPr>
        <w:spacing w:after="0" w:line="10" w:lineRule="exact"/>
        <w:rPr>
          <w:rFonts w:ascii="MS PGothic" w:cs="MS PGothic" w:eastAsia="MS PGothic" w:hAnsi="MS PGothic"/>
          <w:sz w:val="18"/>
          <w:szCs w:val="18"/>
          <w:color w:val="auto"/>
        </w:rPr>
      </w:pPr>
    </w:p>
    <w:p>
      <w:pPr>
        <w:ind w:left="860" w:hanging="379"/>
        <w:spacing w:after="0"/>
        <w:tabs>
          <w:tab w:leader="none" w:pos="86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the removal of directors only for cause;</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prohibiting the use of cumulative voting for the election of directors;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limiting the ability of shareholders to call special meetings or amend our bylaws;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requiring all shareholder actions to be taken at a meeting of our shareholders and not by written consent; and</w:t>
      </w:r>
    </w:p>
    <w:p>
      <w:pPr>
        <w:spacing w:after="0" w:line="9" w:lineRule="exact"/>
        <w:rPr>
          <w:rFonts w:ascii="MS PGothic" w:cs="MS PGothic" w:eastAsia="MS PGothic" w:hAnsi="MS PGothic"/>
          <w:sz w:val="18"/>
          <w:szCs w:val="18"/>
          <w:color w:val="auto"/>
        </w:rPr>
      </w:pPr>
    </w:p>
    <w:p>
      <w:pPr>
        <w:ind w:left="860" w:right="40" w:hanging="379"/>
        <w:spacing w:after="0" w:line="259" w:lineRule="auto"/>
        <w:tabs>
          <w:tab w:leader="none" w:pos="86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establishing advance notice and duration of ownership requirements for nominations for election to the Board or for proposing matters that can be acted upon by shareholders at shareholder meetings.</w:t>
      </w:r>
    </w:p>
    <w:p>
      <w:pPr>
        <w:spacing w:after="0" w:line="18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These provisions could also discourage proxy contests and make it more difficult for you and other shareholders to elect directors of your choosing and cause us to take other corporate actions you desire. In addition, because our Board is responsible for appointing the members of our management team, these provisions could in turn affect any attempt by our shareholders to replace current members of our management team.</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the Delaware General Corporation Law, or the DGCL, to which we are subject, prohibits us, except under specified circumstances, from engaging in any mergers, significant sales of stock or assets or business combinations with any shareholder or group of shareholders who owns at least 15% of our common stock for three years following their becoming the owner of 15% of our common stock.</w:t>
      </w:r>
    </w:p>
    <w:p>
      <w:pPr>
        <w:spacing w:after="0" w:line="1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Cinven and our non-employee directors may acquire interests and positions that could present potential conflicts with our and our shareholders’ interests</w:t>
      </w:r>
      <w:r>
        <w:rPr>
          <w:rFonts w:ascii="Arial" w:cs="Arial" w:eastAsia="Arial" w:hAnsi="Arial"/>
          <w:sz w:val="18"/>
          <w:szCs w:val="18"/>
          <w:color w:val="auto"/>
        </w:rPr>
        <w:t>.</w:t>
      </w:r>
    </w:p>
    <w:p>
      <w:pPr>
        <w:spacing w:after="0" w:line="6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Cinven and our non-employee directors make investments in companies and may, from time to time, acquire and hold interests in businesses that compete directly or indirectly with us. Cinven and our non-employee directors may also pursue, for their own accounts, acquisition opportunities that may be complementary to our business, and as a result, those acquisition opportunities might not be available to us. Our organizational documents contain provisions renouncing any interest or expectancy held by Cinven or by our non-employee directors in corporate opportunities. Accordingly, the interests of Cinven and our non-employee directors may supersede ours, causing Cinven or its affiliates or our non-employee directors and their affiliates to compete against us or to pursue opportunities instead of us, for which we have no recourse. Such actions on the part of Cinven or our non-employee directors and inaction on our part could have a material adverse effect on our business, financial condition, results of operations and cash flows.</w:t>
      </w:r>
    </w:p>
    <w:p>
      <w:pPr>
        <w:spacing w:after="0" w:line="16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Full-time investment professionals of Cinven occupy three seats on our Board. Because Cinven could invest in entities that directly or indirectly compete with us, when conflicts arise between the interests of Cinven and the interests of our shareholders, these directors may not be disinterested.</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discourage bids for our common stock at a premium to the market price, and materially and adversely affect the market price and the voting and other rights of the holders of our common stock.</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provision of our amended and restated certificate of incorporation requiring exclusive venue in the Court of Chancery in the State of Delaware for certain types of lawsuits may have the effect of discouraging lawsuits against our directors and officers.</w:t>
      </w:r>
    </w:p>
    <w:p>
      <w:pPr>
        <w:spacing w:after="0" w:line="62" w:lineRule="exact"/>
        <w:rPr>
          <w:sz w:val="20"/>
          <w:szCs w:val="20"/>
          <w:color w:val="auto"/>
        </w:rPr>
      </w:pPr>
    </w:p>
    <w:p>
      <w:pPr>
        <w:jc w:val="both"/>
        <w:ind w:right="180"/>
        <w:spacing w:after="0" w:line="291" w:lineRule="auto"/>
        <w:rPr>
          <w:sz w:val="20"/>
          <w:szCs w:val="20"/>
          <w:color w:val="auto"/>
        </w:rPr>
      </w:pPr>
      <w:r>
        <w:rPr>
          <w:rFonts w:ascii="Arial" w:cs="Arial" w:eastAsia="Arial" w:hAnsi="Arial"/>
          <w:sz w:val="16"/>
          <w:szCs w:val="16"/>
          <w:color w:val="auto"/>
        </w:rPr>
        <w:t>Our amended and restated certificate of incorporation requires, to the fullest extent permitted by law, that (i) any derivative action or proceeding brought on our behalf, (ii) any action asserting a claim of breach of a fiduciary duty owed by any of our directors, officers or other employees to us or our shareholders,</w:t>
      </w:r>
    </w:p>
    <w:p>
      <w:pPr>
        <w:ind w:right="300" w:firstLine="8"/>
        <w:spacing w:after="0" w:line="255" w:lineRule="auto"/>
        <w:tabs>
          <w:tab w:leader="none" w:pos="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any provision of the DGCL or our amended and restated certificate of incorporation or the bylaws or (iv) any action asserting a claim against us governed by the internal affairs doctrine will have to be brought only in the Court of Chancery in the State of Delaware. Although we believe</w:t>
      </w:r>
    </w:p>
    <w:p>
      <w:pPr>
        <w:spacing w:after="0" w:line="190" w:lineRule="exact"/>
        <w:rPr>
          <w:rFonts w:ascii="Arial" w:cs="Arial" w:eastAsia="Arial" w:hAnsi="Arial"/>
          <w:sz w:val="18"/>
          <w:szCs w:val="18"/>
          <w:color w:val="auto"/>
        </w:rPr>
      </w:pPr>
    </w:p>
    <w:p>
      <w:pPr>
        <w:ind w:left="5620" w:hanging="101"/>
        <w:spacing w:after="0"/>
        <w:tabs>
          <w:tab w:leader="none" w:pos="5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ind w:right="40"/>
        <w:spacing w:after="0" w:line="277" w:lineRule="auto"/>
        <w:rPr>
          <w:sz w:val="20"/>
          <w:szCs w:val="20"/>
          <w:color w:val="auto"/>
        </w:rPr>
      </w:pPr>
      <w:r>
        <w:rPr>
          <w:rFonts w:ascii="Arial" w:cs="Arial" w:eastAsia="Arial" w:hAnsi="Arial"/>
          <w:sz w:val="18"/>
          <w:szCs w:val="18"/>
          <w:color w:val="auto"/>
        </w:rPr>
        <w:t>this provision benefits us by providing increased consistency in the application of Delaware law in the types of lawsuits to which it applies, the provision may have the effect of discouraging lawsuits against our directors and officers.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public company, we are now required to comply with the rules of the U.S. Securities and Exchange Commission, or the SEC, implementing Section 404 of the Sarbanes-Oxley Act of 2002, or the Sarbanes-Oxley Act, and are therefore required to make a formal assessment of the effectiveness of our internal control over financial reporting for that purpose.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Though we are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Additionally, as an emerging growth company, our independent registered public accounting firm is not required to formally attest to the effectiveness of our internal control over financial reporting pursuant to Section 404 until the later of the year following our first annual report required to be filed with the SEC or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8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To comply with the requirements of being a newly public company, we have undertaken various actions, and may need to take additional actions, such as implementing new internal controls and procedures and hiring additional accounting or internal audit staff. Testing and maintaining internal control can divert our management’s attention from other matters that are important to the operation of our business. Additionally, when evaluating our internal control over financial reporting, we may identify material weaknesses that will cause us to be out of compliance with the requirements of Section 404. If we are unable to comply with the requirements of Section 404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NASDAQ, the SEC or other regulatory authorities, which could require additional financial and management resources.</w:t>
      </w:r>
    </w:p>
    <w:p>
      <w:pPr>
        <w:spacing w:after="0" w:line="1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costs as a result of operating as a public company, and our management will devote substantial time to new compliance initiatives.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a publicly traded company, we have incurred and will continue to incur significant legal, accounting and other expenses that we were not required to incur in the recent past. Further, these costs may increase after we are no longer an “emerging growth company” as defined under the JOBS Act. In addition, compliance with new and changing laws, regulations and standards relating to corporate governance and public disclosure, including the Dodd-Frank Wall Street Reform and Customer Protection Act, or the Dodd-Frank Act, and the rules and regulations promulgated and to be promulgated thereunder, as well as under the Sarbanes-Oxley Act, and the rules and regulations of the SEC, has increased and will continue to increase our legal and financial compliance costs and make some activities more difficult, time-consuming or costly. For example, the Exchange Act requires us, among other things, to file annual, quarterly and current reports with respect to our business and operating results. Being a public company and being subject to new rules and regulations has made it more expensive for us to obtain director and officer liability insurance, and we may be required to accept reduced coverage or incur substantially higher costs to continue to obtain coverage. As such, we expect to continue to incur additional annual expenses of $3.0 million to $4.0 million related to operating as a public company. These factors may therefore strain our resources, divert management’s attention, and affect our ability to attract and retain qualified members of our Board and adversely affect our operating margins.</w:t>
      </w:r>
    </w:p>
    <w:p>
      <w:pPr>
        <w:spacing w:after="0" w:line="18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Furthermore, the need to continue to establish the corporate infrastructure demanded of a public company may divert management’s attention from implementing our growth strategy, which could prevent us from improving our business, results of operations and financial condition. We have made, and will continue to make, changes to our internal controls and procedures for financial reporting and accounting systems to meet our reporting obligations as a publicly traded company. However, the measures we take may not be sufficient to satisfy our obligations as a publicly traded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Our operating results and share price may be volatile, and the market price of our common stock may drop</w:t>
      </w:r>
      <w:r>
        <w:rPr>
          <w:rFonts w:ascii="Arial" w:cs="Arial" w:eastAsia="Arial" w:hAnsi="Arial"/>
          <w:sz w:val="18"/>
          <w:szCs w:val="18"/>
          <w:color w:val="auto"/>
        </w:rPr>
        <w:t>.</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Our quarterly operating results have fluctuated, and are likely to fluctuate in the future. In addition, securities markets worldwide have experienced, and are likely to continue to experience, significant price and volume fluctuations. This market volatility, as well as general economic, market or political conditions, could subject the market price of shares of our common stock to wide price fluctuations regardless of our operating performance. The public market for our common stock is new and the trading price of shares of our common stock may fluctuate in response to various factors, including:</w:t>
      </w:r>
    </w:p>
    <w:p>
      <w:pPr>
        <w:spacing w:after="0" w:line="46" w:lineRule="exact"/>
        <w:rPr>
          <w:sz w:val="20"/>
          <w:szCs w:val="20"/>
          <w:color w:val="auto"/>
        </w:rPr>
      </w:pPr>
    </w:p>
    <w:p>
      <w:pPr>
        <w:ind w:left="860" w:hanging="379"/>
        <w:spacing w:after="0"/>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market conditions in the broader stock market or in the healthcare sector;</w:t>
      </w:r>
    </w:p>
    <w:p>
      <w:pPr>
        <w:spacing w:after="0" w:line="25" w:lineRule="exact"/>
        <w:rPr>
          <w:rFonts w:ascii="MS PGothic" w:cs="MS PGothic" w:eastAsia="MS PGothic" w:hAnsi="MS PGothic"/>
          <w:sz w:val="18"/>
          <w:szCs w:val="18"/>
          <w:color w:val="auto"/>
        </w:rPr>
      </w:pPr>
    </w:p>
    <w:p>
      <w:pPr>
        <w:ind w:left="860" w:hanging="379"/>
        <w:spacing w:after="0"/>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developments affecting biopharmaceutical companies generally or biopharmaceutical research and development outsourcing;</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introduction of new products or services by us or our competitors;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9" w:lineRule="exact"/>
        <w:rPr>
          <w:rFonts w:ascii="MS PGothic" w:cs="MS PGothic" w:eastAsia="MS PGothic" w:hAnsi="MS PGothic"/>
          <w:sz w:val="18"/>
          <w:szCs w:val="18"/>
          <w:color w:val="auto"/>
        </w:rPr>
      </w:pPr>
    </w:p>
    <w:p>
      <w:pPr>
        <w:ind w:left="860" w:right="400" w:hanging="379"/>
        <w:spacing w:after="0" w:line="249" w:lineRule="auto"/>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changes in, or failure to meet, earnings estimates or recommendations by research analysts who track our common stock or the stock of other companies in our industries;</w:t>
      </w:r>
    </w:p>
    <w:p>
      <w:pPr>
        <w:ind w:left="860" w:hanging="379"/>
        <w:spacing w:after="0"/>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strategic actions by us, our customers or our competitors, such as acquisitions or restructurings;</w:t>
      </w:r>
    </w:p>
    <w:p>
      <w:pPr>
        <w:spacing w:after="0" w:line="10" w:lineRule="exact"/>
        <w:rPr>
          <w:rFonts w:ascii="MS PGothic" w:cs="MS PGothic" w:eastAsia="MS PGothic" w:hAnsi="MS PGothic"/>
          <w:sz w:val="18"/>
          <w:szCs w:val="18"/>
          <w:color w:val="auto"/>
        </w:rPr>
      </w:pPr>
    </w:p>
    <w:p>
      <w:pPr>
        <w:ind w:left="860" w:hanging="379"/>
        <w:spacing w:after="0"/>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9" w:lineRule="exact"/>
        <w:rPr>
          <w:rFonts w:ascii="MS PGothic" w:cs="MS PGothic" w:eastAsia="MS PGothic" w:hAnsi="MS PGothic"/>
          <w:sz w:val="18"/>
          <w:szCs w:val="18"/>
          <w:color w:val="auto"/>
        </w:rPr>
      </w:pPr>
    </w:p>
    <w:p>
      <w:pPr>
        <w:ind w:left="860" w:right="600" w:hanging="379"/>
        <w:spacing w:after="0" w:line="249" w:lineRule="auto"/>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issuance of new or changed securities analysts’ reports or recommendations or termination of coverage of our common stock by securities analysts;</w:t>
      </w:r>
    </w:p>
    <w:p>
      <w:pPr>
        <w:ind w:left="860" w:hanging="379"/>
        <w:spacing w:after="0"/>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sales, or anticipated sales, of large blocks of our stock;</w:t>
      </w:r>
    </w:p>
    <w:p>
      <w:pPr>
        <w:spacing w:after="0" w:line="10" w:lineRule="exact"/>
        <w:rPr>
          <w:rFonts w:ascii="MS PGothic" w:cs="MS PGothic" w:eastAsia="MS PGothic" w:hAnsi="MS PGothic"/>
          <w:sz w:val="18"/>
          <w:szCs w:val="18"/>
          <w:color w:val="auto"/>
        </w:rPr>
      </w:pPr>
    </w:p>
    <w:p>
      <w:pPr>
        <w:ind w:left="860" w:hanging="379"/>
        <w:spacing w:after="0"/>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the granting or exercise of employee stock options;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volume of trading in our common stock;</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additions or departures of key personnel;</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regulatory or political developments;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litigation and governmental investigations;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changing economic conditions;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defaults on our indebtedness;</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exchange rate fluctuations; and</w:t>
      </w:r>
    </w:p>
    <w:p>
      <w:pPr>
        <w:spacing w:after="0" w:line="9" w:lineRule="exact"/>
        <w:rPr>
          <w:rFonts w:ascii="MS PGothic" w:cs="MS PGothic" w:eastAsia="MS PGothic" w:hAnsi="MS PGothic"/>
          <w:sz w:val="18"/>
          <w:szCs w:val="18"/>
          <w:color w:val="auto"/>
        </w:rPr>
      </w:pPr>
    </w:p>
    <w:p>
      <w:pPr>
        <w:ind w:left="860" w:hanging="379"/>
        <w:spacing w:after="0"/>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the other factors listed in this “Risk Factors” section.</w:t>
      </w:r>
    </w:p>
    <w:p>
      <w:pPr>
        <w:spacing w:after="0" w:line="20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These and other factors, many of which are beyond our control, may cause our operating results and the market price and demand for shares of our common stock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shares of our common stock.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have a material adverse effect on our business, financial condition, results of operations and cash flows.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As of September 30, 2016, we had 40,716,410 shares of outstanding common stock. Outstanding shares of our common stock are freely tradable without restriction under the Securities Act, except as described in the next paragraph with respect to the lock-up arrangements and for any shares of our common stock that may be held or acquired by our directors, executive officers and other affiliates, as that term is defined in the Securities Act, which will be or are restricted securities under the Securities Act. Restricted securities may not be sold in the public market unless the sale is registered under the Securities Act or an exemption from registration is available.</w:t>
      </w:r>
    </w:p>
    <w:p>
      <w:pPr>
        <w:spacing w:after="0" w:line="1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connection with the IPO, we and each of our directors, executive officers and holders of substantially all of our outstanding common stock and options prior to the IPO agreed with the underwriters, subject to certain exceptions, not to sell or otherwise dispose of any shares of our common stock or other capital stock or other securities exercisable or convertible therefor for a period of at least 180 days after August 10, 2016 without the prior written consent of Jefferies LLC, which acted as a representative of the underwriters in the IPO. All of the shares of our common stock outstanding may be sold in the public market by existing shareholders following the expiration of the lock-up period, subject to applicable limitations imposed under federal securities laws.</w:t>
      </w:r>
    </w:p>
    <w:p>
      <w:pPr>
        <w:spacing w:after="0" w:line="15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are also party to a registration rights agreement, or the Registration Rights Agreement, pursuant to which the shares of common stock held by Cinven and Dr. August J. Troendle, our Chief Executive Officer and founder, are eligible for resale, subject to certain limitations set forth therein.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jc w:val="both"/>
        <w:ind w:right="140"/>
        <w:spacing w:after="0" w:line="259" w:lineRule="auto"/>
        <w:rPr>
          <w:sz w:val="20"/>
          <w:szCs w:val="20"/>
          <w:color w:val="auto"/>
        </w:rPr>
      </w:pPr>
      <w:r>
        <w:rPr>
          <w:rFonts w:ascii="Arial" w:cs="Arial" w:eastAsia="Arial" w:hAnsi="Arial"/>
          <w:sz w:val="18"/>
          <w:szCs w:val="18"/>
          <w:color w:val="auto"/>
        </w:rPr>
        <w:t>In connection with the IPO, we filed a registration statement on Form S-8 under the Securities Act to register all shares of common stock issued or issuable under the 2016 Incentive Award Plan, which became effective upon filing. Accordingly, shares registered under such registration statement will be available for sale in the open market following the expiration of the applicable lock-up period. The registration statement on Form S-8 covers 6,000,000 shares of our common stock.</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As restrictions on resale expire or as shares are registered, our share price could drop significantly if the holders of these restricted or newly registered shares sell them or are perceived by the market as intending to sell them. These sales might also make it more difficult for us to sell securities in the future at a time and at a price that we deem appropriate.</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the future, we may also issue additional securities if we need to raise capital or make acquisitions, which could constitute a material portion of our then-outstanding shares of common stock.</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regular cash dividends on our common stock, you may not receive any return on investment unless you sell your common stock for a price greater than that which you paid for it.</w:t>
      </w:r>
    </w:p>
    <w:p>
      <w:pPr>
        <w:spacing w:after="0" w:line="6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do not anticipate paying any regular cash dividends on our common stock for the foreseeable future.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continue to be, limited by covenants of existing and any future outstanding indebtedness we or our subsidiaries incur, including under our existing Senior Secured Credit Facilities. Therefore, any return on investment in our common stock is solely dependent upon the appreciation of the price of our common stock on the open market, which may not occur.</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a holding company and rely on dividends and other payments, advances and transfers of funds from our subsidiaries to meet our obligations and pay any dividends.</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no direct operations and no significant assets other than ownership of 100% of the capital stock of our subsidiaries. Because we conduct our operations through our subsidiaries, we depend on those entities for dividends and other payments to generate the funds necessary to meet our financial obligations, and to pay any dividends with respect to our common stock. Legal and contractual restrictions in our Senior Secured Credit Facilities and other agreements which may govern future indebtedness of our subsidiaries, as well as the financial condition and operating requirements of our subsidiaries, may limit our ability to obtain cash from our subsidiaries. The earnings from, or other available assets of, our subsidiaries might not be sufficient to pay dividends or make distributions or loans to enable us to pay any dividends on our common stock or other obligations. Any of the foregoing could materially and adversely affect our business, financial condition, results of operations and cash flows.</w:t>
      </w:r>
    </w:p>
    <w:p>
      <w:pPr>
        <w:spacing w:after="0" w:line="17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if they adversely change their recommendations regarding our common stock or if our results of operations do not meet their expectations, our share price and trading volume could decline.</w:t>
      </w:r>
    </w:p>
    <w:p>
      <w:pPr>
        <w:spacing w:after="0" w:line="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trading market for shares of our common stock is influenced by the research and reports that industry or securities analysts publish about us or our business. We do not have any control over these analysts. If one or more of these analysts cease coverage of our company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17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JOBS Act provides that, so long as a company qualifies as an “emerging growth company,” it will, among other things:</w:t>
      </w:r>
    </w:p>
    <w:p>
      <w:pPr>
        <w:spacing w:after="0" w:line="117" w:lineRule="exact"/>
        <w:rPr>
          <w:sz w:val="20"/>
          <w:szCs w:val="20"/>
          <w:color w:val="auto"/>
        </w:rPr>
      </w:pPr>
    </w:p>
    <w:p>
      <w:pPr>
        <w:ind w:left="860" w:right="480" w:hanging="379"/>
        <w:spacing w:after="0" w:line="258" w:lineRule="auto"/>
        <w:tabs>
          <w:tab w:leader="none" w:pos="86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1" w:lineRule="exact"/>
        <w:rPr>
          <w:rFonts w:ascii="MS PGothic" w:cs="MS PGothic" w:eastAsia="MS PGothic" w:hAnsi="MS PGothic"/>
          <w:sz w:val="18"/>
          <w:szCs w:val="18"/>
          <w:color w:val="auto"/>
        </w:rPr>
      </w:pPr>
    </w:p>
    <w:p>
      <w:pPr>
        <w:ind w:left="860" w:hanging="379"/>
        <w:spacing w:after="0"/>
        <w:tabs>
          <w:tab w:leader="none" w:pos="86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be exempt from the “say on pay” and “say on golden parachute” advisory vote requirements of the Dodd-Frank Act;</w:t>
      </w:r>
    </w:p>
    <w:p>
      <w:pPr>
        <w:spacing w:after="0" w:line="10" w:lineRule="exact"/>
        <w:rPr>
          <w:rFonts w:ascii="MS PGothic" w:cs="MS PGothic" w:eastAsia="MS PGothic" w:hAnsi="MS PGothic"/>
          <w:sz w:val="18"/>
          <w:szCs w:val="18"/>
          <w:color w:val="auto"/>
        </w:rPr>
      </w:pPr>
    </w:p>
    <w:p>
      <w:pPr>
        <w:ind w:left="860" w:right="40" w:hanging="379"/>
        <w:spacing w:after="0" w:line="264" w:lineRule="auto"/>
        <w:tabs>
          <w:tab w:leader="none" w:pos="860" w:val="left"/>
        </w:tabs>
        <w:numPr>
          <w:ilvl w:val="0"/>
          <w:numId w:val="22"/>
        </w:numPr>
        <w:rPr>
          <w:rFonts w:ascii="MS PGothic" w:cs="MS PGothic" w:eastAsia="MS PGothic" w:hAnsi="MS PGothic"/>
          <w:sz w:val="17"/>
          <w:szCs w:val="17"/>
          <w:color w:val="auto"/>
        </w:rPr>
      </w:pPr>
      <w:r>
        <w:rPr>
          <w:rFonts w:ascii="Arial" w:cs="Arial" w:eastAsia="Arial" w:hAnsi="Arial"/>
          <w:sz w:val="17"/>
          <w:szCs w:val="17"/>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ind w:left="860" w:right="60" w:hanging="379"/>
        <w:spacing w:after="0" w:line="261" w:lineRule="auto"/>
        <w:tabs>
          <w:tab w:leader="none" w:pos="86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be exempt from any rules that may be adopted by the Public Company Accounting Oversight Board requiring mandatory audit firm rotations or a supplement to the auditor’s report on the financial statements.</w:t>
      </w:r>
    </w:p>
    <w:p>
      <w:pPr>
        <w:spacing w:after="0" w:line="18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currently take advantage of each of the exemptions described above. In connection with our IPO, we irrevocably elected not to take advantage of the extension of time to comply with new or revised financial accounting standards available under Section 107(b) of the JOBS Act. We could be an emerging growth company up to the last day of the fiscal year following the fifth anniversary of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ind w:right="740"/>
        <w:spacing w:after="0" w:line="308" w:lineRule="auto"/>
        <w:rPr>
          <w:sz w:val="20"/>
          <w:szCs w:val="20"/>
          <w:color w:val="auto"/>
        </w:rPr>
      </w:pPr>
      <w:r>
        <w:rPr>
          <w:rFonts w:ascii="Arial" w:cs="Arial" w:eastAsia="Arial" w:hAnsi="Arial"/>
          <w:sz w:val="17"/>
          <w:szCs w:val="17"/>
          <w:color w:val="auto"/>
        </w:rPr>
        <w:t>completion of our IPO. We cannot predict if investors will find our common stock less attractive if we elect to rely on these exemptions, or if taking advantage of these exemptions would result in less active trading or more volatility in the price of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July 1, 2016, an employee exercised stock options granted under the 2014 Equity Incentive Plan to purchase a total of 7,407 shares of our common stock at a price of $14.40 per share for an aggregate purchase price of approximately $106,700.</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July 8, 2016, an employee exercised stock options granted under the 2014 Equity Incentive Plan to purchase a total of 1,333 shares of our common stock at a price of $14.40 per share for an aggregate purchase price of approximately $19,200.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1, 2016, an employee exercised stock options granted under the 2014 Equity Incentive Plan to purchase a total of 11,111 shares of our common stock at a price of $14.40 per share for an aggregate purchase price of approximately $161,000.</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September 8, 2016, an employee exercised stock options granted under the 2014 Equity Incentive Plan to purchase a total of 4,444 shares of our common stock at a price of $14.40 per share for an aggregate purchase price of approximately $64,000.</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sales of the above securities were deemed to be exempt from registration under the Securities Act in reliance upon Rule 701 promulgated under Section 3(b) of the Securities Act as transactions pursuant to benefit plans and contracts relating to compensation as provided under Rule 701.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Registered Securities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16, 2016 we completed our IPO of our common stock. The shares sold in the offering were registered under the Securities Act pursuant to the registration statements on Form S-1 (File No. – 333-212236), as amended, which was declared effective by the Securities and Exchange Commission on August 10, 2016. We issued and sold 8,050,000 shares of common stock, including 1,050,000 common shares issued pursuant to the full exercise of the underwriters’ option to purchase additional shares, at a price of $23.00 per share for an aggregate offering price of $185.2 million. The Company raised from the IPO net proceeds of approximately $173.6 million, after deducting underwriting discounts and commissions of approximately $11.6 million. No offering expenses were paid or are payable, directly or indirectly, to any of our officers, directors or their associates, to any person owning 10% or more of any class of our equity securities or to any of our affiliates.</w:t>
      </w:r>
    </w:p>
    <w:p>
      <w:pPr>
        <w:spacing w:after="0" w:line="18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Jefferies LLC and Credit Suisse Securities (USA) LLC acted as joint lead book-running managers and as representatives of the underwriters for the IPO. The offering commenced on August 10, 2016 and did not terminate before all of the securities registered in the Registration Statement were sold.</w:t>
      </w:r>
    </w:p>
    <w:p>
      <w:pPr>
        <w:spacing w:after="0" w:line="14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contemplated in the Prospectus, the net proceeds from the IPO, along with cash on hand, were used to repay $175.0 million of outstanding borrowings under the Senior Secured Term Loan Facility. No payments from the net proceeds were made, directly or indirectly, to any of our officers, directors, or their associates, to any person owning 10% or more of any class of our equity securities or to any of our affiliates.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exhibits in the accompanying Exhibit Index following the signature page are filed or furnished as a part of this report and are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MEDPACE HOLDINGS, INC.</w:t>
      </w:r>
    </w:p>
    <w:p>
      <w:pPr>
        <w:spacing w:after="0" w:line="25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Jesse J. Geiger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Jesse J. Geiger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6"/>
          <w:szCs w:val="16"/>
          <w:i w:val="1"/>
          <w:iCs w:val="1"/>
          <w:color w:val="auto"/>
        </w:rPr>
        <w:t>Chief Financial Officer, and Chief Operating Officer, Laboratory</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Operations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(Authorized Officer and Principal Financial Officer)</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November 3, 2016</w:t>
      </w:r>
    </w:p>
    <w:p>
      <w:pPr>
        <w:spacing w:after="0" w:line="200" w:lineRule="exact"/>
        <w:rPr>
          <w:sz w:val="20"/>
          <w:szCs w:val="20"/>
          <w:color w:val="auto"/>
        </w:rPr>
      </w:pPr>
    </w:p>
    <w:p>
      <w:pPr>
        <w:spacing w:after="0" w:line="28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240" w:top="121" w:right="67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0" w:lineRule="exact"/>
        <w:rPr>
          <w:sz w:val="20"/>
          <w:szCs w:val="20"/>
          <w:color w:val="auto"/>
        </w:rPr>
      </w:pPr>
    </w:p>
    <w:p>
      <w:pPr>
        <w:jc w:val="right"/>
        <w:ind w:right="2540"/>
        <w:spacing w:after="0"/>
        <w:rPr>
          <w:sz w:val="20"/>
          <w:szCs w:val="20"/>
          <w:color w:val="auto"/>
        </w:rPr>
      </w:pPr>
      <w:r>
        <w:rPr>
          <w:rFonts w:ascii="Arial" w:cs="Arial" w:eastAsia="Arial" w:hAnsi="Arial"/>
          <w:sz w:val="17"/>
          <w:szCs w:val="17"/>
          <w:b w:val="1"/>
          <w:bCs w:val="1"/>
          <w:color w:val="auto"/>
        </w:rPr>
        <w:t>Incorporated by Reference</w:t>
      </w:r>
    </w:p>
    <w:p>
      <w:pPr>
        <w:sectPr>
          <w:pgSz w:w="11900" w:h="16838" w:orient="portrait"/>
          <w:cols w:equalWidth="0" w:num="1">
            <w:col w:w="11420"/>
          </w:cols>
          <w:pgMar w:left="240" w:top="121" w:right="239" w:bottom="1440" w:gutter="0" w:footer="0" w:header="0"/>
        </w:sect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5"/>
              </w:rPr>
              <w:t>Exhibit</w:t>
            </w:r>
          </w:p>
        </w:tc>
        <w:tc>
          <w:tcPr>
            <w:tcW w:w="80" w:type="dxa"/>
            <w:vAlign w:val="bottom"/>
          </w:tcPr>
          <w:p>
            <w:pPr>
              <w:spacing w:after="0"/>
              <w:rPr>
                <w:sz w:val="17"/>
                <w:szCs w:val="17"/>
                <w:color w:val="auto"/>
              </w:rPr>
            </w:pPr>
          </w:p>
        </w:tc>
        <w:tc>
          <w:tcPr>
            <w:tcW w:w="410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Number</w:t>
            </w:r>
          </w:p>
        </w:tc>
        <w:tc>
          <w:tcPr>
            <w:tcW w:w="80" w:type="dxa"/>
            <w:vAlign w:val="bottom"/>
          </w:tcPr>
          <w:p>
            <w:pPr>
              <w:spacing w:after="0"/>
              <w:rPr>
                <w:sz w:val="19"/>
                <w:szCs w:val="19"/>
                <w:color w:val="auto"/>
              </w:rPr>
            </w:pPr>
          </w:p>
        </w:tc>
        <w:tc>
          <w:tcPr>
            <w:tcW w:w="4100" w:type="dxa"/>
            <w:vAlign w:val="bottom"/>
            <w:tcBorders>
              <w:bottom w:val="single" w:sz="8" w:color="auto"/>
            </w:tcBorders>
          </w:tcPr>
          <w:p>
            <w:pPr>
              <w:ind w:left="1340"/>
              <w:spacing w:after="0"/>
              <w:rPr>
                <w:sz w:val="20"/>
                <w:szCs w:val="20"/>
                <w:color w:val="auto"/>
              </w:rPr>
            </w:pPr>
            <w:r>
              <w:rPr>
                <w:rFonts w:ascii="Arial" w:cs="Arial" w:eastAsia="Arial" w:hAnsi="Arial"/>
                <w:sz w:val="17"/>
                <w:szCs w:val="17"/>
                <w:b w:val="1"/>
                <w:bCs w:val="1"/>
                <w:color w:val="auto"/>
              </w:rPr>
              <w:t>Exhibit Description</w:t>
            </w:r>
          </w:p>
        </w:tc>
      </w:tr>
      <w:tr>
        <w:trPr>
          <w:trHeight w:val="182"/>
        </w:trPr>
        <w:tc>
          <w:tcPr>
            <w:tcW w:w="20" w:type="dxa"/>
            <w:vAlign w:val="bottom"/>
          </w:tcPr>
          <w:p>
            <w:pPr>
              <w:spacing w:after="0"/>
              <w:rPr>
                <w:sz w:val="15"/>
                <w:szCs w:val="15"/>
                <w:color w:val="auto"/>
              </w:rPr>
            </w:pPr>
          </w:p>
        </w:tc>
        <w:tc>
          <w:tcPr>
            <w:tcW w:w="1220" w:type="dxa"/>
            <w:vAlign w:val="bottom"/>
          </w:tcPr>
          <w:p>
            <w:pPr>
              <w:spacing w:after="0" w:line="182" w:lineRule="exact"/>
              <w:rPr>
                <w:sz w:val="20"/>
                <w:szCs w:val="20"/>
                <w:color w:val="auto"/>
              </w:rPr>
            </w:pPr>
            <w:r>
              <w:rPr>
                <w:rFonts w:ascii="Arial" w:cs="Arial" w:eastAsia="Arial" w:hAnsi="Arial"/>
                <w:sz w:val="17"/>
                <w:szCs w:val="17"/>
                <w:color w:val="auto"/>
              </w:rPr>
              <w:t>3.1</w:t>
            </w:r>
          </w:p>
        </w:tc>
        <w:tc>
          <w:tcPr>
            <w:tcW w:w="80" w:type="dxa"/>
            <w:vAlign w:val="bottom"/>
          </w:tcPr>
          <w:p>
            <w:pPr>
              <w:spacing w:after="0"/>
              <w:rPr>
                <w:sz w:val="15"/>
                <w:szCs w:val="15"/>
                <w:color w:val="auto"/>
              </w:rPr>
            </w:pPr>
          </w:p>
        </w:tc>
        <w:tc>
          <w:tcPr>
            <w:tcW w:w="4100" w:type="dxa"/>
            <w:vAlign w:val="bottom"/>
          </w:tcPr>
          <w:p>
            <w:pPr>
              <w:spacing w:after="0" w:line="182" w:lineRule="exact"/>
              <w:rPr>
                <w:sz w:val="20"/>
                <w:szCs w:val="20"/>
                <w:color w:val="auto"/>
              </w:rPr>
            </w:pPr>
            <w:r>
              <w:rPr>
                <w:rFonts w:ascii="Arial" w:cs="Arial" w:eastAsia="Arial" w:hAnsi="Arial"/>
                <w:sz w:val="17"/>
                <w:szCs w:val="17"/>
                <w:color w:val="auto"/>
              </w:rPr>
              <w:t>Amended and Restated Certificate of Incorporation of</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7"/>
                <w:szCs w:val="17"/>
                <w:color w:val="auto"/>
              </w:rPr>
              <w:t>Medpace Holdings, Inc.</w:t>
            </w:r>
          </w:p>
        </w:tc>
      </w:tr>
      <w:tr>
        <w:trPr>
          <w:trHeight w:val="405"/>
        </w:trPr>
        <w:tc>
          <w:tcPr>
            <w:tcW w:w="1240" w:type="dxa"/>
            <w:vAlign w:val="bottom"/>
            <w:gridSpan w:val="2"/>
          </w:tcPr>
          <w:p>
            <w:pPr>
              <w:spacing w:after="0"/>
              <w:rPr>
                <w:sz w:val="20"/>
                <w:szCs w:val="20"/>
                <w:color w:val="auto"/>
              </w:rPr>
            </w:pPr>
            <w:r>
              <w:rPr>
                <w:rFonts w:ascii="Arial" w:cs="Arial" w:eastAsia="Arial" w:hAnsi="Arial"/>
                <w:sz w:val="17"/>
                <w:szCs w:val="17"/>
                <w:color w:val="auto"/>
              </w:rPr>
              <w:t>3.2</w:t>
            </w:r>
          </w:p>
        </w:tc>
        <w:tc>
          <w:tcPr>
            <w:tcW w:w="4180" w:type="dxa"/>
            <w:vAlign w:val="bottom"/>
            <w:gridSpan w:val="2"/>
          </w:tcPr>
          <w:p>
            <w:pPr>
              <w:ind w:left="80"/>
              <w:spacing w:after="0"/>
              <w:rPr>
                <w:sz w:val="20"/>
                <w:szCs w:val="20"/>
                <w:color w:val="auto"/>
              </w:rPr>
            </w:pPr>
            <w:r>
              <w:rPr>
                <w:rFonts w:ascii="Arial" w:cs="Arial" w:eastAsia="Arial" w:hAnsi="Arial"/>
                <w:sz w:val="17"/>
                <w:szCs w:val="17"/>
                <w:color w:val="auto"/>
                <w:w w:val="93"/>
              </w:rPr>
              <w:t>Amended and Restated Bylaws of Medpace Holdings, Inc.</w:t>
            </w:r>
          </w:p>
        </w:tc>
      </w:tr>
      <w:tr>
        <w:trPr>
          <w:trHeight w:val="391"/>
        </w:trPr>
        <w:tc>
          <w:tcPr>
            <w:tcW w:w="1240" w:type="dxa"/>
            <w:vAlign w:val="bottom"/>
            <w:gridSpan w:val="2"/>
          </w:tcPr>
          <w:p>
            <w:pPr>
              <w:spacing w:after="0"/>
              <w:rPr>
                <w:sz w:val="20"/>
                <w:szCs w:val="20"/>
                <w:color w:val="auto"/>
              </w:rPr>
            </w:pPr>
            <w:r>
              <w:rPr>
                <w:rFonts w:ascii="Arial" w:cs="Arial" w:eastAsia="Arial" w:hAnsi="Arial"/>
                <w:sz w:val="17"/>
                <w:szCs w:val="17"/>
                <w:color w:val="auto"/>
              </w:rPr>
              <w:t>4.1</w:t>
            </w:r>
          </w:p>
        </w:tc>
        <w:tc>
          <w:tcPr>
            <w:tcW w:w="4180" w:type="dxa"/>
            <w:vAlign w:val="bottom"/>
            <w:gridSpan w:val="2"/>
          </w:tcPr>
          <w:p>
            <w:pPr>
              <w:ind w:left="80"/>
              <w:spacing w:after="0"/>
              <w:rPr>
                <w:sz w:val="20"/>
                <w:szCs w:val="20"/>
                <w:color w:val="auto"/>
              </w:rPr>
            </w:pPr>
            <w:r>
              <w:rPr>
                <w:rFonts w:ascii="Arial" w:cs="Arial" w:eastAsia="Arial" w:hAnsi="Arial"/>
                <w:sz w:val="17"/>
                <w:szCs w:val="17"/>
                <w:color w:val="auto"/>
                <w:w w:val="93"/>
              </w:rPr>
              <w:t>Specimen Stock Certificate evidencing shares of common</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7"/>
                <w:szCs w:val="17"/>
                <w:color w:val="auto"/>
              </w:rPr>
              <w:t>stock</w:t>
            </w:r>
          </w:p>
        </w:tc>
      </w:tr>
      <w:tr>
        <w:trPr>
          <w:trHeight w:val="405"/>
        </w:trPr>
        <w:tc>
          <w:tcPr>
            <w:tcW w:w="1240" w:type="dxa"/>
            <w:vAlign w:val="bottom"/>
            <w:gridSpan w:val="2"/>
          </w:tcPr>
          <w:p>
            <w:pPr>
              <w:spacing w:after="0"/>
              <w:rPr>
                <w:sz w:val="20"/>
                <w:szCs w:val="20"/>
                <w:color w:val="auto"/>
              </w:rPr>
            </w:pPr>
            <w:r>
              <w:rPr>
                <w:rFonts w:ascii="Arial" w:cs="Arial" w:eastAsia="Arial" w:hAnsi="Arial"/>
                <w:sz w:val="17"/>
                <w:szCs w:val="17"/>
                <w:color w:val="auto"/>
              </w:rPr>
              <w:t>4.2</w:t>
            </w:r>
          </w:p>
        </w:tc>
        <w:tc>
          <w:tcPr>
            <w:tcW w:w="4180" w:type="dxa"/>
            <w:vAlign w:val="bottom"/>
            <w:gridSpan w:val="2"/>
          </w:tcPr>
          <w:p>
            <w:pPr>
              <w:ind w:left="80"/>
              <w:spacing w:after="0"/>
              <w:rPr>
                <w:sz w:val="20"/>
                <w:szCs w:val="20"/>
                <w:color w:val="auto"/>
              </w:rPr>
            </w:pPr>
            <w:r>
              <w:rPr>
                <w:rFonts w:ascii="Arial" w:cs="Arial" w:eastAsia="Arial" w:hAnsi="Arial"/>
                <w:sz w:val="17"/>
                <w:szCs w:val="17"/>
                <w:color w:val="auto"/>
              </w:rPr>
              <w:t>Voting Agreement</w:t>
            </w:r>
          </w:p>
        </w:tc>
      </w:tr>
      <w:tr>
        <w:trPr>
          <w:trHeight w:val="405"/>
        </w:trPr>
        <w:tc>
          <w:tcPr>
            <w:tcW w:w="1240" w:type="dxa"/>
            <w:vAlign w:val="bottom"/>
            <w:gridSpan w:val="2"/>
          </w:tcPr>
          <w:p>
            <w:pPr>
              <w:spacing w:after="0"/>
              <w:rPr>
                <w:sz w:val="20"/>
                <w:szCs w:val="20"/>
                <w:color w:val="auto"/>
              </w:rPr>
            </w:pPr>
            <w:r>
              <w:rPr>
                <w:rFonts w:ascii="Arial" w:cs="Arial" w:eastAsia="Arial" w:hAnsi="Arial"/>
                <w:sz w:val="17"/>
                <w:szCs w:val="17"/>
                <w:color w:val="auto"/>
              </w:rPr>
              <w:t>10.1</w:t>
            </w:r>
          </w:p>
        </w:tc>
        <w:tc>
          <w:tcPr>
            <w:tcW w:w="4180" w:type="dxa"/>
            <w:vAlign w:val="bottom"/>
            <w:gridSpan w:val="2"/>
          </w:tcPr>
          <w:p>
            <w:pPr>
              <w:ind w:left="80"/>
              <w:spacing w:after="0"/>
              <w:rPr>
                <w:sz w:val="20"/>
                <w:szCs w:val="20"/>
                <w:color w:val="auto"/>
              </w:rPr>
            </w:pPr>
            <w:r>
              <w:rPr>
                <w:rFonts w:ascii="Arial" w:cs="Arial" w:eastAsia="Arial" w:hAnsi="Arial"/>
                <w:sz w:val="17"/>
                <w:szCs w:val="17"/>
                <w:color w:val="auto"/>
              </w:rPr>
              <w:t>Medpace Holdings, Inc. 2016 Incentive Award Plan</w:t>
            </w:r>
          </w:p>
        </w:tc>
      </w:tr>
      <w:tr>
        <w:trPr>
          <w:trHeight w:val="391"/>
        </w:trPr>
        <w:tc>
          <w:tcPr>
            <w:tcW w:w="1240" w:type="dxa"/>
            <w:vAlign w:val="bottom"/>
            <w:gridSpan w:val="2"/>
          </w:tcPr>
          <w:p>
            <w:pPr>
              <w:spacing w:after="0"/>
              <w:rPr>
                <w:sz w:val="20"/>
                <w:szCs w:val="20"/>
                <w:color w:val="auto"/>
              </w:rPr>
            </w:pPr>
            <w:r>
              <w:rPr>
                <w:rFonts w:ascii="Arial" w:cs="Arial" w:eastAsia="Arial" w:hAnsi="Arial"/>
                <w:sz w:val="17"/>
                <w:szCs w:val="17"/>
                <w:color w:val="auto"/>
              </w:rPr>
              <w:t>10.2</w:t>
            </w:r>
          </w:p>
        </w:tc>
        <w:tc>
          <w:tcPr>
            <w:tcW w:w="4180" w:type="dxa"/>
            <w:vAlign w:val="bottom"/>
            <w:gridSpan w:val="2"/>
          </w:tcPr>
          <w:p>
            <w:pPr>
              <w:ind w:left="80"/>
              <w:spacing w:after="0"/>
              <w:rPr>
                <w:sz w:val="20"/>
                <w:szCs w:val="20"/>
                <w:color w:val="auto"/>
              </w:rPr>
            </w:pPr>
            <w:r>
              <w:rPr>
                <w:rFonts w:ascii="Arial" w:cs="Arial" w:eastAsia="Arial" w:hAnsi="Arial"/>
                <w:sz w:val="17"/>
                <w:szCs w:val="17"/>
                <w:color w:val="auto"/>
                <w:w w:val="95"/>
              </w:rPr>
              <w:t>Medpace Holdings, Inc. 2016 Senior Executive Incentive</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7"/>
                <w:szCs w:val="17"/>
                <w:color w:val="auto"/>
              </w:rPr>
              <w:t>Bonus Plan</w:t>
            </w:r>
          </w:p>
        </w:tc>
      </w:tr>
      <w:tr>
        <w:trPr>
          <w:trHeight w:val="405"/>
        </w:trPr>
        <w:tc>
          <w:tcPr>
            <w:tcW w:w="1240" w:type="dxa"/>
            <w:vAlign w:val="bottom"/>
            <w:gridSpan w:val="2"/>
          </w:tcPr>
          <w:p>
            <w:pPr>
              <w:spacing w:after="0"/>
              <w:rPr>
                <w:sz w:val="20"/>
                <w:szCs w:val="20"/>
                <w:color w:val="auto"/>
              </w:rPr>
            </w:pPr>
            <w:r>
              <w:rPr>
                <w:rFonts w:ascii="Arial" w:cs="Arial" w:eastAsia="Arial" w:hAnsi="Arial"/>
                <w:sz w:val="17"/>
                <w:szCs w:val="17"/>
                <w:color w:val="auto"/>
              </w:rPr>
              <w:t>10.3</w:t>
            </w:r>
          </w:p>
        </w:tc>
        <w:tc>
          <w:tcPr>
            <w:tcW w:w="4180" w:type="dxa"/>
            <w:vAlign w:val="bottom"/>
            <w:gridSpan w:val="2"/>
          </w:tcPr>
          <w:p>
            <w:pPr>
              <w:ind w:left="80"/>
              <w:spacing w:after="0"/>
              <w:rPr>
                <w:sz w:val="20"/>
                <w:szCs w:val="20"/>
                <w:color w:val="auto"/>
              </w:rPr>
            </w:pPr>
            <w:r>
              <w:rPr>
                <w:rFonts w:ascii="Arial" w:cs="Arial" w:eastAsia="Arial" w:hAnsi="Arial"/>
                <w:sz w:val="17"/>
                <w:szCs w:val="17"/>
                <w:color w:val="auto"/>
              </w:rPr>
              <w:t>Registration Rights Agreement</w:t>
            </w:r>
          </w:p>
        </w:tc>
      </w:tr>
      <w:tr>
        <w:trPr>
          <w:trHeight w:val="391"/>
        </w:trPr>
        <w:tc>
          <w:tcPr>
            <w:tcW w:w="1240" w:type="dxa"/>
            <w:vAlign w:val="bottom"/>
            <w:gridSpan w:val="2"/>
          </w:tcPr>
          <w:p>
            <w:pPr>
              <w:spacing w:after="0"/>
              <w:rPr>
                <w:sz w:val="20"/>
                <w:szCs w:val="20"/>
                <w:color w:val="auto"/>
              </w:rPr>
            </w:pPr>
            <w:r>
              <w:rPr>
                <w:rFonts w:ascii="Arial" w:cs="Arial" w:eastAsia="Arial" w:hAnsi="Arial"/>
                <w:sz w:val="17"/>
                <w:szCs w:val="17"/>
                <w:color w:val="auto"/>
              </w:rPr>
              <w:t>10.4</w:t>
            </w:r>
          </w:p>
        </w:tc>
        <w:tc>
          <w:tcPr>
            <w:tcW w:w="4180" w:type="dxa"/>
            <w:vAlign w:val="bottom"/>
            <w:gridSpan w:val="2"/>
          </w:tcPr>
          <w:p>
            <w:pPr>
              <w:ind w:left="80"/>
              <w:spacing w:after="0"/>
              <w:rPr>
                <w:sz w:val="20"/>
                <w:szCs w:val="20"/>
                <w:color w:val="auto"/>
              </w:rPr>
            </w:pPr>
            <w:r>
              <w:rPr>
                <w:rFonts w:ascii="Arial" w:cs="Arial" w:eastAsia="Arial" w:hAnsi="Arial"/>
                <w:sz w:val="17"/>
                <w:szCs w:val="17"/>
                <w:color w:val="auto"/>
                <w:w w:val="99"/>
              </w:rPr>
              <w:t>Form of Medpace Holdings, Inc. 2016 Incentive Award</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7"/>
                <w:szCs w:val="17"/>
                <w:color w:val="auto"/>
              </w:rPr>
              <w:t>Plan Restricted Stock Award Grant Notice</w:t>
            </w:r>
          </w:p>
        </w:tc>
      </w:tr>
      <w:tr>
        <w:trPr>
          <w:trHeight w:val="391"/>
        </w:trPr>
        <w:tc>
          <w:tcPr>
            <w:tcW w:w="1240" w:type="dxa"/>
            <w:vAlign w:val="bottom"/>
            <w:gridSpan w:val="2"/>
          </w:tcPr>
          <w:p>
            <w:pPr>
              <w:spacing w:after="0"/>
              <w:rPr>
                <w:sz w:val="20"/>
                <w:szCs w:val="20"/>
                <w:color w:val="auto"/>
              </w:rPr>
            </w:pPr>
            <w:r>
              <w:rPr>
                <w:rFonts w:ascii="Arial" w:cs="Arial" w:eastAsia="Arial" w:hAnsi="Arial"/>
                <w:sz w:val="17"/>
                <w:szCs w:val="17"/>
                <w:color w:val="auto"/>
              </w:rPr>
              <w:t>10.5</w:t>
            </w:r>
          </w:p>
        </w:tc>
        <w:tc>
          <w:tcPr>
            <w:tcW w:w="4180" w:type="dxa"/>
            <w:vAlign w:val="bottom"/>
            <w:gridSpan w:val="2"/>
          </w:tcPr>
          <w:p>
            <w:pPr>
              <w:ind w:left="80"/>
              <w:spacing w:after="0"/>
              <w:rPr>
                <w:sz w:val="20"/>
                <w:szCs w:val="20"/>
                <w:color w:val="auto"/>
              </w:rPr>
            </w:pPr>
            <w:r>
              <w:rPr>
                <w:rFonts w:ascii="Arial" w:cs="Arial" w:eastAsia="Arial" w:hAnsi="Arial"/>
                <w:sz w:val="17"/>
                <w:szCs w:val="17"/>
                <w:color w:val="auto"/>
                <w:w w:val="99"/>
              </w:rPr>
              <w:t>Form of Medpace Holdings, Inc. 2016 Incentive Award</w:t>
            </w:r>
          </w:p>
        </w:tc>
      </w:tr>
      <w:tr>
        <w:trPr>
          <w:trHeight w:val="203"/>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180" w:type="dxa"/>
            <w:vAlign w:val="bottom"/>
            <w:gridSpan w:val="2"/>
          </w:tcPr>
          <w:p>
            <w:pPr>
              <w:ind w:left="80"/>
              <w:spacing w:after="0"/>
              <w:rPr>
                <w:sz w:val="20"/>
                <w:szCs w:val="20"/>
                <w:color w:val="auto"/>
              </w:rPr>
            </w:pPr>
            <w:r>
              <w:rPr>
                <w:rFonts w:ascii="Arial" w:cs="Arial" w:eastAsia="Arial" w:hAnsi="Arial"/>
                <w:sz w:val="17"/>
                <w:szCs w:val="17"/>
                <w:color w:val="auto"/>
              </w:rPr>
              <w:t>Plan Stock Option Grant Notice and Stock Option</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7"/>
                <w:szCs w:val="17"/>
                <w:color w:val="auto"/>
              </w:rPr>
              <w:t>Agreement</w:t>
            </w:r>
          </w:p>
        </w:tc>
      </w:tr>
      <w:tr>
        <w:trPr>
          <w:trHeight w:val="391"/>
        </w:trPr>
        <w:tc>
          <w:tcPr>
            <w:tcW w:w="1240" w:type="dxa"/>
            <w:vAlign w:val="bottom"/>
            <w:gridSpan w:val="2"/>
          </w:tcPr>
          <w:p>
            <w:pPr>
              <w:spacing w:after="0"/>
              <w:rPr>
                <w:sz w:val="20"/>
                <w:szCs w:val="20"/>
                <w:color w:val="auto"/>
              </w:rPr>
            </w:pPr>
            <w:r>
              <w:rPr>
                <w:rFonts w:ascii="Arial" w:cs="Arial" w:eastAsia="Arial" w:hAnsi="Arial"/>
                <w:sz w:val="17"/>
                <w:szCs w:val="17"/>
                <w:color w:val="auto"/>
              </w:rPr>
              <w:t>10.6</w:t>
            </w:r>
          </w:p>
        </w:tc>
        <w:tc>
          <w:tcPr>
            <w:tcW w:w="4180" w:type="dxa"/>
            <w:vAlign w:val="bottom"/>
            <w:gridSpan w:val="2"/>
          </w:tcPr>
          <w:p>
            <w:pPr>
              <w:ind w:left="80"/>
              <w:spacing w:after="0"/>
              <w:rPr>
                <w:sz w:val="20"/>
                <w:szCs w:val="20"/>
                <w:color w:val="auto"/>
              </w:rPr>
            </w:pPr>
            <w:r>
              <w:rPr>
                <w:rFonts w:ascii="Arial" w:cs="Arial" w:eastAsia="Arial" w:hAnsi="Arial"/>
                <w:sz w:val="17"/>
                <w:szCs w:val="17"/>
                <w:color w:val="auto"/>
                <w:w w:val="99"/>
              </w:rPr>
              <w:t>Form of Medpace Holdings, Inc. 2016 Incentive Award</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7"/>
                <w:szCs w:val="17"/>
                <w:color w:val="auto"/>
              </w:rPr>
              <w:t>Plan Restricted Stock Unit Award Grant Notice.</w:t>
            </w:r>
          </w:p>
        </w:tc>
      </w:tr>
      <w:tr>
        <w:trPr>
          <w:trHeight w:val="391"/>
        </w:trPr>
        <w:tc>
          <w:tcPr>
            <w:tcW w:w="1240" w:type="dxa"/>
            <w:vAlign w:val="bottom"/>
            <w:gridSpan w:val="2"/>
          </w:tcPr>
          <w:p>
            <w:pPr>
              <w:spacing w:after="0"/>
              <w:rPr>
                <w:sz w:val="20"/>
                <w:szCs w:val="20"/>
                <w:color w:val="auto"/>
              </w:rPr>
            </w:pPr>
            <w:r>
              <w:rPr>
                <w:rFonts w:ascii="Arial" w:cs="Arial" w:eastAsia="Arial" w:hAnsi="Arial"/>
                <w:sz w:val="17"/>
                <w:szCs w:val="17"/>
                <w:color w:val="auto"/>
              </w:rPr>
              <w:t>10.7</w:t>
            </w:r>
          </w:p>
        </w:tc>
        <w:tc>
          <w:tcPr>
            <w:tcW w:w="4180" w:type="dxa"/>
            <w:vAlign w:val="bottom"/>
            <w:gridSpan w:val="2"/>
          </w:tcPr>
          <w:p>
            <w:pPr>
              <w:ind w:left="80"/>
              <w:spacing w:after="0"/>
              <w:rPr>
                <w:sz w:val="20"/>
                <w:szCs w:val="20"/>
                <w:color w:val="auto"/>
              </w:rPr>
            </w:pPr>
            <w:r>
              <w:rPr>
                <w:rFonts w:ascii="Arial" w:cs="Arial" w:eastAsia="Arial" w:hAnsi="Arial"/>
                <w:sz w:val="17"/>
                <w:szCs w:val="17"/>
                <w:color w:val="auto"/>
                <w:w w:val="95"/>
              </w:rPr>
              <w:t>Medpace Holdings, Inc. 2016 Incentive Award Plan Sub-</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7"/>
                <w:szCs w:val="17"/>
                <w:color w:val="auto"/>
              </w:rPr>
              <w:t>Plan for UK Participants</w:t>
            </w:r>
          </w:p>
        </w:tc>
      </w:tr>
      <w:tr>
        <w:trPr>
          <w:trHeight w:val="391"/>
        </w:trPr>
        <w:tc>
          <w:tcPr>
            <w:tcW w:w="1240" w:type="dxa"/>
            <w:vAlign w:val="bottom"/>
            <w:gridSpan w:val="2"/>
          </w:tcPr>
          <w:p>
            <w:pPr>
              <w:spacing w:after="0"/>
              <w:rPr>
                <w:sz w:val="20"/>
                <w:szCs w:val="20"/>
                <w:color w:val="auto"/>
              </w:rPr>
            </w:pPr>
            <w:r>
              <w:rPr>
                <w:rFonts w:ascii="Arial" w:cs="Arial" w:eastAsia="Arial" w:hAnsi="Arial"/>
                <w:sz w:val="17"/>
                <w:szCs w:val="17"/>
                <w:color w:val="auto"/>
              </w:rPr>
              <w:t>10.8</w:t>
            </w:r>
          </w:p>
        </w:tc>
        <w:tc>
          <w:tcPr>
            <w:tcW w:w="4180" w:type="dxa"/>
            <w:vAlign w:val="bottom"/>
            <w:gridSpan w:val="2"/>
          </w:tcPr>
          <w:p>
            <w:pPr>
              <w:ind w:left="80"/>
              <w:spacing w:after="0"/>
              <w:rPr>
                <w:sz w:val="20"/>
                <w:szCs w:val="20"/>
                <w:color w:val="auto"/>
              </w:rPr>
            </w:pPr>
            <w:r>
              <w:rPr>
                <w:rFonts w:ascii="Arial" w:cs="Arial" w:eastAsia="Arial" w:hAnsi="Arial"/>
                <w:sz w:val="17"/>
                <w:szCs w:val="17"/>
                <w:color w:val="auto"/>
              </w:rPr>
              <w:t>Medpace Holdings, Inc. Non-Employee Director</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7"/>
                <w:szCs w:val="17"/>
                <w:color w:val="auto"/>
              </w:rPr>
              <w:t>Compensation Policy</w:t>
            </w:r>
          </w:p>
        </w:tc>
      </w:tr>
      <w:tr>
        <w:trPr>
          <w:trHeight w:val="391"/>
        </w:trPr>
        <w:tc>
          <w:tcPr>
            <w:tcW w:w="1240" w:type="dxa"/>
            <w:vAlign w:val="bottom"/>
            <w:gridSpan w:val="2"/>
          </w:tcPr>
          <w:p>
            <w:pPr>
              <w:spacing w:after="0"/>
              <w:rPr>
                <w:sz w:val="20"/>
                <w:szCs w:val="20"/>
                <w:color w:val="auto"/>
              </w:rPr>
            </w:pPr>
            <w:r>
              <w:rPr>
                <w:rFonts w:ascii="Arial" w:cs="Arial" w:eastAsia="Arial" w:hAnsi="Arial"/>
                <w:sz w:val="17"/>
                <w:szCs w:val="17"/>
                <w:color w:val="auto"/>
              </w:rPr>
              <w:t>10.9</w:t>
            </w:r>
          </w:p>
        </w:tc>
        <w:tc>
          <w:tcPr>
            <w:tcW w:w="4180" w:type="dxa"/>
            <w:vAlign w:val="bottom"/>
            <w:gridSpan w:val="2"/>
          </w:tcPr>
          <w:p>
            <w:pPr>
              <w:ind w:left="80"/>
              <w:spacing w:after="0"/>
              <w:rPr>
                <w:sz w:val="20"/>
                <w:szCs w:val="20"/>
                <w:color w:val="auto"/>
              </w:rPr>
            </w:pPr>
            <w:r>
              <w:rPr>
                <w:rFonts w:ascii="Arial" w:cs="Arial" w:eastAsia="Arial" w:hAnsi="Arial"/>
                <w:sz w:val="17"/>
                <w:szCs w:val="17"/>
                <w:color w:val="auto"/>
                <w:w w:val="95"/>
              </w:rPr>
              <w:t>Amended and Restated Employment Agreement, by and</w:t>
            </w:r>
          </w:p>
        </w:tc>
      </w:tr>
      <w:tr>
        <w:trPr>
          <w:trHeight w:val="203"/>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180" w:type="dxa"/>
            <w:vAlign w:val="bottom"/>
            <w:gridSpan w:val="2"/>
          </w:tcPr>
          <w:p>
            <w:pPr>
              <w:ind w:left="80"/>
              <w:spacing w:after="0"/>
              <w:rPr>
                <w:sz w:val="20"/>
                <w:szCs w:val="20"/>
                <w:color w:val="auto"/>
              </w:rPr>
            </w:pPr>
            <w:r>
              <w:rPr>
                <w:rFonts w:ascii="Arial" w:cs="Arial" w:eastAsia="Arial" w:hAnsi="Arial"/>
                <w:sz w:val="17"/>
                <w:szCs w:val="17"/>
                <w:color w:val="auto"/>
              </w:rPr>
              <w:t>between Medpace Holdings, Inc. and Dr. August J.</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7"/>
                <w:szCs w:val="17"/>
                <w:color w:val="auto"/>
              </w:rPr>
              <w:t>Troendle</w:t>
            </w:r>
          </w:p>
        </w:tc>
      </w:tr>
      <w:tr>
        <w:trPr>
          <w:trHeight w:val="391"/>
        </w:trPr>
        <w:tc>
          <w:tcPr>
            <w:tcW w:w="1240" w:type="dxa"/>
            <w:vAlign w:val="bottom"/>
            <w:gridSpan w:val="2"/>
          </w:tcPr>
          <w:p>
            <w:pPr>
              <w:spacing w:after="0"/>
              <w:rPr>
                <w:sz w:val="20"/>
                <w:szCs w:val="20"/>
                <w:color w:val="auto"/>
              </w:rPr>
            </w:pPr>
            <w:r>
              <w:rPr>
                <w:rFonts w:ascii="Arial" w:cs="Arial" w:eastAsia="Arial" w:hAnsi="Arial"/>
                <w:sz w:val="17"/>
                <w:szCs w:val="17"/>
                <w:color w:val="auto"/>
              </w:rPr>
              <w:t>10.10</w:t>
            </w:r>
          </w:p>
        </w:tc>
        <w:tc>
          <w:tcPr>
            <w:tcW w:w="4180" w:type="dxa"/>
            <w:vAlign w:val="bottom"/>
            <w:gridSpan w:val="2"/>
          </w:tcPr>
          <w:p>
            <w:pPr>
              <w:ind w:left="80"/>
              <w:spacing w:after="0"/>
              <w:rPr>
                <w:sz w:val="20"/>
                <w:szCs w:val="20"/>
                <w:color w:val="auto"/>
              </w:rPr>
            </w:pPr>
            <w:r>
              <w:rPr>
                <w:rFonts w:ascii="Arial" w:cs="Arial" w:eastAsia="Arial" w:hAnsi="Arial"/>
                <w:sz w:val="17"/>
                <w:szCs w:val="17"/>
                <w:color w:val="auto"/>
                <w:w w:val="98"/>
              </w:rPr>
              <w:t>Medpace Holdings, Inc. 2016 Incentive Award Plan UK</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7"/>
                <w:szCs w:val="17"/>
                <w:color w:val="auto"/>
              </w:rPr>
              <w:t>Company Share Option Plan (CSOP) Sub-Plan</w:t>
            </w:r>
          </w:p>
        </w:tc>
      </w:tr>
      <w:tr>
        <w:trPr>
          <w:trHeight w:val="391"/>
        </w:trPr>
        <w:tc>
          <w:tcPr>
            <w:tcW w:w="1240" w:type="dxa"/>
            <w:vAlign w:val="bottom"/>
            <w:gridSpan w:val="2"/>
          </w:tcPr>
          <w:p>
            <w:pPr>
              <w:spacing w:after="0"/>
              <w:rPr>
                <w:sz w:val="20"/>
                <w:szCs w:val="20"/>
                <w:color w:val="auto"/>
              </w:rPr>
            </w:pPr>
            <w:r>
              <w:rPr>
                <w:rFonts w:ascii="Arial" w:cs="Arial" w:eastAsia="Arial" w:hAnsi="Arial"/>
                <w:sz w:val="17"/>
                <w:szCs w:val="17"/>
                <w:color w:val="auto"/>
              </w:rPr>
              <w:t>31.1</w:t>
            </w:r>
          </w:p>
        </w:tc>
        <w:tc>
          <w:tcPr>
            <w:tcW w:w="4180" w:type="dxa"/>
            <w:vAlign w:val="bottom"/>
            <w:gridSpan w:val="2"/>
          </w:tcPr>
          <w:p>
            <w:pPr>
              <w:ind w:left="80"/>
              <w:spacing w:after="0"/>
              <w:rPr>
                <w:sz w:val="20"/>
                <w:szCs w:val="20"/>
                <w:color w:val="auto"/>
              </w:rPr>
            </w:pPr>
            <w:r>
              <w:rPr>
                <w:rFonts w:ascii="Arial" w:cs="Arial" w:eastAsia="Arial" w:hAnsi="Arial"/>
                <w:sz w:val="17"/>
                <w:szCs w:val="17"/>
                <w:color w:val="auto"/>
                <w:w w:val="93"/>
              </w:rPr>
              <w:t>Rule 13a-14(a) / 15d-14(a) Certification of Chief Executive</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7"/>
                <w:szCs w:val="17"/>
                <w:color w:val="auto"/>
              </w:rPr>
              <w:t>Officer</w:t>
            </w:r>
          </w:p>
        </w:tc>
      </w:tr>
      <w:tr>
        <w:trPr>
          <w:trHeight w:val="391"/>
        </w:trPr>
        <w:tc>
          <w:tcPr>
            <w:tcW w:w="1240" w:type="dxa"/>
            <w:vAlign w:val="bottom"/>
            <w:gridSpan w:val="2"/>
          </w:tcPr>
          <w:p>
            <w:pPr>
              <w:spacing w:after="0"/>
              <w:rPr>
                <w:sz w:val="20"/>
                <w:szCs w:val="20"/>
                <w:color w:val="auto"/>
              </w:rPr>
            </w:pPr>
            <w:r>
              <w:rPr>
                <w:rFonts w:ascii="Arial" w:cs="Arial" w:eastAsia="Arial" w:hAnsi="Arial"/>
                <w:sz w:val="17"/>
                <w:szCs w:val="17"/>
                <w:color w:val="auto"/>
              </w:rPr>
              <w:t>31.2</w:t>
            </w:r>
          </w:p>
        </w:tc>
        <w:tc>
          <w:tcPr>
            <w:tcW w:w="4180" w:type="dxa"/>
            <w:vAlign w:val="bottom"/>
            <w:gridSpan w:val="2"/>
          </w:tcPr>
          <w:p>
            <w:pPr>
              <w:ind w:left="80"/>
              <w:spacing w:after="0"/>
              <w:rPr>
                <w:sz w:val="20"/>
                <w:szCs w:val="20"/>
                <w:color w:val="auto"/>
              </w:rPr>
            </w:pPr>
            <w:r>
              <w:rPr>
                <w:rFonts w:ascii="Arial" w:cs="Arial" w:eastAsia="Arial" w:hAnsi="Arial"/>
                <w:sz w:val="17"/>
                <w:szCs w:val="17"/>
                <w:color w:val="auto"/>
                <w:w w:val="94"/>
              </w:rPr>
              <w:t>Rule 13a-14(a) / 15d-14(a) Certification of Chief Financial</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7"/>
                <w:szCs w:val="17"/>
                <w:color w:val="auto"/>
              </w:rPr>
              <w:t>Officer</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spacing w:after="0" w:line="183" w:lineRule="exact"/>
              <w:rPr>
                <w:sz w:val="20"/>
                <w:szCs w:val="20"/>
                <w:color w:val="auto"/>
              </w:rPr>
            </w:pPr>
            <w:r>
              <w:rPr>
                <w:rFonts w:ascii="Arial" w:cs="Arial" w:eastAsia="Arial" w:hAnsi="Arial"/>
                <w:sz w:val="17"/>
                <w:szCs w:val="17"/>
                <w:b w:val="1"/>
                <w:bCs w:val="1"/>
                <w:color w:val="auto"/>
                <w:w w:val="94"/>
              </w:rPr>
              <w:t>Filed/</w:t>
            </w:r>
          </w:p>
        </w:tc>
      </w:tr>
      <w:tr>
        <w:trPr>
          <w:trHeight w:val="203"/>
        </w:trPr>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Filing</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89"/>
              </w:rPr>
              <w:t>Furnished</w:t>
            </w:r>
          </w:p>
        </w:tc>
      </w:tr>
      <w:tr>
        <w:trPr>
          <w:trHeight w:val="224"/>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Form</w:t>
            </w:r>
          </w:p>
        </w:tc>
        <w:tc>
          <w:tcPr>
            <w:tcW w:w="140" w:type="dxa"/>
            <w:vAlign w:val="bottom"/>
          </w:tcPr>
          <w:p>
            <w:pPr>
              <w:spacing w:after="0"/>
              <w:rPr>
                <w:sz w:val="19"/>
                <w:szCs w:val="19"/>
                <w:color w:val="auto"/>
              </w:rPr>
            </w:pPr>
          </w:p>
        </w:tc>
        <w:tc>
          <w:tcPr>
            <w:tcW w:w="1580" w:type="dxa"/>
            <w:vAlign w:val="bottom"/>
            <w:tcBorders>
              <w:bottom w:val="single" w:sz="8" w:color="auto"/>
            </w:tcBorders>
          </w:tcPr>
          <w:p>
            <w:pPr>
              <w:ind w:left="500"/>
              <w:spacing w:after="0"/>
              <w:rPr>
                <w:sz w:val="20"/>
                <w:szCs w:val="20"/>
                <w:color w:val="auto"/>
              </w:rPr>
            </w:pPr>
            <w:r>
              <w:rPr>
                <w:rFonts w:ascii="Arial" w:cs="Arial" w:eastAsia="Arial" w:hAnsi="Arial"/>
                <w:sz w:val="17"/>
                <w:szCs w:val="17"/>
                <w:b w:val="1"/>
                <w:bCs w:val="1"/>
                <w:color w:val="auto"/>
              </w:rPr>
              <w:t>File No.</w:t>
            </w:r>
          </w:p>
        </w:tc>
        <w:tc>
          <w:tcPr>
            <w:tcW w:w="120" w:type="dxa"/>
            <w:vAlign w:val="bottom"/>
          </w:tcPr>
          <w:p>
            <w:pPr>
              <w:spacing w:after="0"/>
              <w:rPr>
                <w:sz w:val="19"/>
                <w:szCs w:val="19"/>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Exhibit</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Date</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Herewith</w:t>
            </w:r>
          </w:p>
        </w:tc>
      </w:tr>
      <w:tr>
        <w:trPr>
          <w:trHeight w:val="289"/>
        </w:trPr>
        <w:tc>
          <w:tcPr>
            <w:tcW w:w="132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001-37856</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8/16/16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32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001-37856</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8/16/16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0"/>
        </w:trPr>
        <w:tc>
          <w:tcPr>
            <w:tcW w:w="132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S-1/A</w:t>
            </w: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333-212236</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7/26/16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405"/>
        </w:trPr>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500"/>
        </w:trPr>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513"/>
        </w:trPr>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500"/>
        </w:trPr>
        <w:tc>
          <w:tcPr>
            <w:tcW w:w="132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S-1/A</w:t>
            </w: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333-212236</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89"/>
              </w:rPr>
              <w:t>10.13</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8/1/16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16"/>
        </w:trPr>
        <w:tc>
          <w:tcPr>
            <w:tcW w:w="132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S-1/A</w:t>
            </w: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333-212236</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89"/>
              </w:rPr>
              <w:t>10.14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8/1/16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02"/>
        </w:trPr>
        <w:tc>
          <w:tcPr>
            <w:tcW w:w="132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S-1/A</w:t>
            </w: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333-212236</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89"/>
              </w:rPr>
              <w:t>10.15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8/1/16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08"/>
        </w:trPr>
        <w:tc>
          <w:tcPr>
            <w:tcW w:w="132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S-1/A</w:t>
            </w: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333-212236</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89"/>
              </w:rPr>
              <w:t>10.16</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8/1/16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08"/>
        </w:trPr>
        <w:tc>
          <w:tcPr>
            <w:tcW w:w="1320" w:type="dxa"/>
            <w:vAlign w:val="bottom"/>
            <w:gridSpan w:val="2"/>
          </w:tcPr>
          <w:p>
            <w:pPr>
              <w:jc w:val="center"/>
              <w:ind w:right="160"/>
              <w:spacing w:after="0"/>
              <w:rPr>
                <w:sz w:val="20"/>
                <w:szCs w:val="20"/>
                <w:color w:val="auto"/>
              </w:rPr>
            </w:pPr>
            <w:r>
              <w:rPr>
                <w:rFonts w:ascii="Arial" w:cs="Arial" w:eastAsia="Arial" w:hAnsi="Arial"/>
                <w:sz w:val="17"/>
                <w:szCs w:val="17"/>
                <w:color w:val="auto"/>
                <w:w w:val="90"/>
              </w:rPr>
              <w:t>S-1</w:t>
            </w: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333-212236</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89"/>
              </w:rPr>
              <w:t>10.17</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6/24/16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16"/>
        </w:trPr>
        <w:tc>
          <w:tcPr>
            <w:tcW w:w="132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S-1/A</w:t>
            </w: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333-212236</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89"/>
              </w:rPr>
              <w:t>10.18</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7/26/16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02"/>
        </w:trPr>
        <w:tc>
          <w:tcPr>
            <w:tcW w:w="132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S-1/A</w:t>
            </w: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333-212236</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89"/>
              </w:rPr>
              <w:t>10.19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8/1/16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08"/>
        </w:trPr>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608"/>
        </w:trPr>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w:t>
            </w:r>
          </w:p>
        </w:tc>
      </w:tr>
    </w:tbl>
    <w:p>
      <w:pPr>
        <w:spacing w:after="0" w:line="308" w:lineRule="exact"/>
        <w:rPr>
          <w:sz w:val="20"/>
          <w:szCs w:val="20"/>
          <w:color w:val="auto"/>
        </w:rPr>
      </w:pPr>
    </w:p>
    <w:p>
      <w:pPr>
        <w:sectPr>
          <w:pgSz w:w="11900" w:h="16838" w:orient="portrait"/>
          <w:cols w:equalWidth="0" w:num="2">
            <w:col w:w="5420" w:space="120"/>
            <w:col w:w="5880"/>
          </w:cols>
          <w:pgMar w:left="240" w:top="121" w:right="239" w:bottom="1440" w:gutter="0" w:footer="0" w:header="0"/>
          <w:type w:val="continuous"/>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17"/>
        </w:trPr>
        <w:tc>
          <w:tcPr>
            <w:tcW w:w="980" w:type="dxa"/>
            <w:vAlign w:val="bottom"/>
          </w:tcPr>
          <w:p>
            <w:pPr>
              <w:spacing w:after="0"/>
              <w:rPr>
                <w:sz w:val="20"/>
                <w:szCs w:val="20"/>
                <w:color w:val="auto"/>
              </w:rPr>
            </w:pPr>
            <w:r>
              <w:rPr>
                <w:rFonts w:ascii="Arial" w:cs="Arial" w:eastAsia="Arial" w:hAnsi="Arial"/>
                <w:sz w:val="17"/>
                <w:szCs w:val="17"/>
                <w:color w:val="auto"/>
              </w:rPr>
              <w:t>32.1</w:t>
            </w:r>
          </w:p>
        </w:tc>
        <w:tc>
          <w:tcPr>
            <w:tcW w:w="7000" w:type="dxa"/>
            <w:vAlign w:val="bottom"/>
          </w:tcPr>
          <w:p>
            <w:pPr>
              <w:ind w:left="340"/>
              <w:spacing w:after="0"/>
              <w:rPr>
                <w:sz w:val="20"/>
                <w:szCs w:val="20"/>
                <w:color w:val="auto"/>
              </w:rPr>
            </w:pPr>
            <w:r>
              <w:rPr>
                <w:rFonts w:ascii="Arial" w:cs="Arial" w:eastAsia="Arial" w:hAnsi="Arial"/>
                <w:sz w:val="17"/>
                <w:szCs w:val="17"/>
                <w:color w:val="auto"/>
              </w:rPr>
              <w:t>Section 1350 Certification of Chief Executive Officer</w:t>
            </w:r>
          </w:p>
        </w:tc>
        <w:tc>
          <w:tcPr>
            <w:tcW w:w="3020" w:type="dxa"/>
            <w:vAlign w:val="bottom"/>
          </w:tcPr>
          <w:p>
            <w:pPr>
              <w:jc w:val="center"/>
              <w:ind w:left="27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5"/>
        </w:trPr>
        <w:tc>
          <w:tcPr>
            <w:tcW w:w="980" w:type="dxa"/>
            <w:vAlign w:val="bottom"/>
          </w:tcPr>
          <w:p>
            <w:pPr>
              <w:spacing w:after="0"/>
              <w:rPr>
                <w:sz w:val="20"/>
                <w:szCs w:val="20"/>
                <w:color w:val="auto"/>
              </w:rPr>
            </w:pPr>
            <w:r>
              <w:rPr>
                <w:rFonts w:ascii="Arial" w:cs="Arial" w:eastAsia="Arial" w:hAnsi="Arial"/>
                <w:sz w:val="17"/>
                <w:szCs w:val="17"/>
                <w:color w:val="auto"/>
              </w:rPr>
              <w:t>32.2</w:t>
            </w:r>
          </w:p>
        </w:tc>
        <w:tc>
          <w:tcPr>
            <w:tcW w:w="7000" w:type="dxa"/>
            <w:vAlign w:val="bottom"/>
          </w:tcPr>
          <w:p>
            <w:pPr>
              <w:ind w:left="340"/>
              <w:spacing w:after="0"/>
              <w:rPr>
                <w:sz w:val="20"/>
                <w:szCs w:val="20"/>
                <w:color w:val="auto"/>
              </w:rPr>
            </w:pPr>
            <w:r>
              <w:rPr>
                <w:rFonts w:ascii="Arial" w:cs="Arial" w:eastAsia="Arial" w:hAnsi="Arial"/>
                <w:sz w:val="17"/>
                <w:szCs w:val="17"/>
                <w:color w:val="auto"/>
              </w:rPr>
              <w:t>Section 1350 Certification of Chief Financial Officer</w:t>
            </w:r>
          </w:p>
        </w:tc>
        <w:tc>
          <w:tcPr>
            <w:tcW w:w="3020" w:type="dxa"/>
            <w:vAlign w:val="bottom"/>
          </w:tcPr>
          <w:p>
            <w:pPr>
              <w:jc w:val="center"/>
              <w:ind w:left="27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5"/>
        </w:trPr>
        <w:tc>
          <w:tcPr>
            <w:tcW w:w="980" w:type="dxa"/>
            <w:vAlign w:val="bottom"/>
          </w:tcPr>
          <w:p>
            <w:pPr>
              <w:spacing w:after="0"/>
              <w:rPr>
                <w:sz w:val="20"/>
                <w:szCs w:val="20"/>
                <w:color w:val="auto"/>
              </w:rPr>
            </w:pPr>
            <w:r>
              <w:rPr>
                <w:rFonts w:ascii="Arial" w:cs="Arial" w:eastAsia="Arial" w:hAnsi="Arial"/>
                <w:sz w:val="17"/>
                <w:szCs w:val="17"/>
                <w:color w:val="auto"/>
              </w:rPr>
              <w:t>101.INS</w:t>
            </w:r>
          </w:p>
        </w:tc>
        <w:tc>
          <w:tcPr>
            <w:tcW w:w="7000" w:type="dxa"/>
            <w:vAlign w:val="bottom"/>
          </w:tcPr>
          <w:p>
            <w:pPr>
              <w:ind w:left="340"/>
              <w:spacing w:after="0"/>
              <w:rPr>
                <w:sz w:val="20"/>
                <w:szCs w:val="20"/>
                <w:color w:val="auto"/>
              </w:rPr>
            </w:pPr>
            <w:r>
              <w:rPr>
                <w:rFonts w:ascii="Arial" w:cs="Arial" w:eastAsia="Arial" w:hAnsi="Arial"/>
                <w:sz w:val="17"/>
                <w:szCs w:val="17"/>
                <w:color w:val="auto"/>
              </w:rPr>
              <w:t>XBRL Instance Document</w:t>
            </w:r>
          </w:p>
        </w:tc>
        <w:tc>
          <w:tcPr>
            <w:tcW w:w="3020" w:type="dxa"/>
            <w:vAlign w:val="bottom"/>
          </w:tcPr>
          <w:p>
            <w:pPr>
              <w:jc w:val="center"/>
              <w:ind w:left="27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5"/>
        </w:trPr>
        <w:tc>
          <w:tcPr>
            <w:tcW w:w="980" w:type="dxa"/>
            <w:vAlign w:val="bottom"/>
          </w:tcPr>
          <w:p>
            <w:pPr>
              <w:spacing w:after="0"/>
              <w:rPr>
                <w:sz w:val="20"/>
                <w:szCs w:val="20"/>
                <w:color w:val="auto"/>
              </w:rPr>
            </w:pPr>
            <w:r>
              <w:rPr>
                <w:rFonts w:ascii="Arial" w:cs="Arial" w:eastAsia="Arial" w:hAnsi="Arial"/>
                <w:sz w:val="17"/>
                <w:szCs w:val="17"/>
                <w:color w:val="auto"/>
              </w:rPr>
              <w:t>101.SCH</w:t>
            </w:r>
          </w:p>
        </w:tc>
        <w:tc>
          <w:tcPr>
            <w:tcW w:w="7000" w:type="dxa"/>
            <w:vAlign w:val="bottom"/>
          </w:tcPr>
          <w:p>
            <w:pPr>
              <w:ind w:left="340"/>
              <w:spacing w:after="0"/>
              <w:rPr>
                <w:sz w:val="20"/>
                <w:szCs w:val="20"/>
                <w:color w:val="auto"/>
              </w:rPr>
            </w:pPr>
            <w:r>
              <w:rPr>
                <w:rFonts w:ascii="Arial" w:cs="Arial" w:eastAsia="Arial" w:hAnsi="Arial"/>
                <w:sz w:val="17"/>
                <w:szCs w:val="17"/>
                <w:color w:val="auto"/>
              </w:rPr>
              <w:t>XBRL Taxonomy Extension Schema Document</w:t>
            </w:r>
          </w:p>
        </w:tc>
        <w:tc>
          <w:tcPr>
            <w:tcW w:w="3020" w:type="dxa"/>
            <w:vAlign w:val="bottom"/>
          </w:tcPr>
          <w:p>
            <w:pPr>
              <w:jc w:val="center"/>
              <w:ind w:left="27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5"/>
        </w:trPr>
        <w:tc>
          <w:tcPr>
            <w:tcW w:w="980" w:type="dxa"/>
            <w:vAlign w:val="bottom"/>
          </w:tcPr>
          <w:p>
            <w:pPr>
              <w:spacing w:after="0"/>
              <w:rPr>
                <w:sz w:val="20"/>
                <w:szCs w:val="20"/>
                <w:color w:val="auto"/>
              </w:rPr>
            </w:pPr>
            <w:r>
              <w:rPr>
                <w:rFonts w:ascii="Arial" w:cs="Arial" w:eastAsia="Arial" w:hAnsi="Arial"/>
                <w:sz w:val="17"/>
                <w:szCs w:val="17"/>
                <w:color w:val="auto"/>
              </w:rPr>
              <w:t>101.CAL</w:t>
            </w:r>
          </w:p>
        </w:tc>
        <w:tc>
          <w:tcPr>
            <w:tcW w:w="7000" w:type="dxa"/>
            <w:vAlign w:val="bottom"/>
          </w:tcPr>
          <w:p>
            <w:pPr>
              <w:ind w:left="340"/>
              <w:spacing w:after="0"/>
              <w:rPr>
                <w:sz w:val="20"/>
                <w:szCs w:val="20"/>
                <w:color w:val="auto"/>
              </w:rPr>
            </w:pPr>
            <w:r>
              <w:rPr>
                <w:rFonts w:ascii="Arial" w:cs="Arial" w:eastAsia="Arial" w:hAnsi="Arial"/>
                <w:sz w:val="17"/>
                <w:szCs w:val="17"/>
                <w:color w:val="auto"/>
              </w:rPr>
              <w:t>XBRL Taxonomy Calculation Linkbase Document</w:t>
            </w:r>
          </w:p>
        </w:tc>
        <w:tc>
          <w:tcPr>
            <w:tcW w:w="3020" w:type="dxa"/>
            <w:vAlign w:val="bottom"/>
          </w:tcPr>
          <w:p>
            <w:pPr>
              <w:jc w:val="center"/>
              <w:ind w:left="27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91"/>
        </w:trPr>
        <w:tc>
          <w:tcPr>
            <w:tcW w:w="980" w:type="dxa"/>
            <w:vAlign w:val="bottom"/>
          </w:tcPr>
          <w:p>
            <w:pPr>
              <w:spacing w:after="0"/>
              <w:rPr>
                <w:sz w:val="20"/>
                <w:szCs w:val="20"/>
                <w:color w:val="auto"/>
              </w:rPr>
            </w:pPr>
            <w:r>
              <w:rPr>
                <w:rFonts w:ascii="Arial" w:cs="Arial" w:eastAsia="Arial" w:hAnsi="Arial"/>
                <w:sz w:val="17"/>
                <w:szCs w:val="17"/>
                <w:color w:val="auto"/>
              </w:rPr>
              <w:t>101.DEF</w:t>
            </w:r>
          </w:p>
        </w:tc>
        <w:tc>
          <w:tcPr>
            <w:tcW w:w="7000" w:type="dxa"/>
            <w:vAlign w:val="bottom"/>
          </w:tcPr>
          <w:p>
            <w:pPr>
              <w:ind w:left="340"/>
              <w:spacing w:after="0"/>
              <w:rPr>
                <w:sz w:val="20"/>
                <w:szCs w:val="20"/>
                <w:color w:val="auto"/>
              </w:rPr>
            </w:pPr>
            <w:r>
              <w:rPr>
                <w:rFonts w:ascii="Arial" w:cs="Arial" w:eastAsia="Arial" w:hAnsi="Arial"/>
                <w:sz w:val="17"/>
                <w:szCs w:val="17"/>
                <w:color w:val="auto"/>
              </w:rPr>
              <w:t>XBRL Taxonomy Extension Definition Linkbase</w:t>
            </w:r>
          </w:p>
        </w:tc>
        <w:tc>
          <w:tcPr>
            <w:tcW w:w="3020" w:type="dxa"/>
            <w:vAlign w:val="bottom"/>
            <w:vMerge w:val="restart"/>
          </w:tcPr>
          <w:p>
            <w:pPr>
              <w:jc w:val="center"/>
              <w:ind w:left="27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7000" w:type="dxa"/>
            <w:vAlign w:val="bottom"/>
            <w:vMerge w:val="restart"/>
          </w:tcPr>
          <w:p>
            <w:pPr>
              <w:ind w:left="340"/>
              <w:spacing w:after="0"/>
              <w:rPr>
                <w:sz w:val="20"/>
                <w:szCs w:val="20"/>
                <w:color w:val="auto"/>
              </w:rPr>
            </w:pPr>
            <w:r>
              <w:rPr>
                <w:rFonts w:ascii="Arial" w:cs="Arial" w:eastAsia="Arial" w:hAnsi="Arial"/>
                <w:sz w:val="17"/>
                <w:szCs w:val="17"/>
                <w:color w:val="auto"/>
              </w:rPr>
              <w:t>Document</w:t>
            </w:r>
          </w:p>
        </w:tc>
        <w:tc>
          <w:tcPr>
            <w:tcW w:w="3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7000" w:type="dxa"/>
            <w:vAlign w:val="bottom"/>
            <w:vMerge w:val="continue"/>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0"/>
                <w:szCs w:val="20"/>
                <w:color w:val="auto"/>
              </w:rPr>
            </w:pPr>
            <w:r>
              <w:rPr>
                <w:rFonts w:ascii="Arial" w:cs="Arial" w:eastAsia="Arial" w:hAnsi="Arial"/>
                <w:sz w:val="17"/>
                <w:szCs w:val="17"/>
                <w:color w:val="auto"/>
              </w:rPr>
              <w:t>101.LAB</w:t>
            </w:r>
          </w:p>
        </w:tc>
        <w:tc>
          <w:tcPr>
            <w:tcW w:w="7000" w:type="dxa"/>
            <w:vAlign w:val="bottom"/>
          </w:tcPr>
          <w:p>
            <w:pPr>
              <w:ind w:left="340"/>
              <w:spacing w:after="0"/>
              <w:rPr>
                <w:sz w:val="20"/>
                <w:szCs w:val="20"/>
                <w:color w:val="auto"/>
              </w:rPr>
            </w:pPr>
            <w:r>
              <w:rPr>
                <w:rFonts w:ascii="Arial" w:cs="Arial" w:eastAsia="Arial" w:hAnsi="Arial"/>
                <w:sz w:val="17"/>
                <w:szCs w:val="17"/>
                <w:color w:val="auto"/>
              </w:rPr>
              <w:t>XBRL Taxonomy Extension Label Linkbase Document</w:t>
            </w:r>
          </w:p>
        </w:tc>
        <w:tc>
          <w:tcPr>
            <w:tcW w:w="3020" w:type="dxa"/>
            <w:vAlign w:val="bottom"/>
          </w:tcPr>
          <w:p>
            <w:pPr>
              <w:jc w:val="center"/>
              <w:ind w:left="27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5"/>
        </w:trPr>
        <w:tc>
          <w:tcPr>
            <w:tcW w:w="980" w:type="dxa"/>
            <w:vAlign w:val="bottom"/>
          </w:tcPr>
          <w:p>
            <w:pPr>
              <w:spacing w:after="0"/>
              <w:rPr>
                <w:sz w:val="20"/>
                <w:szCs w:val="20"/>
                <w:color w:val="auto"/>
              </w:rPr>
            </w:pPr>
            <w:r>
              <w:rPr>
                <w:rFonts w:ascii="Arial" w:cs="Arial" w:eastAsia="Arial" w:hAnsi="Arial"/>
                <w:sz w:val="17"/>
                <w:szCs w:val="17"/>
                <w:color w:val="auto"/>
              </w:rPr>
              <w:t>101.PRE</w:t>
            </w:r>
          </w:p>
        </w:tc>
        <w:tc>
          <w:tcPr>
            <w:tcW w:w="7000" w:type="dxa"/>
            <w:vAlign w:val="bottom"/>
          </w:tcPr>
          <w:p>
            <w:pPr>
              <w:ind w:left="340"/>
              <w:spacing w:after="0"/>
              <w:rPr>
                <w:sz w:val="20"/>
                <w:szCs w:val="20"/>
                <w:color w:val="auto"/>
              </w:rPr>
            </w:pPr>
            <w:r>
              <w:rPr>
                <w:rFonts w:ascii="Arial" w:cs="Arial" w:eastAsia="Arial" w:hAnsi="Arial"/>
                <w:sz w:val="17"/>
                <w:szCs w:val="17"/>
                <w:color w:val="auto"/>
              </w:rPr>
              <w:t>XBRL Taxonomy Extension Presentation</w:t>
            </w:r>
          </w:p>
        </w:tc>
        <w:tc>
          <w:tcPr>
            <w:tcW w:w="3020" w:type="dxa"/>
            <w:vAlign w:val="bottom"/>
          </w:tcPr>
          <w:p>
            <w:pPr>
              <w:jc w:val="center"/>
              <w:ind w:left="27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8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000"/>
          </w:cols>
          <w:pgMar w:left="240" w:top="122" w:right="6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VOTING AGREEMENT</w:t>
      </w:r>
    </w:p>
    <w:p>
      <w:pPr>
        <w:spacing w:after="0" w:line="229" w:lineRule="exact"/>
        <w:rPr>
          <w:sz w:val="20"/>
          <w:szCs w:val="20"/>
          <w:color w:val="auto"/>
        </w:rPr>
      </w:pPr>
    </w:p>
    <w:p>
      <w:pPr>
        <w:ind w:right="160" w:firstLine="877"/>
        <w:spacing w:after="0" w:line="264" w:lineRule="auto"/>
        <w:rPr>
          <w:sz w:val="20"/>
          <w:szCs w:val="20"/>
          <w:color w:val="auto"/>
        </w:rPr>
      </w:pPr>
      <w:r>
        <w:rPr>
          <w:rFonts w:ascii="Arial" w:cs="Arial" w:eastAsia="Arial" w:hAnsi="Arial"/>
          <w:sz w:val="18"/>
          <w:szCs w:val="18"/>
          <w:color w:val="auto"/>
        </w:rPr>
        <w:t>THIS VOTING AGREEMENT, dated as of August 10, 2016, is entered into by and between (i) Dr. August J. Troendle (“</w:t>
      </w:r>
      <w:r>
        <w:rPr>
          <w:rFonts w:ascii="Arial" w:cs="Arial" w:eastAsia="Arial" w:hAnsi="Arial"/>
          <w:sz w:val="18"/>
          <w:szCs w:val="18"/>
          <w:u w:val="single" w:color="auto"/>
          <w:color w:val="auto"/>
        </w:rPr>
        <w:t>Dr. Troendle</w:t>
      </w:r>
      <w:r>
        <w:rPr>
          <w:rFonts w:ascii="Arial" w:cs="Arial" w:eastAsia="Arial" w:hAnsi="Arial"/>
          <w:sz w:val="18"/>
          <w:szCs w:val="18"/>
          <w:color w:val="auto"/>
        </w:rPr>
        <w:t xml:space="preserve">”) and (ii) the entities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(collectively, the “</w:t>
      </w:r>
      <w:r>
        <w:rPr>
          <w:rFonts w:ascii="Arial" w:cs="Arial" w:eastAsia="Arial" w:hAnsi="Arial"/>
          <w:sz w:val="18"/>
          <w:szCs w:val="18"/>
          <w:u w:val="single" w:color="auto"/>
          <w:color w:val="auto"/>
        </w:rPr>
        <w:t>Cinven Stockholders</w:t>
      </w:r>
      <w:r>
        <w:rPr>
          <w:rFonts w:ascii="Arial" w:cs="Arial" w:eastAsia="Arial" w:hAnsi="Arial"/>
          <w:sz w:val="18"/>
          <w:szCs w:val="18"/>
          <w:color w:val="auto"/>
        </w:rPr>
        <w:t>” and, together with Dr. Troendle, the “</w:t>
      </w:r>
      <w:r>
        <w:rPr>
          <w:rFonts w:ascii="Arial" w:cs="Arial" w:eastAsia="Arial" w:hAnsi="Arial"/>
          <w:sz w:val="18"/>
          <w:szCs w:val="18"/>
          <w:u w:val="single" w:color="auto"/>
          <w:color w:val="auto"/>
        </w:rPr>
        <w:t>Principal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Stockholders</w:t>
      </w:r>
      <w:r>
        <w:rPr>
          <w:rFonts w:ascii="Arial" w:cs="Arial" w:eastAsia="Arial" w:hAnsi="Arial"/>
          <w:sz w:val="18"/>
          <w:szCs w:val="18"/>
          <w:color w:val="auto"/>
        </w:rPr>
        <w:t xml:space="preserve">”). Capitalized terms used herein without definition shall have the meanings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280" w:firstLine="877"/>
        <w:spacing w:after="0" w:line="342" w:lineRule="auto"/>
        <w:rPr>
          <w:sz w:val="20"/>
          <w:szCs w:val="20"/>
          <w:color w:val="auto"/>
        </w:rPr>
      </w:pPr>
      <w:r>
        <w:rPr>
          <w:rFonts w:ascii="Arial" w:cs="Arial" w:eastAsia="Arial" w:hAnsi="Arial"/>
          <w:sz w:val="16"/>
          <w:szCs w:val="16"/>
          <w:color w:val="auto"/>
        </w:rPr>
        <w:t>WHEREAS, the parties hereto desire to set forth their agreement with respect to the voting for members of the Board of Directors of Medpace Holdings, Inc., a corporation organized under the laws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their respective investments in the Company;</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NOW, THEREFORE, in consideration of the mutual agreements and understandings set forth herein, the parties hereto hereby agree as follows: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DEFINITIONS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 the following terms shall have the following respective meanings:</w:t>
      </w:r>
    </w:p>
    <w:p>
      <w:pPr>
        <w:spacing w:after="0" w:line="225" w:lineRule="exact"/>
        <w:rPr>
          <w:sz w:val="20"/>
          <w:szCs w:val="20"/>
          <w:color w:val="auto"/>
        </w:rPr>
      </w:pPr>
    </w:p>
    <w:p>
      <w:pPr>
        <w:ind w:right="780" w:firstLine="87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this Voting Agreement as in effect on the date hereof and as hereafter from time to time amended, modified or supplemented in accordance with the terms hereof.</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Bylaws</w:t>
      </w:r>
      <w:r>
        <w:rPr>
          <w:rFonts w:ascii="Arial" w:cs="Arial" w:eastAsia="Arial" w:hAnsi="Arial"/>
          <w:sz w:val="17"/>
          <w:szCs w:val="17"/>
          <w:color w:val="auto"/>
        </w:rPr>
        <w:t>” shall mean the Bylaws of the Company, as they may be amended, modified or supplemented in accordance with their terms.</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shall mean the shares of common stock, par value $0.01 per share, of the Company.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of Directors.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225" w:lineRule="exact"/>
        <w:rPr>
          <w:sz w:val="20"/>
          <w:szCs w:val="20"/>
          <w:color w:val="auto"/>
        </w:rPr>
      </w:pPr>
    </w:p>
    <w:p>
      <w:pPr>
        <w:ind w:right="700" w:firstLine="87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Public Offering</w:t>
      </w:r>
      <w:r>
        <w:rPr>
          <w:rFonts w:ascii="Arial" w:cs="Arial" w:eastAsia="Arial" w:hAnsi="Arial"/>
          <w:sz w:val="18"/>
          <w:szCs w:val="18"/>
          <w:color w:val="auto"/>
        </w:rPr>
        <w:t>” means the first public offering and sale of equity securities of the Company pursuant to an effective registration statement under the Securities Act of 1933, as amended.</w:t>
      </w:r>
    </w:p>
    <w:p>
      <w:pPr>
        <w:spacing w:after="0" w:line="170" w:lineRule="exact"/>
        <w:rPr>
          <w:sz w:val="20"/>
          <w:szCs w:val="20"/>
          <w:color w:val="auto"/>
        </w:rPr>
      </w:pPr>
    </w:p>
    <w:p>
      <w:pPr>
        <w:ind w:right="460" w:firstLine="87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Cinven Directors</w:t>
      </w:r>
      <w:r>
        <w:rPr>
          <w:rFonts w:ascii="Arial" w:cs="Arial" w:eastAsia="Arial" w:hAnsi="Arial"/>
          <w:sz w:val="18"/>
          <w:szCs w:val="18"/>
          <w:color w:val="auto"/>
        </w:rPr>
        <w:t>” shall mean the persons affiliated with the Cinven Stockholders who are nominated for election as a Director. The initial Cinven Directors shall be Supraj Rajagopalan, Alex Leslie and Matthew Norton.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Director</w:t>
      </w:r>
      <w:r>
        <w:rPr>
          <w:rFonts w:ascii="Arial" w:cs="Arial" w:eastAsia="Arial" w:hAnsi="Arial"/>
          <w:sz w:val="18"/>
          <w:szCs w:val="18"/>
          <w:color w:val="auto"/>
        </w:rPr>
        <w:t>” shall mean Dr. August J. Troendle.</w:t>
      </w:r>
    </w:p>
    <w:p>
      <w:pPr>
        <w:spacing w:after="0" w:line="225" w:lineRule="exact"/>
        <w:rPr>
          <w:sz w:val="20"/>
          <w:szCs w:val="20"/>
          <w:color w:val="auto"/>
        </w:rPr>
      </w:pPr>
    </w:p>
    <w:p>
      <w:pPr>
        <w:ind w:right="700" w:firstLine="87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corporation, company, limited liability company, association, partnership, joint venture, organization, business, trust or any other entity or organization, including a government or any subdivision or agency thereof.</w:t>
      </w:r>
    </w:p>
    <w:p>
      <w:pPr>
        <w:spacing w:after="0" w:line="170" w:lineRule="exact"/>
        <w:rPr>
          <w:sz w:val="20"/>
          <w:szCs w:val="20"/>
          <w:color w:val="auto"/>
        </w:rPr>
      </w:pPr>
    </w:p>
    <w:p>
      <w:pPr>
        <w:ind w:right="140" w:firstLine="87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Shares</w:t>
      </w:r>
      <w:r>
        <w:rPr>
          <w:rFonts w:ascii="Arial" w:cs="Arial" w:eastAsia="Arial" w:hAnsi="Arial"/>
          <w:sz w:val="17"/>
          <w:szCs w:val="17"/>
          <w:color w:val="auto"/>
        </w:rPr>
        <w:t>” shall mean (i) the Common Shares issued and outstanding at the Effective Date and held by any Principal Stockholder and (ii) any Common Shares hereafter acquired by any Principal Stockholder, including pursuant to conversion or exercise of any option, convertible security or warrant or other right to acquire Common Shares, whether or not held by any of the Principal Stockholders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ind w:right="240" w:firstLine="87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Shares</w:t>
      </w:r>
      <w:r>
        <w:rPr>
          <w:rFonts w:ascii="Arial" w:cs="Arial" w:eastAsia="Arial" w:hAnsi="Arial"/>
          <w:sz w:val="18"/>
          <w:szCs w:val="18"/>
          <w:color w:val="auto"/>
        </w:rPr>
        <w:t>” shall mean shares of capital stock of the Company of any class, classes or series, the holders of which are generally entitled to vote for the election of Directors.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AGREEMENT TO VOTE SHARES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Each Principal Stockholder hereby agrees to vote all Shares owned or held of record by such Principal Stockholder at each annual or special meeting of stockholders of the Company (and at every adjournment or postponement thereof) at which Directors are to be elected, in favor of, or to take all actions by written consent in lieu of any such meeting as are necessary to cause, the election as members of the Board of Directors of (in each case, to the extent such persons are recommended to the Board of Directors for nomination for election as a Director by the Nominating and Corporate Governance Committee of the Board of Directors (or in the event the Nominating and Corporate Governance Committee of the Board of Directors is not yet formed or has no sitting members, to the extent such persons are recommended by the Board of Directors for nomination for election as a Director)):</w:t>
      </w:r>
    </w:p>
    <w:p>
      <w:pPr>
        <w:spacing w:after="0" w:line="169" w:lineRule="exact"/>
        <w:rPr>
          <w:sz w:val="20"/>
          <w:szCs w:val="20"/>
          <w:color w:val="auto"/>
        </w:rPr>
      </w:pPr>
    </w:p>
    <w:p>
      <w:pPr>
        <w:ind w:left="2540" w:hanging="844"/>
        <w:spacing w:after="0"/>
        <w:tabs>
          <w:tab w:leader="none" w:pos="254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Cinven Directors; and</w:t>
      </w:r>
    </w:p>
    <w:p>
      <w:pPr>
        <w:spacing w:after="0" w:line="217" w:lineRule="exact"/>
        <w:rPr>
          <w:rFonts w:ascii="Arial" w:cs="Arial" w:eastAsia="Arial" w:hAnsi="Arial"/>
          <w:sz w:val="22"/>
          <w:szCs w:val="22"/>
          <w:color w:val="auto"/>
        </w:rPr>
      </w:pPr>
    </w:p>
    <w:p>
      <w:pPr>
        <w:ind w:left="2680" w:hanging="917"/>
        <w:spacing w:after="0"/>
        <w:tabs>
          <w:tab w:leader="none" w:pos="2680" w:val="left"/>
        </w:tabs>
        <w:numPr>
          <w:ilvl w:val="1"/>
          <w:numId w:val="25"/>
        </w:numPr>
        <w:rPr>
          <w:rFonts w:ascii="Arial" w:cs="Arial" w:eastAsia="Arial" w:hAnsi="Arial"/>
          <w:sz w:val="21"/>
          <w:szCs w:val="21"/>
          <w:color w:val="auto"/>
        </w:rPr>
      </w:pPr>
      <w:r>
        <w:rPr>
          <w:rFonts w:ascii="Arial" w:cs="Arial" w:eastAsia="Arial" w:hAnsi="Arial"/>
          <w:sz w:val="17"/>
          <w:szCs w:val="17"/>
          <w:color w:val="auto"/>
        </w:rPr>
        <w:t>so long as at the time of such vote, Dr. Troendle is the Chief Executive Officer of the Company (as defined in the</w:t>
      </w:r>
    </w:p>
    <w:p>
      <w:pPr>
        <w:spacing w:after="0" w:line="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18"/>
          <w:szCs w:val="18"/>
          <w:color w:val="auto"/>
        </w:rPr>
        <w:t>Bylaws), the Management Director.</w:t>
      </w:r>
    </w:p>
    <w:p>
      <w:pPr>
        <w:spacing w:after="0" w:line="209"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Notwithstanding the obligations set forth in Section 2.1(i) above, in the event that the Cinven Stockholders hold less than (a) 40% but greater than or equal to 25% of the Voting Shares of the Company then outstanding, Dr. Troendle shall be required to vote for two Cinven Directors, after giving effect to the Cinven Directors then-sitting on the Board of Directors, (b) 25% but greater than or equal to 10% of the Voting Shares of the Company then outstanding, Dr.</w:t>
      </w:r>
    </w:p>
    <w:p>
      <w:pPr>
        <w:ind w:right="180"/>
        <w:spacing w:after="0" w:line="323" w:lineRule="auto"/>
        <w:rPr>
          <w:sz w:val="20"/>
          <w:szCs w:val="20"/>
          <w:color w:val="auto"/>
        </w:rPr>
      </w:pPr>
      <w:r>
        <w:rPr>
          <w:rFonts w:ascii="Arial" w:cs="Arial" w:eastAsia="Arial" w:hAnsi="Arial"/>
          <w:sz w:val="16"/>
          <w:szCs w:val="16"/>
          <w:color w:val="auto"/>
        </w:rPr>
        <w:t>Troendle shall be required to vote for one Cinven Director, after giving effect to the Cinven Directors then-sitting on the Board of Directors, and (c) 10% of the Voting Shares of the Company then outstanding, Dr. Troendle shall not be required to vote for any of the Cinven Directors pursuant to this Section 2.1.</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Restrictions on Other Agreements</w:t>
      </w:r>
      <w:r>
        <w:rPr>
          <w:rFonts w:ascii="Arial" w:cs="Arial" w:eastAsia="Arial" w:hAnsi="Arial"/>
          <w:sz w:val="18"/>
          <w:szCs w:val="18"/>
          <w:color w:val="auto"/>
        </w:rPr>
        <w:t>.</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No Principal Stockholder shall grant any proxy or enter into or agree to be bound by any voting trust, agreement or arrangement of any kind with any Person with respect to its Shares if and to the extent the terms thereof conflict with the provisions of this Agreement (whether or not such proxy, voting trust, agreements or arrangements are with other Principal Stockholders, holders of Common Shares that are not parties to this Agreement or otherwise).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Each of the parties to this Agreement hereby represents and warrants to each other party to this Agreement that as of the date such party executes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Existence; Authority; Enforceability</w:t>
      </w:r>
      <w:r>
        <w:rPr>
          <w:rFonts w:ascii="Arial" w:cs="Arial" w:eastAsia="Arial" w:hAnsi="Arial"/>
          <w:sz w:val="18"/>
          <w:szCs w:val="18"/>
          <w:color w:val="auto"/>
        </w:rPr>
        <w: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Such party has the power and authority to enter into this Agreement and to carry out its obligations hereunder. If such party is an entity, it is duly organized and validly existing under the laws of its jurisdiction of organization, and the execution of this Agreement, and the consummation of the transactions contemplated herein, have been authorized by all necessary action, and no other act or proceeding on its part is necessary to authorize the execution of this Agreement or the consummation of any of the transactions contemplated hereby. If such party is a natural person, such person has full capacity to contract. This Agreement has been duly executed by each of the parties hereto and constitutes his or its legal, valid and binding obligation, enforceable against him or it in accordance with its terms, except as enforcement may be limited by applicable bankruptcy, insolvency, reorganization, moratorium, fraudulent transfer and similar laws relating to or affecting creditors’ rights generally, or by the general principles of equity. No representation is made by any party with respect to the regulatory effect of this Agreement, and each of the parties has had an opportunity to consult with counsel as to his or its rights and responsibilities under this Agreement. No party makes any representation to 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ind w:right="740"/>
        <w:spacing w:after="0" w:line="277" w:lineRule="auto"/>
        <w:rPr>
          <w:sz w:val="20"/>
          <w:szCs w:val="20"/>
          <w:color w:val="auto"/>
        </w:rPr>
      </w:pPr>
      <w:r>
        <w:rPr>
          <w:rFonts w:ascii="Arial" w:cs="Arial" w:eastAsia="Arial" w:hAnsi="Arial"/>
          <w:sz w:val="18"/>
          <w:szCs w:val="18"/>
          <w:color w:val="auto"/>
        </w:rPr>
        <w:t>other party as to future law or regulation or the future interpretation of existing laws or regulations by any governmental authority or self-regulatory organization.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Absence of Conflicts</w:t>
      </w:r>
      <w:r>
        <w:rPr>
          <w:rFonts w:ascii="Arial" w:cs="Arial" w:eastAsia="Arial" w:hAnsi="Arial"/>
          <w:sz w:val="18"/>
          <w:szCs w:val="18"/>
          <w:color w:val="auto"/>
        </w:rPr>
        <w: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execution and delivery by such party of this Agreement and the performance of its obligations hereunder does not and will not (i) conflict with, or result in the breach of, any provision of the constitutive documents of such party, if any; (ii) result in any violation, breach, conflict, default or event of default (or an event which with notice, lapse of time, or both, would constitute a default or event of default), or give rise to any right of acceleration or termination or any additional payment obligation, under the terms of any contract, agreement or permit to which such party is a party or by which such party’s assets or operations are bound or affected; or (iii) violate any law applicable to such party.</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Other than any consents which have already been obtained, no consent, waiver, approval, authorization, exemption, registration, license or declaration is required to be made or obtained by such party in connection with the execution, delivery or performance of this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IV</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Agreement shall terminate and be of no further force and effect upon the earliest to occur of: (a) Dr. Troendle and the Cinven Stockholders ceasing to collectively own at least 40% of the Voting Shares of the Company then outstanding, (b) the written agreement of Dr. Troendle, on the one hand, and the Cinven Stockholders, on the other hand, to terminate this Agreement, (c) the provisions of Article II hereof becoming illegal or being interpreted by any governmental authority to be illegal, (d) the removal of Dr. Troendle as the Chief Executive Officer of the Company solely by the action of the Board of Directors, or (e) any exchange on which the Company’s Common Shares are traded asserting, in writing, that the existence of this Agreement will threaten the continued listing of the Company’s Common Shares on such exchange.</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Successors and Assigns; Beneficiaries</w:t>
      </w:r>
      <w:r>
        <w:rPr>
          <w:rFonts w:ascii="Arial" w:cs="Arial" w:eastAsia="Arial" w:hAnsi="Arial"/>
          <w:sz w:val="18"/>
          <w:szCs w:val="18"/>
          <w:color w:val="auto"/>
        </w:rPr>
        <w:t>.</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Except as otherwise provided herein, all of the terms and provisions of this Agreement shall be binding upon, shall inure to the benefit of and shall be enforceable by the respective successors and permitted assigns of the parties hereto.</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Amendment and Modification; Waiver of Compliance</w:t>
      </w:r>
      <w:r>
        <w:rPr>
          <w:rFonts w:ascii="Arial" w:cs="Arial" w:eastAsia="Arial" w:hAnsi="Arial"/>
          <w:sz w:val="18"/>
          <w:szCs w:val="18"/>
          <w:color w:val="auto"/>
        </w:rPr>
        <w:t>.</w:t>
      </w:r>
    </w:p>
    <w:p>
      <w:pPr>
        <w:spacing w:after="0" w:line="225" w:lineRule="exact"/>
        <w:rPr>
          <w:sz w:val="20"/>
          <w:szCs w:val="20"/>
          <w:color w:val="auto"/>
        </w:rPr>
      </w:pPr>
    </w:p>
    <w:p>
      <w:pPr>
        <w:ind w:left="1740" w:hanging="855"/>
        <w:spacing w:after="0"/>
        <w:tabs>
          <w:tab w:leader="none" w:pos="1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This Agreement may be amended only by a written instrument duly executed by Dr. Troendle and the Cinven Stockholders.</w:t>
      </w:r>
    </w:p>
    <w:p>
      <w:pPr>
        <w:spacing w:after="0" w:line="236" w:lineRule="exact"/>
        <w:rPr>
          <w:rFonts w:ascii="Arial" w:cs="Arial" w:eastAsia="Arial" w:hAnsi="Arial"/>
          <w:sz w:val="17"/>
          <w:szCs w:val="17"/>
          <w:color w:val="auto"/>
        </w:rPr>
      </w:pPr>
    </w:p>
    <w:p>
      <w:pPr>
        <w:ind w:right="140" w:firstLine="885"/>
        <w:spacing w:after="0" w:line="259" w:lineRule="auto"/>
        <w:tabs>
          <w:tab w:leader="none" w:pos="17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as otherwise provided in this Agreement, any failure of any of the parties hereto to comply with any obligation, covenant, agreement or condition herein may be waived by the party entitled to the benefits thereof only by a written instrument signed by the party granting such waiver, but such waiver or failure to insist upon strict compliance with such obligation, covenant, agreement or condition shall not operate as a waiver of, or estoppel with respect to, any subsequent or other failure.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notice, request, claim, demand, document and other communication hereunder to any party shall be effective upon receipt (or refusal of receipt) and shall be in writing and delivered personally or sent by facsimile, or first class mail, or by Federal Express, United Parcel Service or other similar courier or other similar means of communication, as follows:</w:t>
      </w:r>
    </w:p>
    <w:p>
      <w:pPr>
        <w:spacing w:after="0" w:line="186" w:lineRule="exact"/>
        <w:rPr>
          <w:sz w:val="20"/>
          <w:szCs w:val="20"/>
          <w:color w:val="auto"/>
        </w:rPr>
      </w:pPr>
    </w:p>
    <w:p>
      <w:pPr>
        <w:ind w:left="2540" w:hanging="844"/>
        <w:spacing w:after="0"/>
        <w:tabs>
          <w:tab w:leader="none" w:pos="2540" w:val="left"/>
        </w:tabs>
        <w:numPr>
          <w:ilvl w:val="0"/>
          <w:numId w:val="27"/>
        </w:numPr>
        <w:rPr>
          <w:rFonts w:ascii="Arial" w:cs="Arial" w:eastAsia="Arial" w:hAnsi="Arial"/>
          <w:sz w:val="22"/>
          <w:szCs w:val="22"/>
          <w:color w:val="auto"/>
        </w:rPr>
      </w:pPr>
      <w:r>
        <w:rPr>
          <w:rFonts w:ascii="Arial" w:cs="Arial" w:eastAsia="Arial" w:hAnsi="Arial"/>
          <w:sz w:val="18"/>
          <w:szCs w:val="18"/>
          <w:color w:val="auto"/>
        </w:rPr>
        <w:t>If to Dr. Troendle, addressed to:</w:t>
      </w:r>
    </w:p>
    <w:p>
      <w:pPr>
        <w:spacing w:after="0" w:line="20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Medpace Holdings, Inc.</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5375 Medpace Way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Cincinnati, Ohio 45227</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Attn: Dr. August Troendle</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Facsimile: (513) 579-0444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 w:name="page53"/>
    <w:bookmarkEnd w:id="52"/>
    <w:p>
      <w:pPr>
        <w:ind w:left="880" w:right="40" w:firstLine="816"/>
        <w:spacing w:after="0" w:line="266" w:lineRule="auto"/>
        <w:tabs>
          <w:tab w:leader="none" w:pos="2602" w:val="left"/>
        </w:tabs>
        <w:numPr>
          <w:ilvl w:val="1"/>
          <w:numId w:val="28"/>
        </w:numPr>
        <w:rPr>
          <w:rFonts w:ascii="Arial" w:cs="Arial" w:eastAsia="Arial" w:hAnsi="Arial"/>
          <w:sz w:val="19"/>
          <w:szCs w:val="19"/>
          <w:color w:val="auto"/>
        </w:rPr>
      </w:pPr>
      <w:r>
        <w:rPr>
          <w:rFonts w:ascii="Arial" w:cs="Arial" w:eastAsia="Arial" w:hAnsi="Arial"/>
          <w:sz w:val="16"/>
          <w:szCs w:val="16"/>
          <w:color w:val="auto"/>
        </w:rPr>
        <w:t>If to (a) Fifth Cinven Fund (No.1) Limited Partnership, (b) Fifth Cinven Fund (No.2) Limited Partnership, (c) Fifth Cinven Fund (No.3) Limited Partnership, (d) Fifth Cinven Fund (No.4) Limited Partnership, (e) Fifth Cinven Fund (No.5) Limited Partnership or</w:t>
      </w:r>
    </w:p>
    <w:p>
      <w:pPr>
        <w:ind w:left="1120" w:hanging="235"/>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Fifth Cinven Fund (No.6) Limited Partnership, addressed to:</w:t>
      </w:r>
    </w:p>
    <w:p>
      <w:pPr>
        <w:spacing w:after="0" w:line="21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East Wing</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Trafalgar Court</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Les Banques</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St Peter Port</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Guernsey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GY1 3PP</w:t>
      </w:r>
    </w:p>
    <w:p>
      <w:pPr>
        <w:spacing w:after="0" w:line="215" w:lineRule="exact"/>
        <w:rPr>
          <w:sz w:val="20"/>
          <w:szCs w:val="20"/>
          <w:color w:val="auto"/>
        </w:rPr>
      </w:pPr>
    </w:p>
    <w:p>
      <w:pPr>
        <w:ind w:left="2660" w:hanging="964"/>
        <w:spacing w:after="0"/>
        <w:tabs>
          <w:tab w:leader="none" w:pos="2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If to Fifth Cinven Fund Co-Investment Partnership, addressed to:</w:t>
      </w:r>
    </w:p>
    <w:p>
      <w:pPr>
        <w:spacing w:after="0" w:line="20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Warwick Court</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Paternoster Square</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EC4M 7AG</w:t>
      </w:r>
    </w:p>
    <w:p>
      <w:pPr>
        <w:spacing w:after="0" w:line="215" w:lineRule="exact"/>
        <w:rPr>
          <w:sz w:val="20"/>
          <w:szCs w:val="20"/>
          <w:color w:val="auto"/>
        </w:rPr>
      </w:pPr>
    </w:p>
    <w:p>
      <w:pPr>
        <w:ind w:left="2660" w:hanging="964"/>
        <w:spacing w:after="0"/>
        <w:tabs>
          <w:tab w:leader="none" w:pos="2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If to Fifth Cinven Fund FCP-SIF, addressed to:</w:t>
      </w:r>
    </w:p>
    <w:p>
      <w:pPr>
        <w:spacing w:after="0" w:line="20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7, rue Lou Hemmer</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L-1748</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Luxembourg</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or, in each case, to such other address or facsimile number or email address as such party may designate in writing to each Principal Stockholder by written notice given in the manner specified herein.</w:t>
      </w:r>
    </w:p>
    <w:p>
      <w:pPr>
        <w:spacing w:after="0" w:line="170" w:lineRule="exact"/>
        <w:rPr>
          <w:sz w:val="20"/>
          <w:szCs w:val="20"/>
          <w:color w:val="auto"/>
        </w:rPr>
      </w:pPr>
    </w:p>
    <w:p>
      <w:pPr>
        <w:jc w:val="both"/>
        <w:ind w:right="920"/>
        <w:spacing w:after="0" w:line="342" w:lineRule="auto"/>
        <w:rPr>
          <w:sz w:val="20"/>
          <w:szCs w:val="20"/>
          <w:color w:val="auto"/>
        </w:rPr>
      </w:pPr>
      <w:r>
        <w:rPr>
          <w:rFonts w:ascii="Arial" w:cs="Arial" w:eastAsia="Arial" w:hAnsi="Arial"/>
          <w:sz w:val="16"/>
          <w:szCs w:val="16"/>
          <w:color w:val="auto"/>
        </w:rPr>
        <w:t>All such communications shall be deemed to have been given, delivered or made when so delivered by hand or sent by facsimile (with confirmed transmission), on the next business day if sent by overnight courier service (with confirmed delivery) or when received if sent by first class mail.</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provisions of this Agreement and the other writings referred to herein or delivered pursuant hereto which form a part hereof contain the entire agreement among the parties hereto with respect to the subject matter hereof and supersede all prior oral and written agreements and memoranda and undertakings among the parties hereto with regard to such subject matter.</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CHOICE OF LAW AND VENUE; WAIVER OF RIGHT TO JURY TRIAL</w:t>
      </w:r>
      <w:r>
        <w:rPr>
          <w:rFonts w:ascii="Arial" w:cs="Arial" w:eastAsia="Arial" w:hAnsi="Arial"/>
          <w:sz w:val="18"/>
          <w:szCs w:val="18"/>
          <w:color w:val="auto"/>
        </w:rPr>
        <w:t>.</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AGREEMENT SHALL BE GOVERNED BY, CONSTRUED, APPLIED AND ENFORCED IN ACCORDANCE WITH THE INTERNAL LAWS OF THE STATE OF DELAWARE, WITHOUT GIVING EFFECT TO PRINCIPLES OF CONFLICTS OF LAW. EACH OF THE PARTIES HERETO ACKNOWLEDGES AND AGREES THAT IN THE EVENT OF ANY BREACH OF THIS AGREEMENT, THE NON-BREACHING PARTY WOULD BE IRREPARABLY HARMED AND COULD NOT BE MADE WHOLE BY MONETARY DAMAGES, AND THAT, IN ADDITION TO ANY OTHER REMEDY TO WHICH THE NON-BREACHING PARTY MAY BE ENTITLED AT LAW OR IN EQUITY, THE NON BREACHING PARTY SHALL BE ENTITLED TO SUCH EQUITABLE OR INJUNCTIVE RELIEF AS MAY BE APPROPRIATE. THE CHOICE OF FORUM SET FORTH IN THIS SECTION SHALL NOT BE DEEMED TO PRECLUDE THE ENFORCEMENT OF ANY JUDGMENT OF A DELAWARE FEDERAL OR STATE COURT, OR THE TAKING OF ANY ACTION UNDER THIS AGREEMENT TO ENFORCE SUCH A JUDGMENT, IN ANY OTHER APPROPRIATE JURISDICTION.</w:t>
      </w:r>
    </w:p>
    <w:p>
      <w:pPr>
        <w:spacing w:after="0" w:line="197" w:lineRule="exact"/>
        <w:rPr>
          <w:sz w:val="20"/>
          <w:szCs w:val="20"/>
          <w:color w:val="auto"/>
        </w:rPr>
      </w:pPr>
    </w:p>
    <w:p>
      <w:pPr>
        <w:ind w:right="800"/>
        <w:spacing w:after="0" w:line="264" w:lineRule="auto"/>
        <w:rPr>
          <w:sz w:val="20"/>
          <w:szCs w:val="20"/>
          <w:color w:val="auto"/>
        </w:rPr>
      </w:pPr>
      <w:r>
        <w:rPr>
          <w:rFonts w:ascii="Arial" w:cs="Arial" w:eastAsia="Arial" w:hAnsi="Arial"/>
          <w:sz w:val="18"/>
          <w:szCs w:val="18"/>
          <w:color w:val="auto"/>
        </w:rPr>
        <w:t>IN THE EVENT ANY PARTY TO THIS AGREEMENT COMMENCES ANY LITIGATION, PROCEEDING OR OTHER LEGAL ACTION IN CONNECTION WITH OR RELATING TO THIS AGREEMENT, ANY RELATED AGREEMENT OR ANY MATTERS DESCRIBED OR CONTEMPLATED HEREIN OR THEREIN,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53" w:name="page54"/>
    <w:bookmarkEnd w:id="53"/>
    <w:p>
      <w:pPr>
        <w:spacing w:after="0" w:line="268" w:lineRule="auto"/>
        <w:rPr>
          <w:sz w:val="20"/>
          <w:szCs w:val="20"/>
          <w:color w:val="auto"/>
        </w:rPr>
      </w:pPr>
      <w:r>
        <w:rPr>
          <w:rFonts w:ascii="Arial" w:cs="Arial" w:eastAsia="Arial" w:hAnsi="Arial"/>
          <w:sz w:val="17"/>
          <w:szCs w:val="17"/>
          <w:color w:val="auto"/>
        </w:rPr>
        <w:t>PARTIES TO THIS AGREEMENT HEREBY (A) AGREE UNDER ALL CIRCUMSTANCES ABSOLUTELY AND IRREVOCABLY TO INSTITUTE ANY LITIGATION, PROCEEDING OR OTHER LEGAL ACTION IN A COURT OF COMPETENT JURISDICTION LOCATED WITHIN THE STATE OF DELAWARE, WHETHER A STATE OR FEDERAL COURT; (B) AGREE THAT IN THE EVENT OF ANY SUCH LITIGATION, PROCEEDING OR ACTION, SUCH PARTIES WILL CONSENT AND SUBMIT TO THE PERSONAL JURISDICTION OF ANY SUCH COURT DESCRIBED IN CLAUSE (A) OF THIS SECTION AND TO SERVICE OF PROCESS UPON THEM IN ACCORDANCE WITH THE RULES AND STATUTES GOVERNING SERVICE OF PROCESS (IT BEING UNDERSTOOD THAT NOTHING IN THIS SECTION SHALL BE DEEMED TO PREVENT ANY PARTY FROM SEEKING TO REMOVE ANY ACTION TO A FEDERAL COURT IN THE STATE OF DELAWARE); (C) AGREE TO WAIVE TO THE FULL EXTENT PERMITTED BY LAW ANY OBJECTION THAT THEY MAY NOW OR HEREAFTER HAVE TO THE VENUE OF ANY SUCH LITIGATION, PROCEEDING OR ACTION IN ANY SUCH COURT OR THAT ANY SUCH LITIGATION, PROCEEDING OR ACTION WAS BROUGHT IN AN INCONVENIENT FORUM; (D) AGREE, AFTER CONSULTATION WITH COUNSEL, TO WAIVE ANY RIGHTS TO A JURY TRIAL TO RESOLVE ANY DISPUTES OR CLAIMS RELATING TO THIS AGREEMENT; (E) AGREE TO SERVICE OF PROCESS IN ANY LEGAL PROCEEDING BY MAILING OF COPIES THEREOF TO SUCH PARTY AT ITS ADDRESS SET FORTH HEREIN FOR COMMUNICATIONS TO SUCH PARTY; (F) AGREE THAT ANY SERVICE MADE AS PROVIDED HEREIN SHALL BE EFFECTIVE AND BINDING SERVICE IN EVERY RESPECT; AND (G) AGREE THAT NOTHING HEREIN SHALL AFFECT THE RIGHTS OF ANY PARTY TO EFFECT SERVICE OF PROCESS IN ANY OTHER MANNER PERMITTED BY APPLICABLE LAW.</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Agreement may be executed in two or more counterparts, each of which shall be deemed an original, but all of which together shall constitute one and the same instrument.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any time or from time to time after the date hereof, the parties hereto agree to cooperate with each other, and at the request of any other party, to execute and deliver any further instruments or documents and to take all such further action as any other party may reasonably request in order to evidence or effectuate the provisions of this Agreement and to otherwise carry out the intent of the parties hereunder.</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Schedule 13D</w:t>
      </w:r>
      <w:r>
        <w:rPr>
          <w:rFonts w:ascii="Arial" w:cs="Arial" w:eastAsia="Arial" w:hAnsi="Arial"/>
          <w:sz w:val="18"/>
          <w:szCs w:val="18"/>
          <w:color w:val="auto"/>
        </w:rPr>
        <w:t>.</w:t>
      </w:r>
    </w:p>
    <w:p>
      <w:pPr>
        <w:spacing w:after="0" w:line="22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accordance with the requirements of Rule 13d-1(k)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subject to the limitations set forth therein, each party hereto agrees to file an appropriate Schedule 13D no later than 10 calendar days following the Effective Date.</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parties hereto agree that the other parties would be irreparably damaged in the event that any of the provisions of this Agreement were not performed by any of the parties in accordance with their specific terms or were otherwise breached by any party, and that the other parties would not have an adequate remedy at law for money damages in such event. It is accordingly agreed that each of the parties shall be entitled, without posting any bond or other undertaking, to specific performance and injunctive and other equitable relief to prevent breaches of this Agreement and to enforce specifically the terms and provisions of this Agreement, this being in addition to any other remedy to which each party is entitled at law or in equity.</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Upon the closing of the Initial Public Offering, this Agreement shall thereupon be deemed to be effective (such date, the “</w:t>
      </w:r>
      <w:r>
        <w:rPr>
          <w:rFonts w:ascii="Arial" w:cs="Arial" w:eastAsia="Arial" w:hAnsi="Arial"/>
          <w:sz w:val="17"/>
          <w:szCs w:val="17"/>
          <w:u w:val="single" w:color="auto"/>
          <w:color w:val="auto"/>
        </w:rPr>
        <w:t>Effective Date</w:t>
      </w:r>
      <w:r>
        <w:rPr>
          <w:rFonts w:ascii="Arial" w:cs="Arial" w:eastAsia="Arial" w:hAnsi="Arial"/>
          <w:sz w:val="17"/>
          <w:szCs w:val="17"/>
          <w:color w:val="auto"/>
        </w:rPr>
        <w:t>”). However, to the extent the closing of such Initial Public Offering does not occur, the provisions of this Agreement shall be without any force or effect.</w:t>
      </w:r>
    </w:p>
    <w:p>
      <w:pPr>
        <w:spacing w:after="0" w:line="147" w:lineRule="exact"/>
        <w:rPr>
          <w:sz w:val="20"/>
          <w:szCs w:val="20"/>
          <w:color w:val="auto"/>
        </w:rPr>
      </w:pPr>
    </w:p>
    <w:p>
      <w:pPr>
        <w:jc w:val="center"/>
        <w:ind w:right="-99"/>
        <w:spacing w:after="0"/>
        <w:tabs>
          <w:tab w:leader="none" w:pos="280" w:val="left"/>
          <w:tab w:leader="none" w:pos="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IN WITNESS WHEREOF, each of the undersigned has signed this Agreement as of the date first above written:</w:t>
      </w:r>
    </w:p>
    <w:p>
      <w:pPr>
        <w:spacing w:after="0" w:line="225" w:lineRule="exact"/>
        <w:rPr>
          <w:sz w:val="20"/>
          <w:szCs w:val="20"/>
          <w:color w:val="auto"/>
        </w:rPr>
      </w:pPr>
    </w:p>
    <w:tbl>
      <w:tblPr>
        <w:tblLayout w:type="fixed"/>
        <w:tblInd w:w="51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August J. Troendle</w:t>
            </w:r>
          </w:p>
        </w:tc>
      </w:tr>
      <w:tr>
        <w:trPr>
          <w:trHeight w:val="224"/>
        </w:trPr>
        <w:tc>
          <w:tcPr>
            <w:tcW w:w="68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Name: Dr. August J. Troendle</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Voting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ind w:left="3960"/>
        <w:spacing w:after="0"/>
        <w:rPr>
          <w:sz w:val="20"/>
          <w:szCs w:val="20"/>
          <w:color w:val="auto"/>
        </w:rPr>
      </w:pPr>
      <w:r>
        <w:rPr>
          <w:rFonts w:ascii="Arial" w:cs="Arial" w:eastAsia="Arial" w:hAnsi="Arial"/>
          <w:sz w:val="18"/>
          <w:szCs w:val="18"/>
          <w:color w:val="auto"/>
        </w:rPr>
        <w:t>FIFTH CINVEN FUND (NO. 1) LIMITED PARTNERSHIP</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Cinven Capital Management (V) Limited Partnership Incorporated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Cinven Capital Management (V) General Partnership Incorporated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Hayley Tanguy</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Hayley Tanguy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FIFTH CINVEN FUND (NO. 2) LIMITED PARTNERSHIP</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Cinven Capital Management (V) Limited Partnership Incorporated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Cinven Capital Management (V) General Partnership Incorporated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Hayley Tanguy</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Hayley Tanguy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Signature Page to Voting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6" w:name="page57"/>
    <w:bookmarkEnd w:id="56"/>
    <w:p>
      <w:pPr>
        <w:ind w:left="3960"/>
        <w:spacing w:after="0"/>
        <w:rPr>
          <w:sz w:val="20"/>
          <w:szCs w:val="20"/>
          <w:color w:val="auto"/>
        </w:rPr>
      </w:pPr>
      <w:r>
        <w:rPr>
          <w:rFonts w:ascii="Arial" w:cs="Arial" w:eastAsia="Arial" w:hAnsi="Arial"/>
          <w:sz w:val="18"/>
          <w:szCs w:val="18"/>
          <w:color w:val="auto"/>
        </w:rPr>
        <w:t>FIFTH CINVEN FUND (NO. 3) LIMITED PARTNERSHIP</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Cinven Capital Management (V) Limited Partnership Incorporated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Cinven Capital Management (V) General Partnership Incorporated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Hayley Tanguy</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Hayley Tanguy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FIFTH CINVEN FUND (NO. 4) LIMITED PARTNERSHIP</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Cinven Capital Management (V) Limited Partnership Incorporated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Cinven Capital Management (V) General Partnership Incorporated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Hayley Tanguy</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Hayley Tanguy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8"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Signature Page to Voting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7" w:name="page58"/>
    <w:bookmarkEnd w:id="57"/>
    <w:p>
      <w:pPr>
        <w:ind w:left="3960"/>
        <w:spacing w:after="0"/>
        <w:rPr>
          <w:sz w:val="20"/>
          <w:szCs w:val="20"/>
          <w:color w:val="auto"/>
        </w:rPr>
      </w:pPr>
      <w:r>
        <w:rPr>
          <w:rFonts w:ascii="Arial" w:cs="Arial" w:eastAsia="Arial" w:hAnsi="Arial"/>
          <w:sz w:val="18"/>
          <w:szCs w:val="18"/>
          <w:color w:val="auto"/>
        </w:rPr>
        <w:t>FIFTH CINVEN FUND (NO. 5) LIMITED PARTNERSHIP</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Cinven Capital Management (V) Limited Partnership Incorporated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Cinven Capital Management (V) General Partnership Incorporated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Hayley Tanguy</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Hayley Tanguy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FIFTH CINVEN FUND (NO. 6) LIMITED PARTNERSHIP</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Cinven Capital Management (V) Limited Partnership Incorporated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Cinven Capital Management (V) General Partnership Incorporated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Hayley Tanguy</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Hayley Tanguy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FIFTH CINVEN FUND CO-INVESTMENT PARTNERSHIP</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CIP (V) Nominees Limited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Its: Partner</w:t>
      </w:r>
    </w:p>
    <w:p>
      <w:pPr>
        <w:spacing w:after="0" w:line="211"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Babett Carrier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Dr. Babett Carrier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spacing w:after="0"/>
              <w:rPr>
                <w:sz w:val="20"/>
                <w:szCs w:val="20"/>
                <w:color w:val="auto"/>
              </w:rPr>
            </w:pPr>
            <w:r>
              <w:rPr>
                <w:rFonts w:ascii="Arial" w:cs="Arial" w:eastAsia="Arial" w:hAnsi="Arial"/>
                <w:sz w:val="18"/>
                <w:szCs w:val="18"/>
                <w:color w:val="auto"/>
              </w:rPr>
              <w:t>Director</w:t>
            </w:r>
          </w:p>
        </w:tc>
      </w:tr>
      <w:tr>
        <w:trPr>
          <w:trHeight w:val="648"/>
        </w:trPr>
        <w:tc>
          <w:tcPr>
            <w:tcW w:w="6260" w:type="dxa"/>
            <w:vAlign w:val="bottom"/>
            <w:gridSpan w:val="2"/>
          </w:tcPr>
          <w:p>
            <w:pPr>
              <w:spacing w:after="0"/>
              <w:rPr>
                <w:sz w:val="20"/>
                <w:szCs w:val="20"/>
                <w:color w:val="auto"/>
              </w:rPr>
            </w:pPr>
            <w:r>
              <w:rPr>
                <w:rFonts w:ascii="Arial" w:cs="Arial" w:eastAsia="Arial" w:hAnsi="Arial"/>
                <w:sz w:val="18"/>
                <w:szCs w:val="18"/>
                <w:color w:val="auto"/>
              </w:rPr>
              <w:t>FIFTH CINVEN FUND FCP-SIF</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spacing w:after="0"/>
              <w:rPr>
                <w:sz w:val="20"/>
                <w:szCs w:val="20"/>
                <w:color w:val="auto"/>
              </w:rPr>
            </w:pPr>
            <w:r>
              <w:rPr>
                <w:rFonts w:ascii="Arial" w:cs="Arial" w:eastAsia="Arial" w:hAnsi="Arial"/>
                <w:sz w:val="18"/>
                <w:szCs w:val="18"/>
                <w:color w:val="auto"/>
              </w:rPr>
              <w:t>Cinven Manco S.A.R.L.</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Its:</w:t>
            </w:r>
          </w:p>
        </w:tc>
        <w:tc>
          <w:tcPr>
            <w:tcW w:w="548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Gautier Laurent</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Gautier Laurent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Lamberty</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Marc Lamberty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229"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Signature Page to Voting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8" w:name="page59"/>
    <w:bookmarkEnd w:id="58"/>
    <w:p>
      <w:pPr>
        <w:jc w:val="center"/>
        <w:ind w:right="-1200"/>
        <w:spacing w:after="0"/>
        <w:rPr>
          <w:sz w:val="20"/>
          <w:szCs w:val="20"/>
          <w:color w:val="auto"/>
        </w:rPr>
      </w:pPr>
      <w:r>
        <w:rPr>
          <w:rFonts w:ascii="Arial" w:cs="Arial" w:eastAsia="Arial" w:hAnsi="Arial"/>
          <w:sz w:val="18"/>
          <w:szCs w:val="18"/>
          <w:color w:val="auto"/>
        </w:rPr>
        <w:t>SCHEDULE 1</w:t>
      </w:r>
    </w:p>
    <w:p>
      <w:pPr>
        <w:spacing w:after="0" w:line="225" w:lineRule="exact"/>
        <w:rPr>
          <w:sz w:val="20"/>
          <w:szCs w:val="20"/>
          <w:color w:val="auto"/>
        </w:rPr>
      </w:pPr>
    </w:p>
    <w:p>
      <w:pPr>
        <w:jc w:val="right"/>
        <w:ind w:right="3439"/>
        <w:spacing w:after="0"/>
        <w:rPr>
          <w:sz w:val="20"/>
          <w:szCs w:val="20"/>
          <w:color w:val="auto"/>
        </w:rPr>
      </w:pPr>
      <w:r>
        <w:rPr>
          <w:rFonts w:ascii="Arial" w:cs="Arial" w:eastAsia="Arial" w:hAnsi="Arial"/>
          <w:sz w:val="18"/>
          <w:szCs w:val="18"/>
          <w:color w:val="auto"/>
        </w:rPr>
        <w:t>CINVEN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Fifth Cinven Fund (No. 1)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Fifth Cinven Fund (No. 2)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Fifth Cinven Fund (No. 3)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Fifth Cinven Fund (No. 4)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Fifth Cinven Fund (No. 5)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Fifth Cinven Fund (No. 6)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Fifth Cinven Fund Co-Investment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Fifth Cinven Fund FCP-SIF</w:t>
      </w:r>
    </w:p>
    <w:p>
      <w:pPr>
        <w:sectPr>
          <w:pgSz w:w="11900" w:h="16838" w:orient="portrait"/>
          <w:cols w:equalWidth="0" w:num="1">
            <w:col w:w="10219"/>
          </w:cols>
          <w:pgMar w:left="240" w:top="341" w:right="1440" w:bottom="1440" w:gutter="0" w:footer="0" w:header="0"/>
        </w:sectPr>
      </w:pPr>
    </w:p>
    <w:bookmarkStart w:id="59" w:name="page60"/>
    <w:bookmarkEnd w:id="59"/>
    <w:p>
      <w:pPr>
        <w:ind w:left="10480"/>
        <w:spacing w:after="0"/>
        <w:rPr>
          <w:sz w:val="20"/>
          <w:szCs w:val="20"/>
          <w:color w:val="auto"/>
        </w:rPr>
      </w:pPr>
      <w:r>
        <w:rPr>
          <w:rFonts w:ascii="Arial" w:cs="Arial" w:eastAsia="Arial" w:hAnsi="Arial"/>
          <w:sz w:val="17"/>
          <w:szCs w:val="17"/>
          <w:b w:val="1"/>
          <w:bCs w:val="1"/>
          <w:color w:val="auto"/>
        </w:rPr>
        <w:t>Exhibit 10.1</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MEDPACE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2016 INCENTIVE AWARD PLAN</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1.</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purpose of the Medpace Holdings, Inc. 2016 Incentive Award Plan (as it may be amended or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is to promote the success and enhance the value of Medpace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2.</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DEFINITIONS AND CONSTRUCTION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70" w:lineRule="exact"/>
        <w:rPr>
          <w:sz w:val="20"/>
          <w:szCs w:val="20"/>
          <w:color w:val="auto"/>
        </w:rPr>
      </w:pPr>
    </w:p>
    <w:p>
      <w:pPr>
        <w:jc w:val="both"/>
        <w:ind w:right="20" w:firstLine="877"/>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entity that conducts the general administration of the Plan as provided in Article 12. With reference to the duties of the Committee under the Plan which have been delegated to one or more Persons pursuant to Section 12.6, or as to which the Board has assumed, the term “Administrator” shall refer to such Person(s) unless the Committee or the Board has revoked such delegation or the Board has terminated the assumption of such duties.</w:t>
      </w:r>
    </w:p>
    <w:p>
      <w:pPr>
        <w:spacing w:after="0" w:line="187" w:lineRule="exact"/>
        <w:rPr>
          <w:sz w:val="20"/>
          <w:szCs w:val="20"/>
          <w:color w:val="auto"/>
        </w:rPr>
      </w:pPr>
    </w:p>
    <w:p>
      <w:pPr>
        <w:jc w:val="both"/>
        <w:ind w:right="20" w:firstLine="877"/>
        <w:spacing w:after="0" w:line="264"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81" w:lineRule="exact"/>
        <w:rPr>
          <w:sz w:val="20"/>
          <w:szCs w:val="20"/>
          <w:color w:val="auto"/>
        </w:rPr>
      </w:pPr>
    </w:p>
    <w:p>
      <w:pPr>
        <w:jc w:val="both"/>
        <w:ind w:right="20" w:firstLine="877"/>
        <w:spacing w:after="0" w:line="286" w:lineRule="auto"/>
        <w:rPr>
          <w:sz w:val="20"/>
          <w:szCs w:val="20"/>
          <w:color w:val="auto"/>
        </w:rPr>
      </w:pPr>
      <w:r>
        <w:rPr>
          <w:rFonts w:ascii="Arial" w:cs="Arial" w:eastAsia="Arial" w:hAnsi="Arial"/>
          <w:sz w:val="17"/>
          <w:szCs w:val="17"/>
          <w:color w:val="auto"/>
        </w:rPr>
        <w:t>2.3 “</w:t>
      </w:r>
      <w:r>
        <w:rPr>
          <w:rFonts w:ascii="Arial" w:cs="Arial" w:eastAsia="Arial" w:hAnsi="Arial"/>
          <w:sz w:val="17"/>
          <w:szCs w:val="17"/>
          <w:u w:val="single" w:color="auto"/>
          <w:color w:val="auto"/>
        </w:rPr>
        <w:t>Applicable Law</w:t>
      </w:r>
      <w:r>
        <w:rPr>
          <w:rFonts w:ascii="Arial" w:cs="Arial" w:eastAsia="Arial" w:hAnsi="Arial"/>
          <w:sz w:val="17"/>
          <w:szCs w:val="17"/>
          <w:color w:val="auto"/>
        </w:rPr>
        <w:t>” shall mean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166" w:lineRule="exact"/>
        <w:rPr>
          <w:sz w:val="20"/>
          <w:szCs w:val="20"/>
          <w:color w:val="auto"/>
        </w:rPr>
      </w:pPr>
    </w:p>
    <w:p>
      <w:pPr>
        <w:jc w:val="both"/>
        <w:ind w:right="20" w:firstLine="877"/>
        <w:spacing w:after="0" w:line="259"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Automatic Exercise Date</w:t>
      </w:r>
      <w:r>
        <w:rPr>
          <w:rFonts w:ascii="Arial" w:cs="Arial" w:eastAsia="Arial" w:hAnsi="Arial"/>
          <w:sz w:val="18"/>
          <w:szCs w:val="18"/>
          <w:color w:val="auto"/>
        </w:rPr>
        <w:t>” shall mean, with respect to an Option or a Stock Appreciation Right, the last business day of the applicable Option Term or Stock Appreciation Right Term that was initially established by the Administrator for such Option or Stock Appreciation Right (</w:t>
      </w:r>
      <w:r>
        <w:rPr>
          <w:rFonts w:ascii="Arial" w:cs="Arial" w:eastAsia="Arial" w:hAnsi="Arial"/>
          <w:sz w:val="18"/>
          <w:szCs w:val="18"/>
          <w:i w:val="1"/>
          <w:iCs w:val="1"/>
          <w:color w:val="auto"/>
        </w:rPr>
        <w:t>e.g.</w:t>
      </w:r>
      <w:r>
        <w:rPr>
          <w:rFonts w:ascii="Arial" w:cs="Arial" w:eastAsia="Arial" w:hAnsi="Arial"/>
          <w:sz w:val="18"/>
          <w:szCs w:val="18"/>
          <w:color w:val="auto"/>
        </w:rPr>
        <w:t>, the last business day prior to the seventh anniversary of the date of grant of such Option or Stock Appreciation Right if the Option or Stock Appreciation Right initially had a seven-year Option Term or Stock Appreciation Right Term, as applicable).</w:t>
      </w:r>
    </w:p>
    <w:p>
      <w:pPr>
        <w:spacing w:after="0" w:line="187" w:lineRule="exact"/>
        <w:rPr>
          <w:sz w:val="20"/>
          <w:szCs w:val="20"/>
          <w:color w:val="auto"/>
        </w:rPr>
      </w:pPr>
    </w:p>
    <w:p>
      <w:pPr>
        <w:jc w:val="both"/>
        <w:ind w:right="20" w:firstLine="877"/>
        <w:spacing w:after="0" w:line="277"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Award</w:t>
      </w:r>
      <w:r>
        <w:rPr>
          <w:rFonts w:ascii="Arial" w:cs="Arial" w:eastAsia="Arial" w:hAnsi="Arial"/>
          <w:sz w:val="18"/>
          <w:szCs w:val="18"/>
          <w:color w:val="auto"/>
        </w:rPr>
        <w:t>” shall mean an Option, a Stock Appreciation Right, a Restricted Stock award, a Restricted Stock Unit award, an Other Stock or Cash Based Award or a Dividend Equivalent award, which may be awarded or granted under the Plan.</w:t>
      </w:r>
    </w:p>
    <w:p>
      <w:pPr>
        <w:spacing w:after="0" w:line="170" w:lineRule="exact"/>
        <w:rPr>
          <w:sz w:val="20"/>
          <w:szCs w:val="20"/>
          <w:color w:val="auto"/>
        </w:rPr>
      </w:pPr>
    </w:p>
    <w:p>
      <w:pPr>
        <w:jc w:val="both"/>
        <w:ind w:right="20" w:firstLine="877"/>
        <w:spacing w:after="0" w:line="264"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jc w:val="right"/>
              <w:ind w:right="510"/>
              <w:spacing w:after="0"/>
              <w:rPr>
                <w:sz w:val="20"/>
                <w:szCs w:val="20"/>
                <w:color w:val="auto"/>
              </w:rPr>
            </w:pPr>
            <w:r>
              <w:rPr>
                <w:rFonts w:ascii="Arial" w:cs="Arial" w:eastAsia="Arial" w:hAnsi="Arial"/>
                <w:sz w:val="18"/>
                <w:szCs w:val="18"/>
                <w:color w:val="auto"/>
              </w:rPr>
              <w:t>2.7</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w w:val="92"/>
              </w:rPr>
              <w:t>“Award Limit” shall mean, with respect to Awards that shall be payable in Shares or in cash, as the case may be, the respective limit</w:t>
            </w:r>
          </w:p>
        </w:tc>
      </w:tr>
      <w:tr>
        <w:trPr>
          <w:trHeight w:val="237"/>
        </w:trPr>
        <w:tc>
          <w:tcPr>
            <w:tcW w:w="1720" w:type="dxa"/>
            <w:vAlign w:val="bottom"/>
          </w:tcPr>
          <w:p>
            <w:pPr>
              <w:jc w:val="right"/>
              <w:spacing w:after="0"/>
              <w:rPr>
                <w:sz w:val="20"/>
                <w:szCs w:val="20"/>
                <w:color w:val="auto"/>
              </w:rPr>
            </w:pPr>
            <w:r>
              <w:rPr>
                <w:rFonts w:ascii="Arial" w:cs="Arial" w:eastAsia="Arial" w:hAnsi="Arial"/>
                <w:sz w:val="18"/>
                <w:szCs w:val="18"/>
                <w:color w:val="auto"/>
                <w:w w:val="90"/>
              </w:rPr>
              <w:t>set forth in Section 3.2.</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680" w:type="dxa"/>
            <w:vAlign w:val="bottom"/>
          </w:tcPr>
          <w:p>
            <w:pPr>
              <w:spacing w:after="0"/>
              <w:rPr>
                <w:sz w:val="20"/>
                <w:szCs w:val="20"/>
                <w:color w:val="auto"/>
              </w:rPr>
            </w:pPr>
          </w:p>
        </w:tc>
      </w:tr>
      <w:tr>
        <w:trPr>
          <w:trHeight w:val="547"/>
        </w:trPr>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60" w:name="page61"/>
    <w:bookmarkEnd w:id="60"/>
    <w:tbl>
      <w:tblPr>
        <w:tblLayout w:type="fixed"/>
        <w:tblInd w:w="880" w:type="dxa"/>
        <w:tblCellMar>
          <w:top w:w="0" w:type="dxa"/>
          <w:left w:w="0" w:type="dxa"/>
          <w:bottom w:w="0" w:type="dxa"/>
          <w:right w:w="0" w:type="dxa"/>
        </w:tblCellMar>
      </w:tblPr>
      <w:tr>
        <w:trPr>
          <w:trHeight w:val="207"/>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2.8</w:t>
            </w:r>
          </w:p>
        </w:tc>
        <w:tc>
          <w:tcPr>
            <w:tcW w:w="5200" w:type="dxa"/>
            <w:vAlign w:val="bottom"/>
            <w:gridSpan w:val="4"/>
          </w:tcPr>
          <w:p>
            <w:pPr>
              <w:ind w:left="320"/>
              <w:spacing w:after="0"/>
              <w:rPr>
                <w:sz w:val="20"/>
                <w:szCs w:val="20"/>
                <w:color w:val="auto"/>
              </w:rPr>
            </w:pPr>
            <w:r>
              <w:rPr>
                <w:rFonts w:ascii="Arial" w:cs="Arial" w:eastAsia="Arial" w:hAnsi="Arial"/>
                <w:sz w:val="18"/>
                <w:szCs w:val="18"/>
                <w:color w:val="auto"/>
              </w:rPr>
              <w:t>“Board” shall mean the Board of Directors of the Company.</w:t>
            </w: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412"/>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2.9</w:t>
            </w:r>
          </w:p>
        </w:tc>
        <w:tc>
          <w:tcPr>
            <w:tcW w:w="5200" w:type="dxa"/>
            <w:vAlign w:val="bottom"/>
            <w:gridSpan w:val="4"/>
          </w:tcPr>
          <w:p>
            <w:pPr>
              <w:ind w:left="320"/>
              <w:spacing w:after="0"/>
              <w:rPr>
                <w:sz w:val="20"/>
                <w:szCs w:val="20"/>
                <w:color w:val="auto"/>
              </w:rPr>
            </w:pPr>
            <w:r>
              <w:rPr>
                <w:rFonts w:ascii="Arial" w:cs="Arial" w:eastAsia="Arial" w:hAnsi="Arial"/>
                <w:sz w:val="18"/>
                <w:szCs w:val="18"/>
                <w:color w:val="auto"/>
                <w:w w:val="91"/>
              </w:rPr>
              <w:t>“Change in Control” shall mean and includes each of the following:</w:t>
            </w: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763"/>
        <w:spacing w:after="0" w:line="254" w:lineRule="auto"/>
        <w:tabs>
          <w:tab w:leader="none" w:pos="260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 transaction or series of transactions (other than an offering of Common Stock to the general public through a registration statement filed with the Securities and Exchange Commission) whereby any Person directly or indirectly acquires beneficial ownership (within the meaning of Rules 13d-3 and 13d-5 under the Exchange Act) of securities of the Company possessing more than 50% of the total combined voting power of the Company’s securities outstanding immediately after such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2.9(c)(i), 2.9(c)(ii) or 2.9(c)(iii); or (iv) in respect of an Award held by a particular Holder, any acquisition by the Holder or any group of Persons including the Holder (or any entity controlled by the Holder or any group of Persons including the Holder); or</w:t>
      </w:r>
    </w:p>
    <w:p>
      <w:pPr>
        <w:spacing w:after="0" w:line="192" w:lineRule="exact"/>
        <w:rPr>
          <w:rFonts w:ascii="Arial" w:cs="Arial" w:eastAsia="Arial" w:hAnsi="Arial"/>
          <w:sz w:val="18"/>
          <w:szCs w:val="18"/>
          <w:color w:val="auto"/>
        </w:rPr>
      </w:pPr>
    </w:p>
    <w:p>
      <w:pPr>
        <w:ind w:left="2620" w:hanging="857"/>
        <w:spacing w:after="0"/>
        <w:tabs>
          <w:tab w:leader="none" w:pos="2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Incumbent Directors cease for any reason to constitute a majority of the Board; or</w:t>
      </w:r>
    </w:p>
    <w:p>
      <w:pPr>
        <w:spacing w:after="0" w:line="225" w:lineRule="exact"/>
        <w:rPr>
          <w:rFonts w:ascii="Arial" w:cs="Arial" w:eastAsia="Arial" w:hAnsi="Arial"/>
          <w:sz w:val="18"/>
          <w:szCs w:val="18"/>
          <w:color w:val="auto"/>
        </w:rPr>
      </w:pPr>
    </w:p>
    <w:p>
      <w:pPr>
        <w:jc w:val="both"/>
        <w:ind w:firstLine="1763"/>
        <w:spacing w:after="0" w:line="259" w:lineRule="auto"/>
        <w:tabs>
          <w:tab w:leader="none" w:pos="260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86" w:lineRule="exact"/>
        <w:rPr>
          <w:rFonts w:ascii="Arial" w:cs="Arial" w:eastAsia="Arial" w:hAnsi="Arial"/>
          <w:sz w:val="18"/>
          <w:szCs w:val="18"/>
          <w:color w:val="auto"/>
        </w:rPr>
      </w:pPr>
    </w:p>
    <w:p>
      <w:pPr>
        <w:jc w:val="both"/>
        <w:ind w:firstLine="2642"/>
        <w:spacing w:after="0" w:line="276" w:lineRule="auto"/>
        <w:tabs>
          <w:tab w:leader="none" w:pos="3452" w:val="left"/>
        </w:tabs>
        <w:numPr>
          <w:ilvl w:val="1"/>
          <w:numId w:val="32"/>
        </w:numPr>
        <w:rPr>
          <w:rFonts w:ascii="Arial" w:cs="Arial" w:eastAsia="Arial" w:hAnsi="Arial"/>
          <w:sz w:val="17"/>
          <w:szCs w:val="17"/>
          <w:color w:val="auto"/>
        </w:rPr>
      </w:pPr>
      <w:r>
        <w:rPr>
          <w:rFonts w:ascii="Arial" w:cs="Arial" w:eastAsia="Arial" w:hAnsi="Arial"/>
          <w:sz w:val="17"/>
          <w:szCs w:val="17"/>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7"/>
          <w:szCs w:val="17"/>
          <w:u w:val="single" w:color="auto"/>
          <w:color w:val="auto"/>
        </w:rPr>
        <w:t>Successor Entity</w:t>
      </w:r>
      <w:r>
        <w:rPr>
          <w:rFonts w:ascii="Arial" w:cs="Arial" w:eastAsia="Arial" w:hAnsi="Arial"/>
          <w:sz w:val="17"/>
          <w:szCs w:val="17"/>
          <w:color w:val="auto"/>
        </w:rPr>
        <w:t>”)), or Cinven beneficially owning, directly or indirectly, at least a majority of the combined voting power of the Successor Entity’s outstanding voting securities immediately after the transaction, and</w:t>
      </w:r>
    </w:p>
    <w:p>
      <w:pPr>
        <w:spacing w:after="0" w:line="172" w:lineRule="exact"/>
        <w:rPr>
          <w:rFonts w:ascii="Arial" w:cs="Arial" w:eastAsia="Arial" w:hAnsi="Arial"/>
          <w:sz w:val="17"/>
          <w:szCs w:val="17"/>
          <w:color w:val="auto"/>
        </w:rPr>
      </w:pPr>
    </w:p>
    <w:p>
      <w:pPr>
        <w:jc w:val="both"/>
        <w:ind w:firstLine="2642"/>
        <w:spacing w:after="0" w:line="259" w:lineRule="auto"/>
        <w:tabs>
          <w:tab w:leader="none" w:pos="3502"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after which no Person beneficially owns voting securities representing 50% or more of the combined voting power of the Successor Entity;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shall be treated for purposes of this Section 2.9(c)(ii) as beneficially owning 50% or more of the combined voting power of the Successor Entity solely as a result of the voting power held in the Company prior to the consummation of the transaction; and</w:t>
      </w:r>
    </w:p>
    <w:p>
      <w:pPr>
        <w:spacing w:after="0" w:line="186" w:lineRule="exact"/>
        <w:rPr>
          <w:rFonts w:ascii="Arial" w:cs="Arial" w:eastAsia="Arial" w:hAnsi="Arial"/>
          <w:sz w:val="18"/>
          <w:szCs w:val="18"/>
          <w:color w:val="auto"/>
        </w:rPr>
      </w:pPr>
    </w:p>
    <w:p>
      <w:pPr>
        <w:ind w:right="20" w:firstLine="2642"/>
        <w:spacing w:after="0" w:line="342" w:lineRule="auto"/>
        <w:tabs>
          <w:tab w:leader="none" w:pos="3552" w:val="left"/>
        </w:tabs>
        <w:numPr>
          <w:ilvl w:val="1"/>
          <w:numId w:val="32"/>
        </w:numPr>
        <w:rPr>
          <w:rFonts w:ascii="Arial" w:cs="Arial" w:eastAsia="Arial" w:hAnsi="Arial"/>
          <w:sz w:val="16"/>
          <w:szCs w:val="16"/>
          <w:color w:val="auto"/>
        </w:rPr>
      </w:pPr>
      <w:r>
        <w:rPr>
          <w:rFonts w:ascii="Arial" w:cs="Arial" w:eastAsia="Arial" w:hAnsi="Arial"/>
          <w:sz w:val="16"/>
          <w:szCs w:val="16"/>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123" w:lineRule="exact"/>
        <w:rPr>
          <w:rFonts w:ascii="Arial" w:cs="Arial" w:eastAsia="Arial" w:hAnsi="Arial"/>
          <w:sz w:val="16"/>
          <w:szCs w:val="16"/>
          <w:color w:val="auto"/>
        </w:rPr>
      </w:pPr>
    </w:p>
    <w:p>
      <w:pPr>
        <w:ind w:left="2620" w:hanging="857"/>
        <w:spacing w:after="0"/>
        <w:tabs>
          <w:tab w:leader="none" w:pos="2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which is 10 business days prior to the completion of a liquidation or dissolution of the Company.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1" w:name="page62"/>
    <w:bookmarkEnd w:id="61"/>
    <w:p>
      <w:pPr>
        <w:jc w:val="both"/>
        <w:spacing w:after="0" w:line="277" w:lineRule="auto"/>
        <w:rPr>
          <w:sz w:val="20"/>
          <w:szCs w:val="20"/>
          <w:color w:val="auto"/>
        </w:rPr>
      </w:pPr>
      <w:r>
        <w:rPr>
          <w:rFonts w:ascii="Arial" w:cs="Arial" w:eastAsia="Arial" w:hAnsi="Arial"/>
          <w:sz w:val="18"/>
          <w:szCs w:val="18"/>
          <w:color w:val="auto"/>
        </w:rPr>
        <w:t>conjunction with a determination of whether a Change in Control is a “change in control event” as defined in Treasury Regulation Section 1.409A-3(i)(5) shall be consistent with such regulation.</w:t>
      </w:r>
    </w:p>
    <w:p>
      <w:pPr>
        <w:spacing w:after="0" w:line="170"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Cinven</w:t>
      </w:r>
      <w:r>
        <w:rPr>
          <w:rFonts w:ascii="Arial" w:cs="Arial" w:eastAsia="Arial" w:hAnsi="Arial"/>
          <w:sz w:val="18"/>
          <w:szCs w:val="18"/>
          <w:color w:val="auto"/>
        </w:rPr>
        <w:t>” shall mean Cinven Capital Management (V) General Partner Limited and its Control Investment Affiliates (excluding, for purposes of the definition of Change in Control, any operating portfolio companies of the foregoing).</w:t>
      </w:r>
    </w:p>
    <w:p>
      <w:pPr>
        <w:spacing w:after="0" w:line="170"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 whether issued prior or subsequent to the grant of any Award.</w:t>
      </w:r>
    </w:p>
    <w:p>
      <w:pPr>
        <w:spacing w:after="0" w:line="170"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another committee or subcommittee of the Board or the Compensation Committee of the Board described in Article 12 hereof.</w:t>
      </w:r>
    </w:p>
    <w:p>
      <w:pPr>
        <w:spacing w:after="0" w:line="153"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2.13</w:t>
            </w:r>
          </w:p>
        </w:tc>
        <w:tc>
          <w:tcPr>
            <w:tcW w:w="9900" w:type="dxa"/>
            <w:vAlign w:val="bottom"/>
            <w:gridSpan w:val="5"/>
          </w:tcPr>
          <w:p>
            <w:pPr>
              <w:ind w:left="320"/>
              <w:spacing w:after="0"/>
              <w:rPr>
                <w:sz w:val="20"/>
                <w:szCs w:val="20"/>
                <w:color w:val="auto"/>
              </w:rPr>
            </w:pPr>
            <w:r>
              <w:rPr>
                <w:rFonts w:ascii="Arial" w:cs="Arial" w:eastAsia="Arial" w:hAnsi="Arial"/>
                <w:sz w:val="18"/>
                <w:szCs w:val="18"/>
                <w:color w:val="auto"/>
              </w:rPr>
              <w:t>“Common Stock” shall mean the common stock of the Company, par value $0.01 per share.</w:t>
            </w: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41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2.14</w:t>
            </w:r>
          </w:p>
        </w:tc>
        <w:tc>
          <w:tcPr>
            <w:tcW w:w="9900" w:type="dxa"/>
            <w:vAlign w:val="bottom"/>
            <w:gridSpan w:val="5"/>
          </w:tcPr>
          <w:p>
            <w:pPr>
              <w:ind w:left="320"/>
              <w:spacing w:after="0"/>
              <w:rPr>
                <w:sz w:val="20"/>
                <w:szCs w:val="20"/>
                <w:color w:val="auto"/>
              </w:rPr>
            </w:pPr>
            <w:r>
              <w:rPr>
                <w:rFonts w:ascii="Arial" w:cs="Arial" w:eastAsia="Arial" w:hAnsi="Arial"/>
                <w:sz w:val="18"/>
                <w:szCs w:val="18"/>
                <w:color w:val="auto"/>
              </w:rPr>
              <w:t>“Company” shall have the meaning set forth in Article 1.</w:t>
            </w: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720" w:type="dxa"/>
            <w:vAlign w:val="bottom"/>
            <w:gridSpan w:val="2"/>
          </w:tcPr>
          <w:p>
            <w:pPr>
              <w:spacing w:after="0" w:line="20" w:lineRule="exact"/>
              <w:rPr>
                <w:sz w:val="1"/>
                <w:szCs w:val="1"/>
                <w:color w:val="auto"/>
              </w:rPr>
            </w:pPr>
          </w:p>
        </w:tc>
      </w:tr>
      <w:tr>
        <w:trPr>
          <w:trHeight w:val="41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2.15</w:t>
            </w:r>
          </w:p>
        </w:tc>
        <w:tc>
          <w:tcPr>
            <w:tcW w:w="9900" w:type="dxa"/>
            <w:vAlign w:val="bottom"/>
            <w:gridSpan w:val="5"/>
          </w:tcPr>
          <w:p>
            <w:pPr>
              <w:ind w:left="320"/>
              <w:spacing w:after="0"/>
              <w:rPr>
                <w:sz w:val="20"/>
                <w:szCs w:val="20"/>
                <w:color w:val="auto"/>
              </w:rPr>
            </w:pPr>
            <w:r>
              <w:rPr>
                <w:rFonts w:ascii="Arial" w:cs="Arial" w:eastAsia="Arial" w:hAnsi="Arial"/>
                <w:sz w:val="18"/>
                <w:szCs w:val="18"/>
                <w:color w:val="auto"/>
                <w:w w:val="91"/>
              </w:rPr>
              <w:t>“Consultant” shall mean any consultant or adviser engaged to provide services to the Company or any Subsidiary who qualifies as a</w:t>
            </w: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consultant or advisor under the applicable rules of the Securities and Exchange Commission for registration of shares on a Form S-8 Registration Statement.</w:t>
      </w:r>
    </w:p>
    <w:p>
      <w:pPr>
        <w:spacing w:after="0" w:line="248"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Control</w:t>
      </w:r>
      <w:r>
        <w:rPr>
          <w:rFonts w:ascii="Arial" w:cs="Arial" w:eastAsia="Arial" w:hAnsi="Arial"/>
          <w:sz w:val="18"/>
          <w:szCs w:val="18"/>
          <w:color w:val="auto"/>
        </w:rPr>
        <w:t>” shall mean the possession, directly or indirectly, of the power to direct or cause the direction of the management or policies of a Person, whether through the ability to exercise voting power, by contract or otherwise, and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shall have meanings correlative thereto.</w:t>
      </w:r>
    </w:p>
    <w:p>
      <w:pPr>
        <w:spacing w:after="0" w:line="181"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Control Investment Affiliate</w:t>
      </w:r>
      <w:r>
        <w:rPr>
          <w:rFonts w:ascii="Arial" w:cs="Arial" w:eastAsia="Arial" w:hAnsi="Arial"/>
          <w:sz w:val="18"/>
          <w:szCs w:val="18"/>
          <w:color w:val="auto"/>
        </w:rPr>
        <w:t>” shall mean, as to any Person, any other Person that (a) directly or indirectly, is in Control of, is Controlled by, or is under common Control with, such Person and (b) is organized by such Person primarily for the purpose of making equity investments in one or more companies.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jc w:val="right"/>
              <w:ind w:right="370"/>
              <w:spacing w:after="0"/>
              <w:rPr>
                <w:sz w:val="20"/>
                <w:szCs w:val="20"/>
                <w:color w:val="auto"/>
              </w:rPr>
            </w:pPr>
            <w:r>
              <w:rPr>
                <w:rFonts w:ascii="Arial" w:cs="Arial" w:eastAsia="Arial" w:hAnsi="Arial"/>
                <w:sz w:val="18"/>
                <w:szCs w:val="18"/>
                <w:color w:val="auto"/>
              </w:rPr>
              <w:t>2.18</w:t>
            </w:r>
          </w:p>
        </w:tc>
        <w:tc>
          <w:tcPr>
            <w:tcW w:w="9760" w:type="dxa"/>
            <w:vAlign w:val="bottom"/>
            <w:gridSpan w:val="7"/>
          </w:tcPr>
          <w:p>
            <w:pPr>
              <w:ind w:left="240"/>
              <w:spacing w:after="0"/>
              <w:rPr>
                <w:sz w:val="20"/>
                <w:szCs w:val="20"/>
                <w:color w:val="auto"/>
              </w:rPr>
            </w:pPr>
            <w:r>
              <w:rPr>
                <w:rFonts w:ascii="Arial" w:cs="Arial" w:eastAsia="Arial" w:hAnsi="Arial"/>
                <w:sz w:val="18"/>
                <w:szCs w:val="18"/>
                <w:color w:val="auto"/>
                <w:w w:val="95"/>
              </w:rPr>
              <w:t>“Covered Employee” shall mean any Employee who is, or could become, a “covered employee” within the meaning of Section</w:t>
            </w:r>
          </w:p>
        </w:tc>
      </w:tr>
      <w:tr>
        <w:trPr>
          <w:trHeight w:val="237"/>
        </w:trPr>
        <w:tc>
          <w:tcPr>
            <w:tcW w:w="1660" w:type="dxa"/>
            <w:vAlign w:val="bottom"/>
          </w:tcPr>
          <w:p>
            <w:pPr>
              <w:spacing w:after="0"/>
              <w:rPr>
                <w:sz w:val="20"/>
                <w:szCs w:val="20"/>
                <w:color w:val="auto"/>
              </w:rPr>
            </w:pPr>
            <w:r>
              <w:rPr>
                <w:rFonts w:ascii="Arial" w:cs="Arial" w:eastAsia="Arial" w:hAnsi="Arial"/>
                <w:sz w:val="18"/>
                <w:szCs w:val="18"/>
                <w:color w:val="auto"/>
              </w:rPr>
              <w:t>162(m) of the Code.</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00" w:type="dxa"/>
            <w:vAlign w:val="bottom"/>
          </w:tcPr>
          <w:p>
            <w:pPr>
              <w:spacing w:after="0"/>
              <w:rPr>
                <w:sz w:val="20"/>
                <w:szCs w:val="20"/>
                <w:color w:val="auto"/>
              </w:rPr>
            </w:pPr>
          </w:p>
        </w:tc>
      </w:tr>
      <w:tr>
        <w:trPr>
          <w:trHeight w:val="392"/>
        </w:trPr>
        <w:tc>
          <w:tcPr>
            <w:tcW w:w="1660" w:type="dxa"/>
            <w:vAlign w:val="bottom"/>
          </w:tcPr>
          <w:p>
            <w:pPr>
              <w:jc w:val="right"/>
              <w:ind w:right="370"/>
              <w:spacing w:after="0"/>
              <w:rPr>
                <w:sz w:val="20"/>
                <w:szCs w:val="20"/>
                <w:color w:val="auto"/>
              </w:rPr>
            </w:pPr>
            <w:r>
              <w:rPr>
                <w:rFonts w:ascii="Arial" w:cs="Arial" w:eastAsia="Arial" w:hAnsi="Arial"/>
                <w:sz w:val="18"/>
                <w:szCs w:val="18"/>
                <w:color w:val="auto"/>
              </w:rPr>
              <w:t>2.19</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“Director” shall mean a member of the Board, as constituted from time to time.</w:t>
            </w:r>
          </w:p>
        </w:tc>
      </w:tr>
      <w:tr>
        <w:trPr>
          <w:trHeight w:val="20"/>
        </w:trPr>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412"/>
        </w:trPr>
        <w:tc>
          <w:tcPr>
            <w:tcW w:w="1660" w:type="dxa"/>
            <w:vAlign w:val="bottom"/>
          </w:tcPr>
          <w:p>
            <w:pPr>
              <w:jc w:val="right"/>
              <w:ind w:right="370"/>
              <w:spacing w:after="0"/>
              <w:rPr>
                <w:sz w:val="20"/>
                <w:szCs w:val="20"/>
                <w:color w:val="auto"/>
              </w:rPr>
            </w:pPr>
            <w:r>
              <w:rPr>
                <w:rFonts w:ascii="Arial" w:cs="Arial" w:eastAsia="Arial" w:hAnsi="Arial"/>
                <w:sz w:val="18"/>
                <w:szCs w:val="18"/>
                <w:color w:val="auto"/>
              </w:rPr>
              <w:t>2.20</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“Director Limit” shall have the meaning set forth in Section 4.6.</w:t>
            </w:r>
          </w:p>
        </w:tc>
      </w:tr>
      <w:tr>
        <w:trPr>
          <w:trHeight w:val="20"/>
        </w:trPr>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412"/>
        </w:trPr>
        <w:tc>
          <w:tcPr>
            <w:tcW w:w="1660" w:type="dxa"/>
            <w:vAlign w:val="bottom"/>
          </w:tcPr>
          <w:p>
            <w:pPr>
              <w:jc w:val="right"/>
              <w:ind w:right="370"/>
              <w:spacing w:after="0"/>
              <w:rPr>
                <w:sz w:val="20"/>
                <w:szCs w:val="20"/>
                <w:color w:val="auto"/>
              </w:rPr>
            </w:pPr>
            <w:r>
              <w:rPr>
                <w:rFonts w:ascii="Arial" w:cs="Arial" w:eastAsia="Arial" w:hAnsi="Arial"/>
                <w:sz w:val="18"/>
                <w:szCs w:val="18"/>
                <w:color w:val="auto"/>
              </w:rPr>
              <w:t>2.21</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w w:val="92"/>
              </w:rPr>
              <w:t>“Dividend Equivalent” shall mean a right to receive the equivalent value (in cash or Shares) of dividends paid on Shares, awarded</w:t>
            </w:r>
          </w:p>
        </w:tc>
      </w:tr>
      <w:tr>
        <w:trPr>
          <w:trHeight w:val="237"/>
        </w:trPr>
        <w:tc>
          <w:tcPr>
            <w:tcW w:w="1660" w:type="dxa"/>
            <w:vAlign w:val="bottom"/>
          </w:tcPr>
          <w:p>
            <w:pPr>
              <w:spacing w:after="0"/>
              <w:rPr>
                <w:sz w:val="20"/>
                <w:szCs w:val="20"/>
                <w:color w:val="auto"/>
              </w:rPr>
            </w:pPr>
            <w:r>
              <w:rPr>
                <w:rFonts w:ascii="Arial" w:cs="Arial" w:eastAsia="Arial" w:hAnsi="Arial"/>
                <w:sz w:val="18"/>
                <w:szCs w:val="18"/>
                <w:color w:val="auto"/>
              </w:rPr>
              <w:t>under Section 10.2.</w:t>
            </w:r>
          </w:p>
        </w:tc>
        <w:tc>
          <w:tcPr>
            <w:tcW w:w="2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00" w:type="dxa"/>
            <w:vAlign w:val="bottom"/>
          </w:tcPr>
          <w:p>
            <w:pPr>
              <w:spacing w:after="0"/>
              <w:rPr>
                <w:sz w:val="20"/>
                <w:szCs w:val="20"/>
                <w:color w:val="auto"/>
              </w:rPr>
            </w:pPr>
          </w:p>
        </w:tc>
      </w:tr>
    </w:tbl>
    <w:p>
      <w:pPr>
        <w:spacing w:after="0" w:line="202"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 1974, as amended from time to time, or the rules thereunder.</w:t>
      </w:r>
    </w:p>
    <w:p>
      <w:pPr>
        <w:spacing w:after="0" w:line="153"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2.23</w:t>
            </w:r>
          </w:p>
        </w:tc>
        <w:tc>
          <w:tcPr>
            <w:tcW w:w="9900" w:type="dxa"/>
            <w:vAlign w:val="bottom"/>
            <w:gridSpan w:val="4"/>
          </w:tcPr>
          <w:p>
            <w:pPr>
              <w:ind w:left="320"/>
              <w:spacing w:after="0"/>
              <w:rPr>
                <w:sz w:val="20"/>
                <w:szCs w:val="20"/>
                <w:color w:val="auto"/>
              </w:rPr>
            </w:pPr>
            <w:r>
              <w:rPr>
                <w:rFonts w:ascii="Arial" w:cs="Arial" w:eastAsia="Arial" w:hAnsi="Arial"/>
                <w:sz w:val="18"/>
                <w:szCs w:val="18"/>
                <w:color w:val="auto"/>
              </w:rPr>
              <w:t>“Effective Date” shall mean the day prior to the Public Trading Date.</w:t>
            </w: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41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2.24</w:t>
            </w:r>
          </w:p>
        </w:tc>
        <w:tc>
          <w:tcPr>
            <w:tcW w:w="9900" w:type="dxa"/>
            <w:vAlign w:val="bottom"/>
            <w:gridSpan w:val="4"/>
          </w:tcPr>
          <w:p>
            <w:pPr>
              <w:ind w:left="320"/>
              <w:spacing w:after="0"/>
              <w:rPr>
                <w:sz w:val="20"/>
                <w:szCs w:val="20"/>
                <w:color w:val="auto"/>
              </w:rPr>
            </w:pPr>
            <w:r>
              <w:rPr>
                <w:rFonts w:ascii="Arial" w:cs="Arial" w:eastAsia="Arial" w:hAnsi="Arial"/>
                <w:sz w:val="18"/>
                <w:szCs w:val="18"/>
                <w:color w:val="auto"/>
                <w:w w:val="93"/>
              </w:rPr>
              <w:t>“Eligible Individual” shall mean any Person who is an Employee, a Consultant or a Non-Employee Director, as determined by the</w:t>
            </w: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Administrator.</w:t>
      </w:r>
    </w:p>
    <w:p>
      <w:pPr>
        <w:spacing w:after="0" w:line="225" w:lineRule="exact"/>
        <w:rPr>
          <w:sz w:val="20"/>
          <w:szCs w:val="20"/>
          <w:color w:val="auto"/>
        </w:rPr>
      </w:pPr>
    </w:p>
    <w:p>
      <w:pPr>
        <w:jc w:val="both"/>
        <w:ind w:right="20" w:firstLine="877"/>
        <w:spacing w:after="0" w:line="277"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officer or other employee (as determined in accordance with Section 3401(c) of the Code and the Treasury Regulations thereunder) of the Company or of any Subsidiary.</w:t>
      </w:r>
    </w:p>
    <w:p>
      <w:pPr>
        <w:spacing w:after="0" w:line="170"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share price of Common Stock (or other securities) and causes a change in the per-share value of the Common Stock underlying outstanding Awards.</w:t>
      </w:r>
    </w:p>
    <w:p>
      <w:pPr>
        <w:spacing w:after="0" w:line="220"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2.27</w:t>
            </w:r>
          </w:p>
        </w:tc>
        <w:tc>
          <w:tcPr>
            <w:tcW w:w="7360" w:type="dxa"/>
            <w:vAlign w:val="bottom"/>
            <w:gridSpan w:val="5"/>
          </w:tcPr>
          <w:p>
            <w:pPr>
              <w:ind w:left="320"/>
              <w:spacing w:after="0"/>
              <w:rPr>
                <w:sz w:val="20"/>
                <w:szCs w:val="20"/>
                <w:color w:val="auto"/>
              </w:rPr>
            </w:pPr>
            <w:r>
              <w:rPr>
                <w:rFonts w:ascii="Arial" w:cs="Arial" w:eastAsia="Arial" w:hAnsi="Arial"/>
                <w:sz w:val="18"/>
                <w:szCs w:val="18"/>
                <w:color w:val="auto"/>
                <w:w w:val="91"/>
              </w:rPr>
              <w:t>“Exchange Act” shall mean the Securities Exchange Act of 1934, as amended from time to time.</w:t>
            </w: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41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2.28</w:t>
            </w:r>
          </w:p>
        </w:tc>
        <w:tc>
          <w:tcPr>
            <w:tcW w:w="7360" w:type="dxa"/>
            <w:vAlign w:val="bottom"/>
            <w:gridSpan w:val="5"/>
          </w:tcPr>
          <w:p>
            <w:pPr>
              <w:ind w:left="320"/>
              <w:spacing w:after="0"/>
              <w:rPr>
                <w:sz w:val="20"/>
                <w:szCs w:val="20"/>
                <w:color w:val="auto"/>
              </w:rPr>
            </w:pPr>
            <w:r>
              <w:rPr>
                <w:rFonts w:ascii="Arial" w:cs="Arial" w:eastAsia="Arial" w:hAnsi="Arial"/>
                <w:sz w:val="18"/>
                <w:szCs w:val="18"/>
                <w:color w:val="auto"/>
              </w:rPr>
              <w:t>“Expiration Date” shall have the meaning given to such term in Section 13.1(c).</w:t>
            </w: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41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2.29</w:t>
            </w:r>
          </w:p>
        </w:tc>
        <w:tc>
          <w:tcPr>
            <w:tcW w:w="7360" w:type="dxa"/>
            <w:vAlign w:val="bottom"/>
            <w:gridSpan w:val="5"/>
          </w:tcPr>
          <w:p>
            <w:pPr>
              <w:ind w:left="320"/>
              <w:spacing w:after="0"/>
              <w:rPr>
                <w:sz w:val="20"/>
                <w:szCs w:val="20"/>
                <w:color w:val="auto"/>
              </w:rPr>
            </w:pPr>
            <w:r>
              <w:rPr>
                <w:rFonts w:ascii="Arial" w:cs="Arial" w:eastAsia="Arial" w:hAnsi="Arial"/>
                <w:sz w:val="18"/>
                <w:szCs w:val="18"/>
                <w:color w:val="auto"/>
                <w:w w:val="90"/>
              </w:rPr>
              <w:t>“Fair Market Value” shall mean, as of any given date, the value of a Share determined as follows:</w:t>
            </w: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763"/>
        <w:spacing w:after="0" w:line="276" w:lineRule="auto"/>
        <w:tabs>
          <w:tab w:leader="none" w:pos="2603"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If the Common Stock is (i) listed on any established securities exchange (such as the New York Stock Exchange, the NASDAQ Capital Market, the NASDAQ Global Market and the NASDAQ Global Select Market), (ii) listed on any national market system or (iii)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172" w:lineRule="exact"/>
        <w:rPr>
          <w:rFonts w:ascii="Arial" w:cs="Arial" w:eastAsia="Arial" w:hAnsi="Arial"/>
          <w:sz w:val="17"/>
          <w:szCs w:val="17"/>
          <w:color w:val="auto"/>
        </w:rPr>
      </w:pPr>
    </w:p>
    <w:p>
      <w:pPr>
        <w:jc w:val="both"/>
        <w:ind w:firstLine="1763"/>
        <w:spacing w:after="0" w:line="302" w:lineRule="auto"/>
        <w:tabs>
          <w:tab w:leader="none" w:pos="2613"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 or</w:t>
      </w:r>
    </w:p>
    <w:p>
      <w:pPr>
        <w:spacing w:after="0" w:line="154" w:lineRule="exact"/>
        <w:rPr>
          <w:rFonts w:ascii="Arial" w:cs="Arial" w:eastAsia="Arial" w:hAnsi="Arial"/>
          <w:sz w:val="16"/>
          <w:szCs w:val="16"/>
          <w:color w:val="auto"/>
        </w:rPr>
      </w:pPr>
    </w:p>
    <w:p>
      <w:pPr>
        <w:ind w:firstLine="1763"/>
        <w:spacing w:after="0" w:line="308" w:lineRule="auto"/>
        <w:tabs>
          <w:tab w:leader="none" w:pos="2603"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foregoing, with respect to any Award granted after the effectiveness of the Company’s registration statement relating to its initial public offering and prior to the Public Trading Date, the Fair Market Value shall mean the initial public offering price of a Share as set forth in the Company’s final prospectus relating to its initial public offering filed with the Securities and Exchange Commission.</w:t>
      </w:r>
    </w:p>
    <w:p>
      <w:pPr>
        <w:spacing w:after="0" w:line="181"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Greater Than 10% Stockholder”</w:t>
      </w:r>
      <w:r>
        <w:rPr>
          <w:rFonts w:ascii="Arial" w:cs="Arial" w:eastAsia="Arial" w:hAnsi="Arial"/>
          <w:sz w:val="18"/>
          <w:szCs w:val="18"/>
          <w:color w:val="auto"/>
        </w:rPr>
        <w:t xml:space="preserve">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81"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shall mean a Person who has been granted an Award.</w:t>
      </w:r>
    </w:p>
    <w:p>
      <w:pPr>
        <w:spacing w:after="0" w:line="225" w:lineRule="exact"/>
        <w:rPr>
          <w:sz w:val="20"/>
          <w:szCs w:val="20"/>
          <w:color w:val="auto"/>
        </w:rPr>
      </w:pPr>
    </w:p>
    <w:p>
      <w:pPr>
        <w:jc w:val="both"/>
        <w:ind w:right="20" w:firstLine="877"/>
        <w:spacing w:after="0" w:line="27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qualify as an incentive stock option and conforms to the applicable provisions of Section 422 of the Code.</w:t>
      </w:r>
    </w:p>
    <w:p>
      <w:pPr>
        <w:spacing w:after="0" w:line="170"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Incumbent Directors</w:t>
      </w:r>
      <w:r>
        <w:rPr>
          <w:rFonts w:ascii="Arial" w:cs="Arial" w:eastAsia="Arial" w:hAnsi="Arial"/>
          <w:sz w:val="18"/>
          <w:szCs w:val="18"/>
          <w:color w:val="auto"/>
        </w:rPr>
        <w:t>’ shall mean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2.9(a) or 2.9(c))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92"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shall mean a Director of the Company who is not 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ind w:left="880"/>
        <w:spacing w:after="0"/>
        <w:tabs>
          <w:tab w:leader="none" w:pos="182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Non-Employee Director Equity Compensation Policy</w:t>
      </w:r>
      <w:r>
        <w:rPr>
          <w:rFonts w:ascii="Arial" w:cs="Arial" w:eastAsia="Arial" w:hAnsi="Arial"/>
          <w:sz w:val="16"/>
          <w:szCs w:val="16"/>
          <w:color w:val="auto"/>
        </w:rPr>
        <w:t>” shall have the meaning set forth in Section 4.6.</w:t>
      </w:r>
    </w:p>
    <w:p>
      <w:pPr>
        <w:spacing w:after="0" w:line="225"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an Incentive Stock Option or which is designated as an Incentive Stock Option but does not meet the applicable requirements of Section 422 of the Code.</w:t>
      </w:r>
    </w:p>
    <w:p>
      <w:pPr>
        <w:spacing w:after="0" w:line="170"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a right to purchase Shares at a specified exercise price, granted under Article 6. An Option shall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Non-Employee Directors and Consultants shall only be Non-Qualified Stock Options.</w:t>
      </w:r>
    </w:p>
    <w:p>
      <w:pPr>
        <w:spacing w:after="0" w:line="181"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Option Term</w:t>
      </w:r>
      <w:r>
        <w:rPr>
          <w:rFonts w:ascii="Arial" w:cs="Arial" w:eastAsia="Arial" w:hAnsi="Arial"/>
          <w:sz w:val="16"/>
          <w:szCs w:val="16"/>
          <w:color w:val="auto"/>
        </w:rPr>
        <w:t>” shall have the meaning set forth in Section 6.4.</w:t>
      </w:r>
    </w:p>
    <w:p>
      <w:pPr>
        <w:spacing w:after="0" w:line="225"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shall mean, collectively, (a) the Company’s articles of incorporation, certificate of incorporation, bylaws or other similar organizational documents relating to the creation and governance of the Company, and (b) the Committee’s charter or other similar organizational documentation relating to the creation and governance of the Committee.</w:t>
      </w:r>
    </w:p>
    <w:p>
      <w:pPr>
        <w:spacing w:after="0" w:line="181"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Other Stock or Cash Based Award</w:t>
      </w:r>
      <w:r>
        <w:rPr>
          <w:rFonts w:ascii="Arial" w:cs="Arial" w:eastAsia="Arial" w:hAnsi="Arial"/>
          <w:sz w:val="18"/>
          <w:szCs w:val="18"/>
          <w:color w:val="auto"/>
        </w:rPr>
        <w:t>” shall mean a cash payment, cash bonus award, stock payment, stock bonus award, performance award or incentive award that is paid in cash, Shares or a combination of both, awarded under Section 10.1, which may include, without limitation, deferred stock, deferred stock units, performance awards, retainers, committee fees, and meeting-based fees.</w:t>
      </w:r>
    </w:p>
    <w:p>
      <w:pPr>
        <w:spacing w:after="0" w:line="181"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shall mean any compensation that is intended to qualify as “performance-based compensation” as described in Section 162(m)(4)(C) of the Code.</w:t>
      </w:r>
    </w:p>
    <w:p>
      <w:pPr>
        <w:spacing w:after="0" w:line="170" w:lineRule="exact"/>
        <w:rPr>
          <w:sz w:val="20"/>
          <w:szCs w:val="20"/>
          <w:color w:val="auto"/>
        </w:rPr>
      </w:pPr>
    </w:p>
    <w:p>
      <w:pPr>
        <w:jc w:val="both"/>
        <w:ind w:right="20" w:firstLine="877"/>
        <w:spacing w:after="0" w:line="277"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shall mean the criteria (and adjustments) that the Administrator selects for an Award for purposes of establishing the Performance Goal or Performance Goals for a Performance Period, determined as follows:</w:t>
      </w:r>
    </w:p>
    <w:p>
      <w:pPr>
        <w:spacing w:after="0" w:line="170" w:lineRule="exact"/>
        <w:rPr>
          <w:sz w:val="20"/>
          <w:szCs w:val="20"/>
          <w:color w:val="auto"/>
        </w:rPr>
      </w:pPr>
    </w:p>
    <w:p>
      <w:pPr>
        <w:jc w:val="both"/>
        <w:ind w:firstLine="1763"/>
        <w:spacing w:after="0" w:line="284" w:lineRule="auto"/>
        <w:tabs>
          <w:tab w:leader="none" w:pos="2598"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Performance Criteria that shall be used to establish Performance Goals are limited to the following: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(xx) implementation or completion of critical projects; (xxi) market share; (xxii) economic value; (xxiii) productivity;</w:t>
      </w:r>
    </w:p>
    <w:p>
      <w:pPr>
        <w:spacing w:after="0" w:line="1" w:lineRule="exact"/>
        <w:rPr>
          <w:rFonts w:ascii="Arial" w:cs="Arial" w:eastAsia="Arial" w:hAnsi="Arial"/>
          <w:sz w:val="16"/>
          <w:szCs w:val="16"/>
          <w:color w:val="auto"/>
        </w:rPr>
      </w:pPr>
    </w:p>
    <w:p>
      <w:pPr>
        <w:jc w:val="both"/>
        <w:ind w:firstLine="8"/>
        <w:spacing w:after="0" w:line="290" w:lineRule="auto"/>
        <w:tabs>
          <w:tab w:leader="none" w:pos="486" w:val="left"/>
        </w:tabs>
        <w:numPr>
          <w:ilvl w:val="0"/>
          <w:numId w:val="35"/>
        </w:numPr>
        <w:rPr>
          <w:rFonts w:ascii="Arial" w:cs="Arial" w:eastAsia="Arial" w:hAnsi="Arial"/>
          <w:sz w:val="16"/>
          <w:szCs w:val="16"/>
          <w:color w:val="auto"/>
        </w:rPr>
      </w:pPr>
      <w:r>
        <w:rPr>
          <w:rFonts w:ascii="Arial" w:cs="Arial" w:eastAsia="Arial" w:hAnsi="Arial"/>
          <w:sz w:val="16"/>
          <w:szCs w:val="16"/>
          <w:color w:val="auto"/>
        </w:rPr>
        <w:t>operating efficiency; (xxv) economic value-added; (xxvi) cash flow return on capital; (xxvii) return on net assets; (xxviii) funds from operations; (xxix) funds available for distributions; (xxx) market penetration and geographic business expansion; (xxxi) customer satisfaction/growth; (xxxii) recruitment and retention of personnel; (xxxiii) human resources management; (xxxiv) supervision of litigation and other legal matters; (xxxv) strategic partnerships and transactions; (xxxvi) financial ratios (including those measuring liquidity, activity, profitability or leverage); (xxxvii) financing and other capital raising transactions; (xxxviii) year-end cash; and (xxxix) acquisition activity and marketing initiatives, any of which may be measured either in absolute terms or as compared to any incremental increase or decrease or as compared to results of a peer group or to market performance indicators or indices.</w:t>
      </w:r>
    </w:p>
    <w:p>
      <w:pPr>
        <w:spacing w:after="0" w:line="164" w:lineRule="exact"/>
        <w:rPr>
          <w:rFonts w:ascii="Arial" w:cs="Arial" w:eastAsia="Arial" w:hAnsi="Arial"/>
          <w:sz w:val="16"/>
          <w:szCs w:val="16"/>
          <w:color w:val="auto"/>
        </w:rPr>
      </w:pPr>
    </w:p>
    <w:p>
      <w:pPr>
        <w:jc w:val="both"/>
        <w:ind w:firstLine="1763"/>
        <w:spacing w:after="0" w:line="259" w:lineRule="auto"/>
        <w:tabs>
          <w:tab w:leader="none" w:pos="2613"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Administrator, in its sole discretion, may provide that one or more objectively determinable adjustments shall be made to one or more of the Performance Goals. Such adjustments may include, but are not limited to, one or more of the following: (i) items related to a change in Applicable Accounting Standards; (ii) items relating to financing activities; (iii) expenses for restructuring or productivity initiatives; (iv) other non-operating items; (v) items related to acquisitions; (vi) items attributable to the business operations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278130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jc w:val="both"/>
        <w:spacing w:after="0" w:line="284" w:lineRule="auto"/>
        <w:rPr>
          <w:sz w:val="20"/>
          <w:szCs w:val="20"/>
          <w:color w:val="auto"/>
        </w:rPr>
      </w:pPr>
      <w:r>
        <w:rPr>
          <w:rFonts w:ascii="Arial" w:cs="Arial" w:eastAsia="Arial" w:hAnsi="Arial"/>
          <w:sz w:val="16"/>
          <w:szCs w:val="16"/>
          <w:color w:val="auto"/>
        </w:rPr>
        <w:t>entity acquired by the Company during the Performance Period; (vii) items related to the sale or disposition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of an unusual nature or of infrequency of occurrence or non-recurring items,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w:t>
      </w:r>
    </w:p>
    <w:p>
      <w:pPr>
        <w:spacing w:after="0" w:line="5" w:lineRule="exact"/>
        <w:rPr>
          <w:sz w:val="20"/>
          <w:szCs w:val="20"/>
          <w:color w:val="auto"/>
        </w:rPr>
      </w:pPr>
    </w:p>
    <w:p>
      <w:pPr>
        <w:jc w:val="both"/>
        <w:ind w:firstLine="8"/>
        <w:spacing w:after="0" w:line="271" w:lineRule="auto"/>
        <w:tabs>
          <w:tab w:leader="none" w:pos="464" w:val="left"/>
        </w:tabs>
        <w:numPr>
          <w:ilvl w:val="0"/>
          <w:numId w:val="36"/>
        </w:numPr>
        <w:rPr>
          <w:rFonts w:ascii="Arial" w:cs="Arial" w:eastAsia="Arial" w:hAnsi="Arial"/>
          <w:sz w:val="17"/>
          <w:szCs w:val="17"/>
          <w:color w:val="auto"/>
        </w:rPr>
      </w:pPr>
      <w:r>
        <w:rPr>
          <w:rFonts w:ascii="Arial" w:cs="Arial" w:eastAsia="Arial" w:hAnsi="Arial"/>
          <w:sz w:val="17"/>
          <w:szCs w:val="17"/>
          <w:color w:val="auto"/>
        </w:rPr>
        <w:t>items relating to asset impairment charges; (xviii) items relating to gains or losses for litigation, arbitration and contractual settlements; (xix) items attributable to expenses incurred in connection with a reduction in force or early retirement initiative; (xx) items relating to foreign exchange or currency transactions and/or fluctuations; or (xxi) items relating to any other unusual or nonrecurring events or changes in Applicable Law, Applicable Accounting Standards or business conditions. For all Awards intended to qualify as Performance-Based Compensation, such determinations shall be made within the time prescribed by, and otherwise in compliance with, Section 162(m) of the Code.</w:t>
      </w:r>
    </w:p>
    <w:p>
      <w:pPr>
        <w:spacing w:after="0" w:line="179" w:lineRule="exact"/>
        <w:rPr>
          <w:sz w:val="20"/>
          <w:szCs w:val="20"/>
          <w:color w:val="auto"/>
        </w:rPr>
      </w:pPr>
    </w:p>
    <w:p>
      <w:pPr>
        <w:jc w:val="both"/>
        <w:ind w:firstLine="877"/>
        <w:spacing w:after="0" w:line="302" w:lineRule="auto"/>
        <w:rPr>
          <w:sz w:val="20"/>
          <w:szCs w:val="20"/>
          <w:color w:val="auto"/>
        </w:rPr>
      </w:pPr>
      <w:r>
        <w:rPr>
          <w:rFonts w:ascii="Arial" w:cs="Arial" w:eastAsia="Arial" w:hAnsi="Arial"/>
          <w:sz w:val="16"/>
          <w:szCs w:val="16"/>
          <w:color w:val="auto"/>
        </w:rPr>
        <w:t>2.43 “</w:t>
      </w:r>
      <w:r>
        <w:rPr>
          <w:rFonts w:ascii="Arial" w:cs="Arial" w:eastAsia="Arial" w:hAnsi="Arial"/>
          <w:sz w:val="16"/>
          <w:szCs w:val="16"/>
          <w:u w:val="single" w:color="auto"/>
          <w:color w:val="auto"/>
        </w:rPr>
        <w:t>Performance Goals</w:t>
      </w:r>
      <w:r>
        <w:rPr>
          <w:rFonts w:ascii="Arial" w:cs="Arial" w:eastAsia="Arial" w:hAnsi="Arial"/>
          <w:sz w:val="16"/>
          <w:szCs w:val="16"/>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spacing w:after="0" w:line="154"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p>
    <w:p>
      <w:pPr>
        <w:spacing w:after="0" w:line="181"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jc w:val="right"/>
              <w:ind w:right="230"/>
              <w:spacing w:after="0"/>
              <w:rPr>
                <w:sz w:val="20"/>
                <w:szCs w:val="20"/>
                <w:color w:val="auto"/>
              </w:rPr>
            </w:pPr>
            <w:r>
              <w:rPr>
                <w:rFonts w:ascii="Arial" w:cs="Arial" w:eastAsia="Arial" w:hAnsi="Arial"/>
                <w:sz w:val="18"/>
                <w:szCs w:val="18"/>
                <w:color w:val="auto"/>
              </w:rPr>
              <w:t>2.46</w:t>
            </w:r>
          </w:p>
        </w:tc>
        <w:tc>
          <w:tcPr>
            <w:tcW w:w="9900" w:type="dxa"/>
            <w:vAlign w:val="bottom"/>
            <w:gridSpan w:val="7"/>
          </w:tcPr>
          <w:p>
            <w:pPr>
              <w:ind w:left="320"/>
              <w:spacing w:after="0"/>
              <w:rPr>
                <w:sz w:val="20"/>
                <w:szCs w:val="20"/>
                <w:color w:val="auto"/>
              </w:rPr>
            </w:pPr>
            <w:r>
              <w:rPr>
                <w:rFonts w:ascii="Arial" w:cs="Arial" w:eastAsia="Arial" w:hAnsi="Arial"/>
                <w:sz w:val="18"/>
                <w:szCs w:val="18"/>
                <w:color w:val="auto"/>
                <w:w w:val="95"/>
              </w:rPr>
              <w:t>“Person” shall mean any “person” or related “group” of “persons” (as such terms are used in Sections 13(d) and 14(d)(2) of the</w:t>
            </w:r>
          </w:p>
        </w:tc>
      </w:tr>
      <w:tr>
        <w:trPr>
          <w:trHeight w:val="237"/>
        </w:trPr>
        <w:tc>
          <w:tcPr>
            <w:tcW w:w="1520" w:type="dxa"/>
            <w:vAlign w:val="bottom"/>
          </w:tcPr>
          <w:p>
            <w:pPr>
              <w:spacing w:after="0"/>
              <w:rPr>
                <w:sz w:val="20"/>
                <w:szCs w:val="20"/>
                <w:color w:val="auto"/>
              </w:rPr>
            </w:pPr>
            <w:r>
              <w:rPr>
                <w:rFonts w:ascii="Arial" w:cs="Arial" w:eastAsia="Arial" w:hAnsi="Arial"/>
                <w:sz w:val="18"/>
                <w:szCs w:val="18"/>
                <w:color w:val="auto"/>
              </w:rPr>
              <w:t>Exchange Act).</w:t>
            </w:r>
          </w:p>
        </w:tc>
        <w:tc>
          <w:tcPr>
            <w:tcW w:w="4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392"/>
        </w:trPr>
        <w:tc>
          <w:tcPr>
            <w:tcW w:w="1520" w:type="dxa"/>
            <w:vAlign w:val="bottom"/>
          </w:tcPr>
          <w:p>
            <w:pPr>
              <w:jc w:val="right"/>
              <w:ind w:right="230"/>
              <w:spacing w:after="0"/>
              <w:rPr>
                <w:sz w:val="20"/>
                <w:szCs w:val="20"/>
                <w:color w:val="auto"/>
              </w:rPr>
            </w:pPr>
            <w:r>
              <w:rPr>
                <w:rFonts w:ascii="Arial" w:cs="Arial" w:eastAsia="Arial" w:hAnsi="Arial"/>
                <w:sz w:val="18"/>
                <w:szCs w:val="18"/>
                <w:color w:val="auto"/>
              </w:rPr>
              <w:t>2.47</w:t>
            </w:r>
          </w:p>
        </w:tc>
        <w:tc>
          <w:tcPr>
            <w:tcW w:w="9900" w:type="dxa"/>
            <w:vAlign w:val="bottom"/>
            <w:gridSpan w:val="7"/>
          </w:tcPr>
          <w:p>
            <w:pPr>
              <w:ind w:left="320"/>
              <w:spacing w:after="0"/>
              <w:rPr>
                <w:sz w:val="20"/>
                <w:szCs w:val="20"/>
                <w:color w:val="auto"/>
              </w:rPr>
            </w:pPr>
            <w:r>
              <w:rPr>
                <w:rFonts w:ascii="Arial" w:cs="Arial" w:eastAsia="Arial" w:hAnsi="Arial"/>
                <w:sz w:val="18"/>
                <w:szCs w:val="18"/>
                <w:color w:val="auto"/>
              </w:rPr>
              <w:t>“Plan” shall have the meaning set forth in Article 1.</w:t>
            </w:r>
          </w:p>
        </w:tc>
      </w:tr>
      <w:tr>
        <w:trPr>
          <w:trHeight w:val="20"/>
        </w:trPr>
        <w:tc>
          <w:tcPr>
            <w:tcW w:w="1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412"/>
        </w:trPr>
        <w:tc>
          <w:tcPr>
            <w:tcW w:w="1520" w:type="dxa"/>
            <w:vAlign w:val="bottom"/>
          </w:tcPr>
          <w:p>
            <w:pPr>
              <w:jc w:val="right"/>
              <w:ind w:right="230"/>
              <w:spacing w:after="0"/>
              <w:rPr>
                <w:sz w:val="20"/>
                <w:szCs w:val="20"/>
                <w:color w:val="auto"/>
              </w:rPr>
            </w:pPr>
            <w:r>
              <w:rPr>
                <w:rFonts w:ascii="Arial" w:cs="Arial" w:eastAsia="Arial" w:hAnsi="Arial"/>
                <w:sz w:val="18"/>
                <w:szCs w:val="18"/>
                <w:color w:val="auto"/>
              </w:rPr>
              <w:t>2.48</w:t>
            </w:r>
          </w:p>
        </w:tc>
        <w:tc>
          <w:tcPr>
            <w:tcW w:w="9900" w:type="dxa"/>
            <w:vAlign w:val="bottom"/>
            <w:gridSpan w:val="7"/>
          </w:tcPr>
          <w:p>
            <w:pPr>
              <w:ind w:left="320"/>
              <w:spacing w:after="0"/>
              <w:rPr>
                <w:sz w:val="20"/>
                <w:szCs w:val="20"/>
                <w:color w:val="auto"/>
              </w:rPr>
            </w:pPr>
            <w:r>
              <w:rPr>
                <w:rFonts w:ascii="Arial" w:cs="Arial" w:eastAsia="Arial" w:hAnsi="Arial"/>
                <w:sz w:val="18"/>
                <w:szCs w:val="18"/>
                <w:color w:val="auto"/>
                <w:w w:val="91"/>
              </w:rPr>
              <w:t>“Program” shall mean any program adopted by the Administrator pursuant to the Plan containing the terms and conditions intended</w:t>
            </w:r>
          </w:p>
        </w:tc>
      </w:tr>
      <w:tr>
        <w:trPr>
          <w:trHeight w:val="20"/>
        </w:trPr>
        <w:tc>
          <w:tcPr>
            <w:tcW w:w="1940" w:type="dxa"/>
            <w:vAlign w:val="bottom"/>
            <w:gridSpan w:val="3"/>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237"/>
        </w:trPr>
        <w:tc>
          <w:tcPr>
            <w:tcW w:w="11420" w:type="dxa"/>
            <w:vAlign w:val="bottom"/>
            <w:gridSpan w:val="8"/>
          </w:tcPr>
          <w:p>
            <w:pPr>
              <w:spacing w:after="0"/>
              <w:rPr>
                <w:sz w:val="20"/>
                <w:szCs w:val="20"/>
                <w:color w:val="auto"/>
              </w:rPr>
            </w:pPr>
            <w:r>
              <w:rPr>
                <w:rFonts w:ascii="Arial" w:cs="Arial" w:eastAsia="Arial" w:hAnsi="Arial"/>
                <w:sz w:val="18"/>
                <w:szCs w:val="18"/>
                <w:color w:val="auto"/>
              </w:rPr>
              <w:t>to govern a specified type of Award granted under the Plan and pursuant to which such type of Award may be granted under the Plan.</w:t>
            </w:r>
          </w:p>
        </w:tc>
      </w:tr>
      <w:tr>
        <w:trPr>
          <w:trHeight w:val="392"/>
        </w:trPr>
        <w:tc>
          <w:tcPr>
            <w:tcW w:w="1520" w:type="dxa"/>
            <w:vAlign w:val="bottom"/>
          </w:tcPr>
          <w:p>
            <w:pPr>
              <w:jc w:val="right"/>
              <w:ind w:right="230"/>
              <w:spacing w:after="0"/>
              <w:rPr>
                <w:sz w:val="20"/>
                <w:szCs w:val="20"/>
                <w:color w:val="auto"/>
              </w:rPr>
            </w:pPr>
            <w:r>
              <w:rPr>
                <w:rFonts w:ascii="Arial" w:cs="Arial" w:eastAsia="Arial" w:hAnsi="Arial"/>
                <w:sz w:val="18"/>
                <w:szCs w:val="18"/>
                <w:color w:val="auto"/>
              </w:rPr>
              <w:t>2.49</w:t>
            </w:r>
          </w:p>
        </w:tc>
        <w:tc>
          <w:tcPr>
            <w:tcW w:w="9900" w:type="dxa"/>
            <w:vAlign w:val="bottom"/>
            <w:gridSpan w:val="7"/>
          </w:tcPr>
          <w:p>
            <w:pPr>
              <w:ind w:left="320"/>
              <w:spacing w:after="0"/>
              <w:rPr>
                <w:sz w:val="20"/>
                <w:szCs w:val="20"/>
                <w:color w:val="auto"/>
              </w:rPr>
            </w:pPr>
            <w:r>
              <w:rPr>
                <w:rFonts w:ascii="Arial" w:cs="Arial" w:eastAsia="Arial" w:hAnsi="Arial"/>
                <w:sz w:val="18"/>
                <w:szCs w:val="18"/>
                <w:color w:val="auto"/>
                <w:w w:val="91"/>
              </w:rPr>
              <w:t>“Public Trading Date” shall mean the first date upon which Common Stock is listed (or approved for listing) upon notice of issuance</w:t>
            </w:r>
          </w:p>
        </w:tc>
      </w:tr>
      <w:tr>
        <w:trPr>
          <w:trHeight w:val="20"/>
        </w:trPr>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any securities exchange or designated (or approved for designation) upon notice of issuance as a national market security on an interdealer quotation system.</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jc w:val="right"/>
              <w:ind w:right="230"/>
              <w:spacing w:after="0"/>
              <w:rPr>
                <w:sz w:val="20"/>
                <w:szCs w:val="20"/>
                <w:color w:val="auto"/>
              </w:rPr>
            </w:pPr>
            <w:r>
              <w:rPr>
                <w:rFonts w:ascii="Arial" w:cs="Arial" w:eastAsia="Arial" w:hAnsi="Arial"/>
                <w:sz w:val="18"/>
                <w:szCs w:val="18"/>
                <w:color w:val="auto"/>
              </w:rPr>
              <w:t>2.50</w:t>
            </w:r>
          </w:p>
        </w:tc>
        <w:tc>
          <w:tcPr>
            <w:tcW w:w="9900" w:type="dxa"/>
            <w:vAlign w:val="bottom"/>
            <w:gridSpan w:val="5"/>
          </w:tcPr>
          <w:p>
            <w:pPr>
              <w:ind w:left="320"/>
              <w:spacing w:after="0"/>
              <w:rPr>
                <w:sz w:val="20"/>
                <w:szCs w:val="20"/>
                <w:color w:val="auto"/>
              </w:rPr>
            </w:pPr>
            <w:r>
              <w:rPr>
                <w:rFonts w:ascii="Arial" w:cs="Arial" w:eastAsia="Arial" w:hAnsi="Arial"/>
                <w:sz w:val="18"/>
                <w:szCs w:val="18"/>
                <w:color w:val="auto"/>
                <w:w w:val="93"/>
              </w:rPr>
              <w:t>“Restricted Stock” shall mean Common Stock awarded under Article 8 that is subject to certain restrictions and may be subject to</w:t>
            </w:r>
          </w:p>
        </w:tc>
      </w:tr>
      <w:tr>
        <w:trPr>
          <w:trHeight w:val="20"/>
        </w:trPr>
        <w:tc>
          <w:tcPr>
            <w:tcW w:w="192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237"/>
        </w:trPr>
        <w:tc>
          <w:tcPr>
            <w:tcW w:w="11420" w:type="dxa"/>
            <w:vAlign w:val="bottom"/>
            <w:gridSpan w:val="6"/>
          </w:tcPr>
          <w:p>
            <w:pPr>
              <w:spacing w:after="0"/>
              <w:rPr>
                <w:sz w:val="20"/>
                <w:szCs w:val="20"/>
                <w:color w:val="auto"/>
              </w:rPr>
            </w:pPr>
            <w:r>
              <w:rPr>
                <w:rFonts w:ascii="Arial" w:cs="Arial" w:eastAsia="Arial" w:hAnsi="Arial"/>
                <w:sz w:val="18"/>
                <w:szCs w:val="18"/>
                <w:color w:val="auto"/>
              </w:rPr>
              <w:t>risk of forfeiture or repurchase.</w:t>
            </w:r>
          </w:p>
        </w:tc>
      </w:tr>
      <w:tr>
        <w:trPr>
          <w:trHeight w:val="392"/>
        </w:trPr>
        <w:tc>
          <w:tcPr>
            <w:tcW w:w="1520" w:type="dxa"/>
            <w:vAlign w:val="bottom"/>
          </w:tcPr>
          <w:p>
            <w:pPr>
              <w:jc w:val="right"/>
              <w:ind w:right="230"/>
              <w:spacing w:after="0"/>
              <w:rPr>
                <w:sz w:val="20"/>
                <w:szCs w:val="20"/>
                <w:color w:val="auto"/>
              </w:rPr>
            </w:pPr>
            <w:r>
              <w:rPr>
                <w:rFonts w:ascii="Arial" w:cs="Arial" w:eastAsia="Arial" w:hAnsi="Arial"/>
                <w:sz w:val="18"/>
                <w:szCs w:val="18"/>
                <w:color w:val="auto"/>
              </w:rPr>
              <w:t>2.51</w:t>
            </w:r>
          </w:p>
        </w:tc>
        <w:tc>
          <w:tcPr>
            <w:tcW w:w="9900" w:type="dxa"/>
            <w:vAlign w:val="bottom"/>
            <w:gridSpan w:val="5"/>
          </w:tcPr>
          <w:p>
            <w:pPr>
              <w:ind w:left="320"/>
              <w:spacing w:after="0"/>
              <w:rPr>
                <w:sz w:val="20"/>
                <w:szCs w:val="20"/>
                <w:color w:val="auto"/>
              </w:rPr>
            </w:pPr>
            <w:r>
              <w:rPr>
                <w:rFonts w:ascii="Arial" w:cs="Arial" w:eastAsia="Arial" w:hAnsi="Arial"/>
                <w:sz w:val="18"/>
                <w:szCs w:val="18"/>
                <w:color w:val="auto"/>
              </w:rPr>
              <w:t>“Restricted Stock Units” shall mean the right to receive Shares awarded under Article 9.</w:t>
            </w:r>
          </w:p>
        </w:tc>
      </w:tr>
      <w:tr>
        <w:trPr>
          <w:trHeight w:val="20"/>
        </w:trPr>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412"/>
        </w:trPr>
        <w:tc>
          <w:tcPr>
            <w:tcW w:w="1520" w:type="dxa"/>
            <w:vAlign w:val="bottom"/>
          </w:tcPr>
          <w:p>
            <w:pPr>
              <w:jc w:val="right"/>
              <w:ind w:right="230"/>
              <w:spacing w:after="0"/>
              <w:rPr>
                <w:sz w:val="20"/>
                <w:szCs w:val="20"/>
                <w:color w:val="auto"/>
              </w:rPr>
            </w:pPr>
            <w:r>
              <w:rPr>
                <w:rFonts w:ascii="Arial" w:cs="Arial" w:eastAsia="Arial" w:hAnsi="Arial"/>
                <w:sz w:val="18"/>
                <w:szCs w:val="18"/>
                <w:color w:val="auto"/>
              </w:rPr>
              <w:t>2.52</w:t>
            </w:r>
          </w:p>
        </w:tc>
        <w:tc>
          <w:tcPr>
            <w:tcW w:w="9900" w:type="dxa"/>
            <w:vAlign w:val="bottom"/>
            <w:gridSpan w:val="5"/>
          </w:tcPr>
          <w:p>
            <w:pPr>
              <w:ind w:left="320"/>
              <w:spacing w:after="0"/>
              <w:rPr>
                <w:sz w:val="20"/>
                <w:szCs w:val="20"/>
                <w:color w:val="auto"/>
              </w:rPr>
            </w:pPr>
            <w:r>
              <w:rPr>
                <w:rFonts w:ascii="Arial" w:cs="Arial" w:eastAsia="Arial" w:hAnsi="Arial"/>
                <w:sz w:val="18"/>
                <w:szCs w:val="18"/>
                <w:color w:val="auto"/>
                <w:w w:val="93"/>
              </w:rPr>
              <w:t>“Section 409A” shall mean Section 409A of the Code and the Department of Treasury regulations and other interpretive guidance</w:t>
            </w:r>
          </w:p>
        </w:tc>
      </w:tr>
      <w:tr>
        <w:trPr>
          <w:trHeight w:val="20"/>
        </w:trPr>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issued thereunder, including, without limitation, any such regulations or other guidance that may be issued after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tbl>
      <w:tblPr>
        <w:tblLayout w:type="fixed"/>
        <w:tblInd w:w="880" w:type="dxa"/>
        <w:tblCellMar>
          <w:top w:w="0" w:type="dxa"/>
          <w:left w:w="0" w:type="dxa"/>
          <w:bottom w:w="0" w:type="dxa"/>
          <w:right w:w="0" w:type="dxa"/>
        </w:tblCellMar>
      </w:tblPr>
      <w:tr>
        <w:trPr>
          <w:trHeight w:val="207"/>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2.53</w:t>
            </w:r>
          </w:p>
        </w:tc>
        <w:tc>
          <w:tcPr>
            <w:tcW w:w="9900" w:type="dxa"/>
            <w:vAlign w:val="bottom"/>
            <w:gridSpan w:val="5"/>
          </w:tcPr>
          <w:p>
            <w:pPr>
              <w:ind w:left="320"/>
              <w:spacing w:after="0"/>
              <w:rPr>
                <w:sz w:val="20"/>
                <w:szCs w:val="20"/>
                <w:color w:val="auto"/>
              </w:rPr>
            </w:pPr>
            <w:r>
              <w:rPr>
                <w:rFonts w:ascii="Arial" w:cs="Arial" w:eastAsia="Arial" w:hAnsi="Arial"/>
                <w:sz w:val="18"/>
                <w:szCs w:val="18"/>
                <w:color w:val="auto"/>
              </w:rPr>
              <w:t>“Securities Act” shall mean the Securities Act of 1933, as amended.</w:t>
            </w: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r>
        <w:trPr>
          <w:trHeight w:val="41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2.54</w:t>
            </w:r>
          </w:p>
        </w:tc>
        <w:tc>
          <w:tcPr>
            <w:tcW w:w="9900" w:type="dxa"/>
            <w:vAlign w:val="bottom"/>
            <w:gridSpan w:val="5"/>
          </w:tcPr>
          <w:p>
            <w:pPr>
              <w:ind w:left="320"/>
              <w:spacing w:after="0"/>
              <w:rPr>
                <w:sz w:val="20"/>
                <w:szCs w:val="20"/>
                <w:color w:val="auto"/>
              </w:rPr>
            </w:pPr>
            <w:r>
              <w:rPr>
                <w:rFonts w:ascii="Arial" w:cs="Arial" w:eastAsia="Arial" w:hAnsi="Arial"/>
                <w:sz w:val="18"/>
                <w:szCs w:val="18"/>
                <w:color w:val="auto"/>
              </w:rPr>
              <w:t>“Shares” shall mean shares of Common Stock.</w:t>
            </w: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r>
        <w:trPr>
          <w:trHeight w:val="41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2.55</w:t>
            </w:r>
          </w:p>
        </w:tc>
        <w:tc>
          <w:tcPr>
            <w:tcW w:w="9900" w:type="dxa"/>
            <w:vAlign w:val="bottom"/>
            <w:gridSpan w:val="5"/>
          </w:tcPr>
          <w:p>
            <w:pPr>
              <w:ind w:left="320"/>
              <w:spacing w:after="0"/>
              <w:rPr>
                <w:sz w:val="20"/>
                <w:szCs w:val="20"/>
                <w:color w:val="auto"/>
              </w:rPr>
            </w:pPr>
            <w:r>
              <w:rPr>
                <w:rFonts w:ascii="Arial" w:cs="Arial" w:eastAsia="Arial" w:hAnsi="Arial"/>
                <w:sz w:val="18"/>
                <w:szCs w:val="18"/>
                <w:color w:val="auto"/>
                <w:w w:val="93"/>
              </w:rPr>
              <w:t>“Stock Appreciation Right” shall mean an Award entitling the Holder (or other Person entitled to exercise pursuant to the Plan) to</w:t>
            </w: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exercise all or a specified portion thereof (to the extent then exercisable pursuant to its terms) and to receive from the Company an amount determined by multiplying the difference obtained by subtracting the exercise price per share of such Award from the Fair Market Value on the date of exercise of such Award by the number of Shares with respect to which such Award shall have been exercised, subject to any limitations the Administrator may impose.</w:t>
      </w:r>
    </w:p>
    <w:p>
      <w:pPr>
        <w:spacing w:after="0" w:line="147"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color w:val="auto"/>
        </w:rPr>
        <w:t>2.56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SAR Term</w:t>
      </w:r>
      <w:r>
        <w:rPr>
          <w:rFonts w:ascii="Arial" w:cs="Arial" w:eastAsia="Arial" w:hAnsi="Arial"/>
          <w:sz w:val="16"/>
          <w:szCs w:val="16"/>
          <w:color w:val="auto"/>
        </w:rPr>
        <w:t>” shall have the meaning set forth in Section 6.4.</w:t>
      </w:r>
    </w:p>
    <w:p>
      <w:pPr>
        <w:spacing w:after="0" w:line="225"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2.57 “</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187"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2.58 “</w:t>
      </w: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term “Substitute Award” be construed to refer to an award made in connection with the cancellation and repricing of an Option or Stock Appreciation Right.</w:t>
      </w:r>
    </w:p>
    <w:p>
      <w:pPr>
        <w:spacing w:after="0" w:line="187"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color w:val="auto"/>
        </w:rPr>
        <w:t>2.59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Termination of Service</w:t>
      </w:r>
      <w:r>
        <w:rPr>
          <w:rFonts w:ascii="Arial" w:cs="Arial" w:eastAsia="Arial" w:hAnsi="Arial"/>
          <w:sz w:val="16"/>
          <w:szCs w:val="16"/>
          <w:color w:val="auto"/>
        </w:rPr>
        <w:t>” shall mean:</w:t>
      </w:r>
    </w:p>
    <w:p>
      <w:pPr>
        <w:spacing w:after="0" w:line="225" w:lineRule="exact"/>
        <w:rPr>
          <w:sz w:val="20"/>
          <w:szCs w:val="20"/>
          <w:color w:val="auto"/>
        </w:rPr>
      </w:pPr>
    </w:p>
    <w:p>
      <w:pPr>
        <w:jc w:val="both"/>
        <w:ind w:firstLine="1763"/>
        <w:spacing w:after="0" w:line="286" w:lineRule="auto"/>
        <w:tabs>
          <w:tab w:leader="none" w:pos="2603" w:val="left"/>
        </w:tabs>
        <w:numPr>
          <w:ilvl w:val="0"/>
          <w:numId w:val="37"/>
        </w:numPr>
        <w:rPr>
          <w:rFonts w:ascii="Arial" w:cs="Arial" w:eastAsia="Arial" w:hAnsi="Arial"/>
          <w:sz w:val="17"/>
          <w:szCs w:val="17"/>
          <w:color w:val="auto"/>
        </w:rPr>
      </w:pPr>
      <w:r>
        <w:rPr>
          <w:rFonts w:ascii="Arial" w:cs="Arial" w:eastAsia="Arial" w:hAnsi="Arial"/>
          <w:sz w:val="17"/>
          <w:szCs w:val="17"/>
          <w:color w:val="auto"/>
        </w:rPr>
        <w:t>As to a Consultant, the time when the engagement of a Holder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spacing w:after="0" w:line="165" w:lineRule="exact"/>
        <w:rPr>
          <w:rFonts w:ascii="Arial" w:cs="Arial" w:eastAsia="Arial" w:hAnsi="Arial"/>
          <w:sz w:val="17"/>
          <w:szCs w:val="17"/>
          <w:color w:val="auto"/>
        </w:rPr>
      </w:pPr>
    </w:p>
    <w:p>
      <w:pPr>
        <w:jc w:val="both"/>
        <w:ind w:firstLine="1763"/>
        <w:spacing w:after="0" w:line="264" w:lineRule="auto"/>
        <w:tabs>
          <w:tab w:leader="none" w:pos="261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Subsidiary.</w:t>
      </w:r>
    </w:p>
    <w:p>
      <w:pPr>
        <w:spacing w:after="0" w:line="181" w:lineRule="exact"/>
        <w:rPr>
          <w:rFonts w:ascii="Arial" w:cs="Arial" w:eastAsia="Arial" w:hAnsi="Arial"/>
          <w:sz w:val="18"/>
          <w:szCs w:val="18"/>
          <w:color w:val="auto"/>
        </w:rPr>
      </w:pPr>
    </w:p>
    <w:p>
      <w:pPr>
        <w:jc w:val="both"/>
        <w:ind w:right="20" w:firstLine="1763"/>
        <w:spacing w:after="0" w:line="286" w:lineRule="auto"/>
        <w:tabs>
          <w:tab w:leader="none" w:pos="2603" w:val="left"/>
        </w:tabs>
        <w:numPr>
          <w:ilvl w:val="0"/>
          <w:numId w:val="37"/>
        </w:numPr>
        <w:rPr>
          <w:rFonts w:ascii="Arial" w:cs="Arial" w:eastAsia="Arial" w:hAnsi="Arial"/>
          <w:sz w:val="17"/>
          <w:szCs w:val="17"/>
          <w:color w:val="auto"/>
        </w:rPr>
      </w:pPr>
      <w:r>
        <w:rPr>
          <w:rFonts w:ascii="Arial" w:cs="Arial" w:eastAsia="Arial" w:hAnsi="Arial"/>
          <w:sz w:val="17"/>
          <w:szCs w:val="17"/>
          <w:color w:val="auto"/>
        </w:rPr>
        <w:t>As to an Employee, the time when the employee-employer relationship between a Holder and the Company or any Subsidiary is terminated for any reason, including, without limitation, a termination by resignation, discharge, death, disability or retirement; but excluding terminations where the Holder simultaneously commences or remains in employment or service with the Company or any Subsidiary.</w:t>
      </w:r>
    </w:p>
    <w:p>
      <w:pPr>
        <w:spacing w:after="0" w:line="166"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6"/>
          <w:szCs w:val="16"/>
          <w:color w:val="auto"/>
        </w:rPr>
        <w:t xml:space="preserve">The Administrator,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Incentive Stock Options, unless the Administrator otherwise provides in the terms of any Program, Award Agreement or otherwise, or as otherwise required by Applicable Law,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then-applicable regulations and revenue rulings under said Section. For purposes of the Plan, a Holder’s employee-employer relationship or consultancy relations shall be deemed to be terminated in the event that the Subsidiary employing or contracting with such Holder ceases to remain a Subsidiary following any merger, sale of stock or other corporate transaction or event (including, without limitation, a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265430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b w:val="1"/>
          <w:bCs w:val="1"/>
          <w:color w:val="auto"/>
        </w:rPr>
        <w:t>ARTICLE 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THE PLAN</w:t>
      </w:r>
    </w:p>
    <w:p>
      <w:pPr>
        <w:spacing w:after="0" w:line="229" w:lineRule="exact"/>
        <w:rPr>
          <w:sz w:val="20"/>
          <w:szCs w:val="20"/>
          <w:color w:val="auto"/>
        </w:rPr>
      </w:pPr>
    </w:p>
    <w:p>
      <w:pPr>
        <w:ind w:left="1080"/>
        <w:spacing w:after="0"/>
        <w:tabs>
          <w:tab w:leader="none" w:pos="1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Number of Shares</w:t>
      </w:r>
      <w:r>
        <w:rPr>
          <w:rFonts w:ascii="Arial" w:cs="Arial" w:eastAsia="Arial" w:hAnsi="Arial"/>
          <w:sz w:val="16"/>
          <w:szCs w:val="16"/>
          <w:color w:val="auto"/>
        </w:rPr>
        <w:t>.</w:t>
      </w:r>
    </w:p>
    <w:p>
      <w:pPr>
        <w:spacing w:after="0" w:line="225" w:lineRule="exact"/>
        <w:rPr>
          <w:sz w:val="20"/>
          <w:szCs w:val="20"/>
          <w:color w:val="auto"/>
        </w:rPr>
      </w:pPr>
    </w:p>
    <w:p>
      <w:pPr>
        <w:jc w:val="both"/>
        <w:ind w:firstLine="1763"/>
        <w:spacing w:after="0" w:line="286" w:lineRule="auto"/>
        <w:tabs>
          <w:tab w:leader="none" w:pos="2603"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Subject to Sections 3.1(b) and 13.2, the aggregate number of Shares which may be issued or transferred pursuant to Awards (including, without limitation, Incentive Stock Options) under the Plan is 6,000,000. Any Shares distributed pursuant to an Award may consist, in whole or in part, of authorized and unissued Common Stock, treasury Common Stock or Common Stock purchased on the open market.</w:t>
      </w:r>
    </w:p>
    <w:p>
      <w:pPr>
        <w:spacing w:after="0" w:line="165" w:lineRule="exact"/>
        <w:rPr>
          <w:rFonts w:ascii="Arial" w:cs="Arial" w:eastAsia="Arial" w:hAnsi="Arial"/>
          <w:sz w:val="17"/>
          <w:szCs w:val="17"/>
          <w:color w:val="auto"/>
        </w:rPr>
      </w:pPr>
    </w:p>
    <w:p>
      <w:pPr>
        <w:jc w:val="both"/>
        <w:ind w:firstLine="1763"/>
        <w:spacing w:after="0" w:line="268" w:lineRule="auto"/>
        <w:tabs>
          <w:tab w:leader="none" w:pos="2613"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any Shares subject to an Award are forfeited or expire, are converted to shares of another Person in connection with a recapitalization, reorganization, merger, consolidation, split-up, spin-off, combination, exchange of shares or other similar event, or such Award is settled for cash (in whole or in part) (including Shares repurchased by the Company under Section 8.4 at the same price paid by the Holder),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that are not issued in connection with the stock settlement of the Stock Appreciation Right on exercise thereof; and (iv) Shares purchased on the open market with the cash proceeds from the exercise of Options. Any Shares repurchased by the Company under Section 8.4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187" w:lineRule="exact"/>
        <w:rPr>
          <w:rFonts w:ascii="Arial" w:cs="Arial" w:eastAsia="Arial" w:hAnsi="Arial"/>
          <w:sz w:val="17"/>
          <w:szCs w:val="17"/>
          <w:color w:val="auto"/>
        </w:rPr>
      </w:pPr>
    </w:p>
    <w:p>
      <w:pPr>
        <w:jc w:val="both"/>
        <w:ind w:firstLine="1763"/>
        <w:spacing w:after="0" w:line="270" w:lineRule="auto"/>
        <w:tabs>
          <w:tab w:leader="none" w:pos="2603"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Substitute Awards shall not reduce the Shares authorized for grant under the Plan, except as may be required by reason of Section 422 of the Code. Additionally, in the event that a company acquired by the Company or any Subsidiary or with which the Company or any Subsidiary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182"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Limitation on Number of Shares Subject to Awards</w:t>
      </w:r>
      <w:r>
        <w:rPr>
          <w:rFonts w:ascii="Arial" w:cs="Arial" w:eastAsia="Arial" w:hAnsi="Arial"/>
          <w:sz w:val="17"/>
          <w:szCs w:val="17"/>
          <w:color w:val="auto"/>
        </w:rPr>
        <w:t xml:space="preserve">. Notwithstanding any provision in the Plan to the contrary, and subject to Section 13.2, the maximum aggregate number of Shares with respect to one or more Awards that may be granted to any one Person during any calendar year shall be 1,500,000 and the maximum aggregate amount of cash that may be paid in cash to any one Person during any calendar year with respect to one or more Awards payable in cash shall be $5,000,000;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limitations shall not apply prior to the Public Trading Date and, following the Public Trading Date, the foregoing limitations shall not apply until the earliest of: (a) the first material modification of the Plan (including any increase in the number of Shares reserved for issuance under the Plan in accordance with Section 3.1); (b) the issuance of all of the Shares reserved for issuance under the Plan; (c) the expiration of the Plan; (d) the first meeting of stockholders at which members of the Board are to be elected that occurs after the close of the third calendar year following the calendar year in which occurred the first registration of an equity security of the Company under Section 12 of the Exchange Act; or (e) such other date, if any, on which the “reliance period” described under U.S. Treasury Regulation 1.162-27(f)(2) expires pursuant to Section 162(m) of the Code and the rules and regulations promulgated thereunder.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required by Section 162(m) of the Code, Shares subject to Awards which are canceled shall continue to be counted against the Award Limit.</w:t>
      </w:r>
    </w:p>
    <w:p>
      <w:pPr>
        <w:spacing w:after="0" w:line="225"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Award Vesting Limitations</w:t>
      </w:r>
      <w:r>
        <w:rPr>
          <w:rFonts w:ascii="Arial" w:cs="Arial" w:eastAsia="Arial" w:hAnsi="Arial"/>
          <w:sz w:val="18"/>
          <w:szCs w:val="18"/>
          <w:color w:val="auto"/>
        </w:rPr>
        <w:t xml:space="preserve">. Notwithstanding any other provision of the Plan to the contrary, but subject to Section 13.2 of the Plan, Awards granted under the Plan shall vest no earlier than the first anniversary of the date the Award is granted;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Awards that result in the issuance of an aggregate of up to 5% of the shares of Common Stock available pursuant to Section 3.1(a) may be granted to any one or more Eligible Individuals without respect to such minimum vesting provisions. Nothing in this Section 3.4 shall preclude the Administrator from taking action, in its sole discretion, to accelerate the vesting of any Award in connection with or following a Holder’s death, disability, Termination of Service or the consummation of a Change in Control.</w:t>
      </w:r>
    </w:p>
    <w:p>
      <w:pPr>
        <w:spacing w:after="0" w:line="180"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560" w:type="dxa"/>
            <w:vAlign w:val="bottom"/>
          </w:tcPr>
          <w:p>
            <w:pPr>
              <w:spacing w:after="0"/>
              <w:rPr>
                <w:sz w:val="24"/>
                <w:szCs w:val="24"/>
                <w:color w:val="auto"/>
              </w:rPr>
            </w:pPr>
          </w:p>
        </w:tc>
        <w:tc>
          <w:tcPr>
            <w:tcW w:w="9960" w:type="dxa"/>
            <w:vAlign w:val="bottom"/>
          </w:tcPr>
          <w:p>
            <w:pPr>
              <w:jc w:val="center"/>
              <w:ind w:right="1304"/>
              <w:spacing w:after="0"/>
              <w:rPr>
                <w:sz w:val="20"/>
                <w:szCs w:val="20"/>
                <w:color w:val="auto"/>
              </w:rPr>
            </w:pPr>
            <w:r>
              <w:rPr>
                <w:rFonts w:ascii="Arial" w:cs="Arial" w:eastAsia="Arial" w:hAnsi="Arial"/>
                <w:sz w:val="22"/>
                <w:szCs w:val="22"/>
                <w:b w:val="1"/>
                <w:bCs w:val="1"/>
                <w:color w:val="auto"/>
              </w:rPr>
              <w:t>ARTICLE 4.</w:t>
            </w:r>
          </w:p>
        </w:tc>
      </w:tr>
      <w:tr>
        <w:trPr>
          <w:trHeight w:val="449"/>
        </w:trPr>
        <w:tc>
          <w:tcPr>
            <w:tcW w:w="560" w:type="dxa"/>
            <w:vAlign w:val="bottom"/>
          </w:tcPr>
          <w:p>
            <w:pPr>
              <w:spacing w:after="0"/>
              <w:rPr>
                <w:sz w:val="24"/>
                <w:szCs w:val="24"/>
                <w:color w:val="auto"/>
              </w:rPr>
            </w:pPr>
          </w:p>
        </w:tc>
        <w:tc>
          <w:tcPr>
            <w:tcW w:w="9960" w:type="dxa"/>
            <w:vAlign w:val="bottom"/>
          </w:tcPr>
          <w:p>
            <w:pPr>
              <w:jc w:val="center"/>
              <w:ind w:right="1324"/>
              <w:spacing w:after="0"/>
              <w:rPr>
                <w:sz w:val="20"/>
                <w:szCs w:val="20"/>
                <w:color w:val="auto"/>
              </w:rPr>
            </w:pPr>
            <w:r>
              <w:rPr>
                <w:rFonts w:ascii="Arial" w:cs="Arial" w:eastAsia="Arial" w:hAnsi="Arial"/>
                <w:sz w:val="18"/>
                <w:szCs w:val="18"/>
                <w:b w:val="1"/>
                <w:bCs w:val="1"/>
                <w:color w:val="auto"/>
                <w:w w:val="99"/>
              </w:rPr>
              <w:t>GRANTING OF AWARDS</w:t>
            </w:r>
          </w:p>
        </w:tc>
      </w:tr>
      <w:tr>
        <w:trPr>
          <w:trHeight w:val="432"/>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4.1</w:t>
            </w:r>
          </w:p>
        </w:tc>
        <w:tc>
          <w:tcPr>
            <w:tcW w:w="9960" w:type="dxa"/>
            <w:vAlign w:val="bottom"/>
          </w:tcPr>
          <w:p>
            <w:pPr>
              <w:ind w:left="320"/>
              <w:spacing w:after="0"/>
              <w:rPr>
                <w:sz w:val="20"/>
                <w:szCs w:val="20"/>
                <w:color w:val="auto"/>
              </w:rPr>
            </w:pPr>
            <w:r>
              <w:rPr>
                <w:rFonts w:ascii="Arial" w:cs="Arial" w:eastAsia="Arial" w:hAnsi="Arial"/>
                <w:sz w:val="18"/>
                <w:szCs w:val="18"/>
                <w:u w:val="single" w:color="auto"/>
                <w:color w:val="auto"/>
                <w:w w:val="92"/>
              </w:rPr>
              <w:t>Participation</w:t>
            </w:r>
            <w:r>
              <w:rPr>
                <w:rFonts w:ascii="Arial" w:cs="Arial" w:eastAsia="Arial" w:hAnsi="Arial"/>
                <w:sz w:val="18"/>
                <w:szCs w:val="18"/>
                <w:color w:val="auto"/>
                <w:w w:val="92"/>
              </w:rPr>
              <w:t>. The Administrator may, from time to time, select from among all Eligible Individuals, those to whom an Award shall be</w:t>
            </w:r>
          </w:p>
        </w:tc>
      </w:tr>
    </w:tbl>
    <w:p>
      <w:pPr>
        <w:jc w:val="both"/>
        <w:spacing w:after="0" w:line="271" w:lineRule="auto"/>
        <w:rPr>
          <w:sz w:val="20"/>
          <w:szCs w:val="20"/>
          <w:color w:val="auto"/>
        </w:rPr>
      </w:pPr>
      <w:r>
        <w:rPr>
          <w:rFonts w:ascii="Arial" w:cs="Arial" w:eastAsia="Arial" w:hAnsi="Arial"/>
          <w:sz w:val="17"/>
          <w:szCs w:val="17"/>
          <w:color w:val="auto"/>
        </w:rPr>
        <w:t>granted and shall determine the nature and amount of each Award, which shall not be inconsistent with the requirements of the Plan. Except for any Non-Employee Director’s right to Awards that may be required pursuant to the Non-Employee Director Equity Compensation Policy as described in Section 4.6,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w:t>
      </w:r>
    </w:p>
    <w:p>
      <w:pPr>
        <w:spacing w:after="0" w:line="179"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shall be evidenced by an Award Agreement that sets forth the terms, conditions and limitations for such Award as determined by the Administrator in its sole discretion (consistent with the requirements of the Plan and any applicable Program). Award Agreements evidencing Awards intended to qualify as Performance-Based Compensation shall contain such terms and conditions as may be necessary to meet the applicable provisions of Section 162(m) of the Code. Award Agreements evidencing Incentive Stock Options shall contain such terms and conditions as may be necessary to meet the applicable provisions of Section 422 of the Code.</w:t>
      </w:r>
    </w:p>
    <w:p>
      <w:pPr>
        <w:spacing w:after="0" w:line="188" w:lineRule="exact"/>
        <w:rPr>
          <w:sz w:val="20"/>
          <w:szCs w:val="20"/>
          <w:color w:val="auto"/>
        </w:rPr>
      </w:pPr>
    </w:p>
    <w:p>
      <w:pPr>
        <w:jc w:val="both"/>
        <w:ind w:firstLine="877"/>
        <w:spacing w:after="0" w:line="219" w:lineRule="exact"/>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w:t>
      </w:r>
      <w:r>
        <w:rPr>
          <w:rFonts w:ascii="MS PGothic" w:cs="MS PGothic" w:eastAsia="MS PGothic" w:hAnsi="MS PGothic"/>
          <w:sz w:val="18"/>
          <w:szCs w:val="18"/>
          <w:color w:val="auto"/>
        </w:rPr>
        <w:t>‑</w:t>
      </w:r>
      <w:r>
        <w:rPr>
          <w:rFonts w:ascii="Arial" w:cs="Arial" w:eastAsia="Arial" w:hAnsi="Arial"/>
          <w:sz w:val="18"/>
          <w:szCs w:val="18"/>
          <w:color w:val="auto"/>
        </w:rPr>
        <w:t>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206"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At-Will Service</w:t>
      </w:r>
      <w:r>
        <w:rPr>
          <w:rFonts w:ascii="Arial" w:cs="Arial" w:eastAsia="Arial" w:hAnsi="Arial"/>
          <w:sz w:val="17"/>
          <w:szCs w:val="17"/>
          <w:color w:val="auto"/>
        </w:rPr>
        <w:t>. Nothing in the Plan or in any Program or Award Agreement hereunder shall confer upon any Holder any right to continue in the employ of, or as a Director or Consultant for, the Company or any Subsidiary, or shall interfere with or restrict in any way the rights of the Company and any Subsidiary,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Subsidiary.</w:t>
      </w:r>
    </w:p>
    <w:p>
      <w:pPr>
        <w:spacing w:after="0" w:line="173"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Foreign Holders</w:t>
      </w:r>
      <w:r>
        <w:rPr>
          <w:rFonts w:ascii="Arial" w:cs="Arial" w:eastAsia="Arial" w:hAnsi="Arial"/>
          <w:sz w:val="18"/>
          <w:szCs w:val="18"/>
          <w:color w:val="auto"/>
        </w:rPr>
        <w:t>. Notwithstanding any provision of the Plan or applicable Program to the contrary, in order to comply with the laws in countries other than the United States in which the Company and its Subsidiaries operate or have Employees, Non-Employee Directors or Consultants, or in order to comply with the requirements of any foreign securities exchange or other Applicable Law, the Administrator, in its sole discretion, shall have the power and authority to: (a) determine which Subsidiaries shall be covered by the Plan; (b) determine which Eligible Individuals outside the United States are eligible to participate in the Plan; (c) modify the terms and conditions of any Award granted to Eligible Individuals outside the United States to comply with Applicable Law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jc w:val="both"/>
        <w:spacing w:after="0" w:line="257" w:lineRule="auto"/>
        <w:rPr>
          <w:sz w:val="20"/>
          <w:szCs w:val="20"/>
          <w:color w:val="auto"/>
        </w:rPr>
      </w:pPr>
      <w:r>
        <w:rPr>
          <w:rFonts w:ascii="Arial" w:cs="Arial" w:eastAsia="Arial" w:hAnsi="Arial"/>
          <w:sz w:val="18"/>
          <w:szCs w:val="18"/>
          <w:color w:val="auto"/>
        </w:rPr>
        <w:t xml:space="preserve">without limitation, applicable foreign laws or listing requirements of any foreign securities exchange); (d) establish subplans and modify exercise procedures and other terms and procedures, to the extent such actions may be necessary or advisable;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subplans and/or modifications shall increase the share limitation contained in Section 3.1, the Award Limit or the Director Limit; and (e) take any action, before or after an Award is made, that it deems advisable to obtain approval or comply with any necessary local governmental regulatory exemptions or approvals or listing requirements of any foreign securities exchange.</w:t>
      </w:r>
    </w:p>
    <w:p>
      <w:pPr>
        <w:spacing w:after="0" w:line="188"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Non-Employee Director Awards</w:t>
      </w:r>
      <w:r>
        <w:rPr>
          <w:rFonts w:ascii="Arial" w:cs="Arial" w:eastAsia="Arial" w:hAnsi="Arial"/>
          <w:sz w:val="16"/>
          <w:szCs w:val="16"/>
          <w:color w:val="auto"/>
        </w:rPr>
        <w:t>.</w:t>
      </w:r>
    </w:p>
    <w:p>
      <w:pPr>
        <w:spacing w:after="0" w:line="225" w:lineRule="exact"/>
        <w:rPr>
          <w:sz w:val="20"/>
          <w:szCs w:val="20"/>
          <w:color w:val="auto"/>
        </w:rPr>
      </w:pPr>
    </w:p>
    <w:p>
      <w:pPr>
        <w:jc w:val="both"/>
        <w:ind w:firstLine="1763"/>
        <w:spacing w:after="0" w:line="293" w:lineRule="auto"/>
        <w:tabs>
          <w:tab w:leader="none" w:pos="260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Non-Employee Director Equity Compensation Policy</w:t>
      </w:r>
      <w:r>
        <w:rPr>
          <w:rFonts w:ascii="Arial" w:cs="Arial" w:eastAsia="Arial" w:hAnsi="Arial"/>
          <w:sz w:val="16"/>
          <w:szCs w:val="16"/>
          <w:color w:val="auto"/>
        </w:rPr>
        <w:t>. The Administrator, in its sole discretion, may provide that Awards granted to Non-Employee Directors shall be granted pursuant to a written nondiscretionary formula established by the Administrator (the “</w:t>
      </w:r>
      <w:r>
        <w:rPr>
          <w:rFonts w:ascii="Arial" w:cs="Arial" w:eastAsia="Arial" w:hAnsi="Arial"/>
          <w:sz w:val="16"/>
          <w:szCs w:val="16"/>
          <w:u w:val="single" w:color="auto"/>
          <w:color w:val="auto"/>
        </w:rPr>
        <w:t>Non-Employee</w:t>
      </w:r>
      <w:r>
        <w:rPr>
          <w:rFonts w:ascii="Arial" w:cs="Arial" w:eastAsia="Arial" w:hAnsi="Arial"/>
          <w:sz w:val="16"/>
          <w:szCs w:val="16"/>
          <w:color w:val="auto"/>
        </w:rPr>
        <w:t xml:space="preserve"> </w:t>
      </w:r>
      <w:r>
        <w:rPr>
          <w:rFonts w:ascii="Arial" w:cs="Arial" w:eastAsia="Arial" w:hAnsi="Arial"/>
          <w:sz w:val="16"/>
          <w:szCs w:val="16"/>
          <w:u w:val="single" w:color="auto"/>
          <w:color w:val="auto"/>
        </w:rPr>
        <w:t>Director Equity Compensation Policy</w:t>
      </w:r>
      <w:r>
        <w:rPr>
          <w:rFonts w:ascii="Arial" w:cs="Arial" w:eastAsia="Arial" w:hAnsi="Arial"/>
          <w:sz w:val="16"/>
          <w:szCs w:val="16"/>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sole discretion. The Non-Employee Director Equity Compensation Policy may be modified by the Administrator from time to time in its sole discretion.</w:t>
      </w:r>
    </w:p>
    <w:p>
      <w:pPr>
        <w:spacing w:after="0" w:line="164" w:lineRule="exact"/>
        <w:rPr>
          <w:rFonts w:ascii="Arial" w:cs="Arial" w:eastAsia="Arial" w:hAnsi="Arial"/>
          <w:sz w:val="16"/>
          <w:szCs w:val="16"/>
          <w:color w:val="auto"/>
        </w:rPr>
      </w:pPr>
    </w:p>
    <w:p>
      <w:pPr>
        <w:jc w:val="both"/>
        <w:ind w:firstLine="1763"/>
        <w:spacing w:after="0" w:line="264" w:lineRule="auto"/>
        <w:tabs>
          <w:tab w:leader="none" w:pos="261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Director Limit</w:t>
      </w:r>
      <w:r>
        <w:rPr>
          <w:rFonts w:ascii="Arial" w:cs="Arial" w:eastAsia="Arial" w:hAnsi="Arial"/>
          <w:sz w:val="18"/>
          <w:szCs w:val="18"/>
          <w:color w:val="auto"/>
        </w:rPr>
        <w:t>. Notwithstanding any provision to the contrary in the Plan or in the Non-Employee Director Equity Compensation Policy, the sum of the grant date fair value of equity-based Awards and the amount of any cash compensation granted to a Non-Employee Director during any calendar year shall not exceed $400,000 (the “</w:t>
      </w:r>
      <w:r>
        <w:rPr>
          <w:rFonts w:ascii="Arial" w:cs="Arial" w:eastAsia="Arial" w:hAnsi="Arial"/>
          <w:sz w:val="18"/>
          <w:szCs w:val="18"/>
          <w:u w:val="single" w:color="auto"/>
          <w:color w:val="auto"/>
        </w:rPr>
        <w:t>Director Limit</w:t>
      </w:r>
      <w:r>
        <w:rPr>
          <w:rFonts w:ascii="Arial" w:cs="Arial" w:eastAsia="Arial" w:hAnsi="Arial"/>
          <w:sz w:val="18"/>
          <w:szCs w:val="18"/>
          <w:color w:val="auto"/>
        </w:rPr>
        <w: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5.</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PROVISIONS APPLICABLE TO AWARDS INTENDED TO QUALIFY AS PERFORMANCE-BASED COMPENSATION</w:t>
      </w:r>
    </w:p>
    <w:p>
      <w:pPr>
        <w:spacing w:after="0" w:line="229"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Purpose</w:t>
      </w:r>
      <w:r>
        <w:rPr>
          <w:rFonts w:ascii="Arial" w:cs="Arial" w:eastAsia="Arial" w:hAnsi="Arial"/>
          <w:sz w:val="16"/>
          <w:szCs w:val="16"/>
          <w:color w:val="auto"/>
        </w:rPr>
        <w:t xml:space="preserve">. The Administrator may, in its sole discretion, (a) determine whether an Award is intended to qualify as Performance-Based Compensation and (b) at any time after any such determination, alter such intent for any or no reason. If the Administrator, in its sole discretion, decides to grant an Award that is intended to qualify as Performance-Based Compensation (other than an Option or Stock Appreciation Right), then the provisions of this Article 5 shall control over any contrary provision contained in the Plan or any applicable Program;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after such decision the Administrator alters such intention for any reason, the provisions of this Article 5 shall no longer control over any other provision contained in the Plan or any applicable Program. The Administrator, in its sole discretion, may (i) grant Awards to Eligible Individuals that are based on Performance Criteria or Performance Goals or any such other criteria and goals as the Administrator shall establish, but that do not satisfy the requirements of this Article 5 and that are not intended to qualify as Performance-Based Compensation and (ii) subject any Awards intended to qualify as Performance-Based Compensation to additional conditions and restrictions unrelated to any Performance Criteria or Performance Goals (including, without limitation, continued employment or service requirements) to the extent such Awards otherwise satisfy the requirements of this Article 5 with respect to the Performance Criteria and Performance Goals applicable thereto. Unless otherwise specified by the Administrator at the time of grant, the Performance Criteria with respect to an Award intended to be Performance-Based Compensation payable to a Covered Employee shall be determined on the basis of Applicable Accounting Standards.</w:t>
      </w:r>
    </w:p>
    <w:p>
      <w:pPr>
        <w:spacing w:after="0" w:line="169"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Procedures with Respect to Performance-Based Awards</w:t>
      </w:r>
      <w:r>
        <w:rPr>
          <w:rFonts w:ascii="Arial" w:cs="Arial" w:eastAsia="Arial" w:hAnsi="Arial"/>
          <w:sz w:val="16"/>
          <w:szCs w:val="16"/>
          <w:color w:val="auto"/>
        </w:rPr>
        <w:t>. To the extent necessary to comply with the requirements of Section 162(m)</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(4)(C) of the Code, with respect to any Award which is intended to qualify as Performance-Based Compensation, no later than 90 days following the commencement of any Performance Period or any designated fiscal period or period of service (or such earlier time as may be required under Section 162(m) of the Code), the Administrator shall, in writing, (a) designate one or more Eligible Individuals, (b) select the Performance Criteria applicable to the Performance Period, (c) establish the Performance Goals, and amounts of such Awards, as applicable, which may be earned for such Performance Period based on the Performance Criteria, and (d) specify the relationship between Performance Criteria and the Performance Goals and the amounts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jc w:val="both"/>
        <w:spacing w:after="0" w:line="255" w:lineRule="auto"/>
        <w:rPr>
          <w:sz w:val="20"/>
          <w:szCs w:val="20"/>
          <w:color w:val="auto"/>
        </w:rPr>
      </w:pPr>
      <w:r>
        <w:rPr>
          <w:rFonts w:ascii="Arial" w:cs="Arial" w:eastAsia="Arial" w:hAnsi="Arial"/>
          <w:sz w:val="18"/>
          <w:szCs w:val="18"/>
          <w:color w:val="auto"/>
        </w:rPr>
        <w:t>Awards, as applicable, to be earned by each Covered Employee for such Performance Period. Following the completion of each Performance Period, the Administrator shall certify in writing whether and the extent to which the applicable Performance Goals have been achieved for such Performance Period. In determining the amount earned under such Awards, the Administrator (i) shall, unless otherwise provided in an Award Agreement, have the right to reduce or eliminate the amount payable at a given level of performance to take into account additional factors that the Administrator may deem relevant, including the assessment of individual or corporate performance for the Performance Period, but (ii) shall in no event have the right to increase the amount payable for any reason.</w:t>
      </w:r>
    </w:p>
    <w:p>
      <w:pPr>
        <w:spacing w:after="0" w:line="193"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Payment of Performance-Based Awards</w:t>
      </w:r>
      <w:r>
        <w:rPr>
          <w:rFonts w:ascii="Arial" w:cs="Arial" w:eastAsia="Arial" w:hAnsi="Arial"/>
          <w:sz w:val="18"/>
          <w:szCs w:val="18"/>
          <w:color w:val="auto"/>
        </w:rPr>
        <w:t>. Unless otherwise provided in the applicable Program or Award Agreement and only to the extent otherwise permitted by Section 162(m) of the Code, as to an Award that is intended to qualify as Performance-Based Compensation, the Holder must be employed by the Company or a Subsidiary throughout the Performance Period. Unless otherwise provided in the applicable Program or Award Agreement, a Holder shall be eligible to receive payment pursuant to such Awards for a Performance Period only if and to the extent the Performance Goals for such Performance Period are achieved.</w:t>
      </w:r>
    </w:p>
    <w:p>
      <w:pPr>
        <w:spacing w:after="0" w:line="188"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Additional Limitations</w:t>
      </w:r>
      <w:r>
        <w:rPr>
          <w:rFonts w:ascii="Arial" w:cs="Arial" w:eastAsia="Arial" w:hAnsi="Arial"/>
          <w:sz w:val="18"/>
          <w:szCs w:val="18"/>
          <w:color w:val="auto"/>
        </w:rPr>
        <w:t>. Notwithstanding any other provision of the Plan and except as otherwise determined by the Administrator, any Award which is granted to an Eligible 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and the applicable Program and Award Agreement shall be deemed amended to the extent necessary to conform to such requirements.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GRANTING OF OPTIONS AND STOCK APPRECIATION RIGHTS</w:t>
      </w:r>
    </w:p>
    <w:p>
      <w:pPr>
        <w:spacing w:after="0" w:line="229"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Granting of Options and Stock Appreciation Rights to Eligible Individuals</w:t>
      </w:r>
      <w:r>
        <w:rPr>
          <w:rFonts w:ascii="Arial" w:cs="Arial" w:eastAsia="Arial" w:hAnsi="Arial"/>
          <w:sz w:val="18"/>
          <w:szCs w:val="18"/>
          <w:color w:val="auto"/>
        </w:rPr>
        <w:t>. The Administrator is authorized to grant Options and Stock Appreciation Rights to Eligible Individuals from time to time, in its sole discretion, on such terms and conditions as it may determine, which shall not be inconsistent with the Plan.</w:t>
      </w:r>
    </w:p>
    <w:p>
      <w:pPr>
        <w:spacing w:after="0" w:line="181"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Qualification of Incentive Stock Options</w:t>
      </w:r>
      <w:r>
        <w:rPr>
          <w:rFonts w:ascii="Arial" w:cs="Arial" w:eastAsia="Arial" w:hAnsi="Arial"/>
          <w:sz w:val="16"/>
          <w:szCs w:val="16"/>
          <w:color w:val="auto"/>
        </w:rPr>
        <w:t>.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No Person who qualifies as a Greater Than 10% Stockholder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 Administrator shall have any liability to a Holder, or any other Person, (a) if an Option (or any part thereof) which is intended to qualify as an Incentive Stock Option fails to qualify as an Incentive Stock Option or (b) 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w:t>
      </w:r>
    </w:p>
    <w:p>
      <w:pPr>
        <w:spacing w:after="0" w:line="169" w:lineRule="exact"/>
        <w:rPr>
          <w:sz w:val="20"/>
          <w:szCs w:val="20"/>
          <w:color w:val="auto"/>
        </w:rPr>
      </w:pPr>
    </w:p>
    <w:p>
      <w:pPr>
        <w:jc w:val="both"/>
        <w:ind w:right="20" w:firstLine="877"/>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Option and Stock Appreciation Right Exercise Price</w:t>
      </w:r>
      <w:r>
        <w:rPr>
          <w:rFonts w:ascii="Arial" w:cs="Arial" w:eastAsia="Arial" w:hAnsi="Arial"/>
          <w:sz w:val="18"/>
          <w:szCs w:val="18"/>
          <w:color w:val="auto"/>
        </w:rPr>
        <w:t>. The exercise price per Share subject to each Option and Stock Appreciation Right shall be set by the Administrator, but shall not be less than 100% of the Fair Market Value of a Share on the date the Option or Stock Appreciation Right, as applicable, is granted (or, as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jc w:val="both"/>
        <w:spacing w:after="0" w:line="273" w:lineRule="auto"/>
        <w:rPr>
          <w:sz w:val="20"/>
          <w:szCs w:val="20"/>
          <w:color w:val="auto"/>
        </w:rPr>
      </w:pPr>
      <w:r>
        <w:rPr>
          <w:rFonts w:ascii="Arial" w:cs="Arial" w:eastAsia="Arial" w:hAnsi="Arial"/>
          <w:sz w:val="17"/>
          <w:szCs w:val="17"/>
          <w:color w:val="auto"/>
        </w:rPr>
        <w:t xml:space="preserve">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exercise price of any Substitute Award shall be determined in accordance with the applicable requirements of Section 424 and 409A of the Code.</w:t>
      </w:r>
    </w:p>
    <w:p>
      <w:pPr>
        <w:spacing w:after="0" w:line="178"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Option and SAR Term</w:t>
      </w:r>
      <w:r>
        <w:rPr>
          <w:rFonts w:ascii="Arial" w:cs="Arial" w:eastAsia="Arial" w:hAnsi="Arial"/>
          <w:sz w:val="16"/>
          <w:szCs w:val="16"/>
          <w:color w:val="auto"/>
        </w:rPr>
        <w:t>. The term of each Option (the “</w:t>
      </w:r>
      <w:r>
        <w:rPr>
          <w:rFonts w:ascii="Arial" w:cs="Arial" w:eastAsia="Arial" w:hAnsi="Arial"/>
          <w:sz w:val="16"/>
          <w:szCs w:val="16"/>
          <w:u w:val="single" w:color="auto"/>
          <w:color w:val="auto"/>
        </w:rPr>
        <w:t>Option Term</w:t>
      </w:r>
      <w:r>
        <w:rPr>
          <w:rFonts w:ascii="Arial" w:cs="Arial" w:eastAsia="Arial" w:hAnsi="Arial"/>
          <w:sz w:val="16"/>
          <w:szCs w:val="16"/>
          <w:color w:val="auto"/>
        </w:rPr>
        <w:t>”) and the term of each Stock Appreciation Right (the “</w:t>
      </w:r>
      <w:r>
        <w:rPr>
          <w:rFonts w:ascii="Arial" w:cs="Arial" w:eastAsia="Arial" w:hAnsi="Arial"/>
          <w:sz w:val="16"/>
          <w:szCs w:val="16"/>
          <w:u w:val="single" w:color="auto"/>
          <w:color w:val="auto"/>
        </w:rPr>
        <w:t>SAR</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shall be set by the Administrator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Option Term or SAR Term, as applicable, shall not be more than (a) ten (10) years from the date the Option or Stock Appreciation Right, as applicable, is granted to an Eligible Individual (other than, in the case of Incentive Stock Options, a Greater Than 10% Stockholder), or (b) five (5) years from the date an Incentive Stock Option is granted to a Greater Than 10% Stockholder. Except as limited by the requirements of Section 409A or Section 422 of the Code and regulations and rulings thereunder or the first sentence of this Section 6.4 and without limiting the Company’s rights under Section 11.7,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 11.7 and 13.1, any other term or condition of such Option or Stock Appreciation Right relating to such Termination of Service of the Holder or otherwise.</w:t>
      </w:r>
    </w:p>
    <w:p>
      <w:pPr>
        <w:spacing w:after="0" w:line="167"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Option and SAR Vesting</w:t>
      </w:r>
      <w:r>
        <w:rPr>
          <w:rFonts w:ascii="Arial" w:cs="Arial" w:eastAsia="Arial" w:hAnsi="Arial"/>
          <w:sz w:val="18"/>
          <w:szCs w:val="18"/>
          <w:color w:val="auto"/>
        </w:rPr>
        <w:t>. The period during which the right to exercise, in whole or in part, an Option or Stock Appreciation Right vests in the Holder shall be set by the Administrator and set forth in the applicable Award Agreement, subject to Section 3.3. Unless otherwise determined by the Administrator in the Award Agreement, the applicable Program or by action of the Administrator following the grant of the Option or Stock Appreciation Right, (a) no portion of an Option or Stock Appreciation Right which is unexercisable at a Holder’s Termination of Service shall thereafter become exercisable and (b) the portion of an Option or Stock Appreciation Right that is unexercisable at a Holder’s Termination of Service shall automatically expire on the date of such Termination of Service.</w:t>
      </w:r>
    </w:p>
    <w:p>
      <w:pPr>
        <w:spacing w:after="0" w:line="193"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Substitution of Stock Appreciation Rights; Early Exercise of Options</w:t>
      </w:r>
      <w:r>
        <w:rPr>
          <w:rFonts w:ascii="Arial" w:cs="Arial" w:eastAsia="Arial" w:hAnsi="Arial"/>
          <w:sz w:val="18"/>
          <w:szCs w:val="18"/>
          <w:color w:val="auto"/>
        </w:rPr>
        <w:t xml:space="preserve">. The Administrator may provide in the applicable Program or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Stock Appreciation Right shall be exercisable with respect to the same number of Shares for which such substituted Option would have been exercisable, and shall also have the same exercise price, vesting schedule and remaining term as the substituted Option. The Administrator may provide in the terms of an Award Agreement that the Holder may exercise an Option in whole or in part prior to the full vesting of the Option in exchange for unvested shares of Restricted Stock with respect to any unvested portion of the Option so exercised. Shares of Restricted Stock acquired upon the exercise of any unvested portion of an Option shall be subject to such terms and conditions as the Administrator shall determine.</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560" w:type="dxa"/>
            <w:vAlign w:val="bottom"/>
          </w:tcPr>
          <w:p>
            <w:pPr>
              <w:spacing w:after="0"/>
              <w:rPr>
                <w:sz w:val="24"/>
                <w:szCs w:val="24"/>
                <w:color w:val="auto"/>
              </w:rPr>
            </w:pPr>
          </w:p>
        </w:tc>
        <w:tc>
          <w:tcPr>
            <w:tcW w:w="9980" w:type="dxa"/>
            <w:vAlign w:val="bottom"/>
          </w:tcPr>
          <w:p>
            <w:pPr>
              <w:jc w:val="center"/>
              <w:ind w:right="1324"/>
              <w:spacing w:after="0"/>
              <w:rPr>
                <w:sz w:val="20"/>
                <w:szCs w:val="20"/>
                <w:color w:val="auto"/>
              </w:rPr>
            </w:pPr>
            <w:r>
              <w:rPr>
                <w:rFonts w:ascii="Arial" w:cs="Arial" w:eastAsia="Arial" w:hAnsi="Arial"/>
                <w:sz w:val="22"/>
                <w:szCs w:val="22"/>
                <w:b w:val="1"/>
                <w:bCs w:val="1"/>
                <w:color w:val="auto"/>
              </w:rPr>
              <w:t>ARTICLE 7.</w:t>
            </w:r>
          </w:p>
        </w:tc>
      </w:tr>
      <w:tr>
        <w:trPr>
          <w:trHeight w:val="449"/>
        </w:trPr>
        <w:tc>
          <w:tcPr>
            <w:tcW w:w="560" w:type="dxa"/>
            <w:vAlign w:val="bottom"/>
          </w:tcPr>
          <w:p>
            <w:pPr>
              <w:spacing w:after="0"/>
              <w:rPr>
                <w:sz w:val="24"/>
                <w:szCs w:val="24"/>
                <w:color w:val="auto"/>
              </w:rPr>
            </w:pPr>
          </w:p>
        </w:tc>
        <w:tc>
          <w:tcPr>
            <w:tcW w:w="9980" w:type="dxa"/>
            <w:vAlign w:val="bottom"/>
          </w:tcPr>
          <w:p>
            <w:pPr>
              <w:jc w:val="center"/>
              <w:ind w:right="1344"/>
              <w:spacing w:after="0"/>
              <w:rPr>
                <w:sz w:val="20"/>
                <w:szCs w:val="20"/>
                <w:color w:val="auto"/>
              </w:rPr>
            </w:pPr>
            <w:r>
              <w:rPr>
                <w:rFonts w:ascii="Arial" w:cs="Arial" w:eastAsia="Arial" w:hAnsi="Arial"/>
                <w:sz w:val="18"/>
                <w:szCs w:val="18"/>
                <w:b w:val="1"/>
                <w:bCs w:val="1"/>
                <w:color w:val="auto"/>
              </w:rPr>
              <w:t>EXERCISE OF OPTIONS AND STOCK APPRECIATION RIGHTS</w:t>
            </w:r>
          </w:p>
        </w:tc>
      </w:tr>
      <w:tr>
        <w:trPr>
          <w:trHeight w:val="432"/>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7.1</w:t>
            </w:r>
          </w:p>
        </w:tc>
        <w:tc>
          <w:tcPr>
            <w:tcW w:w="9980" w:type="dxa"/>
            <w:vAlign w:val="bottom"/>
          </w:tcPr>
          <w:p>
            <w:pPr>
              <w:ind w:left="320"/>
              <w:spacing w:after="0"/>
              <w:rPr>
                <w:sz w:val="20"/>
                <w:szCs w:val="20"/>
                <w:color w:val="auto"/>
              </w:rPr>
            </w:pPr>
            <w:r>
              <w:rPr>
                <w:rFonts w:ascii="Arial" w:cs="Arial" w:eastAsia="Arial" w:hAnsi="Arial"/>
                <w:sz w:val="18"/>
                <w:szCs w:val="18"/>
                <w:u w:val="single" w:color="auto"/>
                <w:color w:val="auto"/>
                <w:w w:val="91"/>
              </w:rPr>
              <w:t>Exercise and Payment</w:t>
            </w:r>
            <w:r>
              <w:rPr>
                <w:rFonts w:ascii="Arial" w:cs="Arial" w:eastAsia="Arial" w:hAnsi="Arial"/>
                <w:sz w:val="18"/>
                <w:szCs w:val="18"/>
                <w:color w:val="auto"/>
                <w:w w:val="91"/>
              </w:rPr>
              <w:t>. An exercisable Option or Stock Appreciation Right may be exercised in whole or in part. However, an Option</w:t>
            </w:r>
          </w:p>
        </w:tc>
      </w:tr>
    </w:tbl>
    <w:p>
      <w:pPr>
        <w:jc w:val="both"/>
        <w:spacing w:after="0" w:line="254" w:lineRule="auto"/>
        <w:rPr>
          <w:sz w:val="20"/>
          <w:szCs w:val="20"/>
          <w:color w:val="auto"/>
        </w:rPr>
      </w:pPr>
      <w:r>
        <w:rPr>
          <w:rFonts w:ascii="Arial" w:cs="Arial" w:eastAsia="Arial" w:hAnsi="Arial"/>
          <w:sz w:val="18"/>
          <w:szCs w:val="18"/>
          <w:color w:val="auto"/>
        </w:rPr>
        <w:t>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7 shall be in cash, Shares (based on its Fair Market Value as of the date the Stock Appreciation Right is exercised), or a combination of both, as determined by the Administrator.</w:t>
      </w:r>
    </w:p>
    <w:p>
      <w:pPr>
        <w:spacing w:after="0" w:line="190" w:lineRule="exact"/>
        <w:rPr>
          <w:sz w:val="20"/>
          <w:szCs w:val="20"/>
          <w:color w:val="auto"/>
        </w:rPr>
      </w:pPr>
    </w:p>
    <w:p>
      <w:pPr>
        <w:jc w:val="both"/>
        <w:ind w:right="20" w:firstLine="877"/>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Manner of Exercise</w:t>
      </w:r>
      <w:r>
        <w:rPr>
          <w:rFonts w:ascii="Arial" w:cs="Arial" w:eastAsia="Arial" w:hAnsi="Arial"/>
          <w:sz w:val="18"/>
          <w:szCs w:val="18"/>
          <w:color w:val="auto"/>
        </w:rPr>
        <w:t>. Except as set forth in Section 7.3, all or a portion of an exercisable Option or Stock Appreciation Right shall be deemed exercised upon delivery of all of the following to the Secretary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267335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color w:val="auto"/>
        </w:rPr>
        <w:t>Company, the stock plan administrator of the Company or such other Person designated by the Administrator, or his, her or its office, as applicable:</w:t>
      </w:r>
    </w:p>
    <w:p>
      <w:pPr>
        <w:spacing w:after="0" w:line="237" w:lineRule="exact"/>
        <w:rPr>
          <w:sz w:val="20"/>
          <w:szCs w:val="20"/>
          <w:color w:val="auto"/>
        </w:rPr>
      </w:pPr>
    </w:p>
    <w:p>
      <w:pPr>
        <w:jc w:val="both"/>
        <w:ind w:right="20" w:firstLine="1763"/>
        <w:spacing w:after="0" w:line="264" w:lineRule="auto"/>
        <w:tabs>
          <w:tab w:leader="none" w:pos="260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written or electronic notice complying with the applicable rules established by the Administrator stating that the Option or Stock Appreciation Right, or a portion thereof, is exercised. The notice shall be signed or otherwise acknowledged electronically by the Holder or other Person then entitled to exercise the Option or Stock Appreciation Right or such portion thereof;</w:t>
      </w:r>
    </w:p>
    <w:p>
      <w:pPr>
        <w:spacing w:after="0" w:line="181" w:lineRule="exact"/>
        <w:rPr>
          <w:rFonts w:ascii="Arial" w:cs="Arial" w:eastAsia="Arial" w:hAnsi="Arial"/>
          <w:sz w:val="18"/>
          <w:szCs w:val="18"/>
          <w:color w:val="auto"/>
        </w:rPr>
      </w:pPr>
    </w:p>
    <w:p>
      <w:pPr>
        <w:ind w:left="2620" w:hanging="857"/>
        <w:spacing w:after="0"/>
        <w:tabs>
          <w:tab w:leader="none" w:pos="2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Such representations and documents as the Administrator, in its sole discretion, deems necessary or advisable to effect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compliance with Applicable Law;</w:t>
      </w:r>
    </w:p>
    <w:p>
      <w:pPr>
        <w:spacing w:after="0" w:line="210" w:lineRule="exact"/>
        <w:rPr>
          <w:rFonts w:ascii="Arial" w:cs="Arial" w:eastAsia="Arial" w:hAnsi="Arial"/>
          <w:sz w:val="16"/>
          <w:szCs w:val="16"/>
          <w:color w:val="auto"/>
        </w:rPr>
      </w:pPr>
    </w:p>
    <w:p>
      <w:pPr>
        <w:jc w:val="both"/>
        <w:ind w:right="20" w:firstLine="1763"/>
        <w:spacing w:after="0" w:line="264" w:lineRule="auto"/>
        <w:tabs>
          <w:tab w:leader="none" w:pos="2603"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11.3 by any Person or Persons other than the Holder, appropriate proof of the right of such Person or Persons to exercise the Option or Stock Appreciation Right, as determined in the sole discretion of the Administrator; and</w:t>
      </w:r>
    </w:p>
    <w:p>
      <w:pPr>
        <w:spacing w:after="0" w:line="181" w:lineRule="exact"/>
        <w:rPr>
          <w:rFonts w:ascii="Arial" w:cs="Arial" w:eastAsia="Arial" w:hAnsi="Arial"/>
          <w:sz w:val="18"/>
          <w:szCs w:val="18"/>
          <w:color w:val="auto"/>
        </w:rPr>
      </w:pPr>
    </w:p>
    <w:p>
      <w:pPr>
        <w:ind w:firstLine="1763"/>
        <w:spacing w:after="0" w:line="308" w:lineRule="auto"/>
        <w:tabs>
          <w:tab w:leader="none" w:pos="2613" w:val="left"/>
        </w:tabs>
        <w:numPr>
          <w:ilvl w:val="0"/>
          <w:numId w:val="40"/>
        </w:numPr>
        <w:rPr>
          <w:rFonts w:ascii="Arial" w:cs="Arial" w:eastAsia="Arial" w:hAnsi="Arial"/>
          <w:sz w:val="17"/>
          <w:szCs w:val="17"/>
          <w:color w:val="auto"/>
        </w:rPr>
      </w:pPr>
      <w:r>
        <w:rPr>
          <w:rFonts w:ascii="Arial" w:cs="Arial" w:eastAsia="Arial" w:hAnsi="Arial"/>
          <w:sz w:val="17"/>
          <w:szCs w:val="17"/>
          <w:color w:val="auto"/>
        </w:rPr>
        <w:t>Full payment of the exercise price and applicable withholding taxes for the Shares with respect to which the Option or Stock Appreciation Right, or portion thereof, is exercised, in a manner permitted by the Administrator in accordance with Sections 11.1 and 11.2.</w:t>
      </w:r>
    </w:p>
    <w:p>
      <w:pPr>
        <w:spacing w:after="0" w:line="147" w:lineRule="exact"/>
        <w:rPr>
          <w:sz w:val="20"/>
          <w:szCs w:val="20"/>
          <w:color w:val="auto"/>
        </w:rPr>
      </w:pPr>
    </w:p>
    <w:p>
      <w:pPr>
        <w:jc w:val="both"/>
        <w:ind w:firstLine="877"/>
        <w:spacing w:after="0" w:line="288"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Expiration of Option Term or SAR Term: Automatic Exercise of In-The-Money Options and Stock Appreciation Rights</w:t>
      </w:r>
      <w:r>
        <w:rPr>
          <w:rFonts w:ascii="Arial" w:cs="Arial" w:eastAsia="Arial" w:hAnsi="Arial"/>
          <w:sz w:val="16"/>
          <w:szCs w:val="16"/>
          <w:color w:val="auto"/>
        </w:rPr>
        <w:t>. Unless otherwise provided by the Administrator in an Award Agreement or otherwise or as otherwise directed by an Option or Stock Appreciation Rights Holder in writing to the Company, each vested and exercisable Option and Stock Appreciation Right outstanding on the Automatic Exercise Date with an exercise price per Share that is less than the Fair Market Value per Share as of such date shall automatically and without further action by the Option or Stock Appreciation Rights Holder or the Company be exercised on the Automatic Exercise Date. In the sole discretion of the Administrator, payment of the exercise price of any such Option shall be made pursuant to Section 11.1(b) or 11.1(c) and the Company or any Subsidiary shall be entitled to deduct or withhold an amount sufficient to satisfy all taxes associated with such exercise in accordance with Section 11.2. Unless otherwise determined by the Administrator, this Section 7.3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per Share on the Automatic Exercise Date shall be exercised pursuant to this Section 7.3.</w:t>
      </w:r>
    </w:p>
    <w:p>
      <w:pPr>
        <w:spacing w:after="0" w:line="169"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Notification Regarding Disposition</w:t>
      </w:r>
      <w:r>
        <w:rPr>
          <w:rFonts w:ascii="Arial" w:cs="Arial" w:eastAsia="Arial" w:hAnsi="Arial"/>
          <w:sz w:val="18"/>
          <w:szCs w:val="18"/>
          <w:color w:val="auto"/>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date of transfer of such Shares to such Holder. Such notice shall specify the date of such disposition or other transfer and the amount realized, in cash, other property, assumption of indebtedness or other consideration, by the Holder in such disposition or other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tbl>
      <w:tblPr>
        <w:tblLayout w:type="fixed"/>
        <w:tblInd w:w="880" w:type="dxa"/>
        <w:tblCellMar>
          <w:top w:w="0" w:type="dxa"/>
          <w:left w:w="0" w:type="dxa"/>
          <w:bottom w:w="0" w:type="dxa"/>
          <w:right w:w="0" w:type="dxa"/>
        </w:tblCellMar>
      </w:tblPr>
      <w:tr>
        <w:trPr>
          <w:trHeight w:val="281"/>
        </w:trPr>
        <w:tc>
          <w:tcPr>
            <w:tcW w:w="560" w:type="dxa"/>
            <w:vAlign w:val="bottom"/>
          </w:tcPr>
          <w:p>
            <w:pPr>
              <w:spacing w:after="0"/>
              <w:rPr>
                <w:sz w:val="24"/>
                <w:szCs w:val="24"/>
                <w:color w:val="auto"/>
              </w:rPr>
            </w:pPr>
          </w:p>
        </w:tc>
        <w:tc>
          <w:tcPr>
            <w:tcW w:w="9960" w:type="dxa"/>
            <w:vAlign w:val="bottom"/>
          </w:tcPr>
          <w:p>
            <w:pPr>
              <w:jc w:val="center"/>
              <w:ind w:right="1304"/>
              <w:spacing w:after="0"/>
              <w:rPr>
                <w:sz w:val="20"/>
                <w:szCs w:val="20"/>
                <w:color w:val="auto"/>
              </w:rPr>
            </w:pPr>
            <w:r>
              <w:rPr>
                <w:rFonts w:ascii="Arial" w:cs="Arial" w:eastAsia="Arial" w:hAnsi="Arial"/>
                <w:sz w:val="22"/>
                <w:szCs w:val="22"/>
                <w:b w:val="1"/>
                <w:bCs w:val="1"/>
                <w:color w:val="auto"/>
              </w:rPr>
              <w:t>ARTICLE 8.</w:t>
            </w:r>
          </w:p>
        </w:tc>
      </w:tr>
      <w:tr>
        <w:trPr>
          <w:trHeight w:val="449"/>
        </w:trPr>
        <w:tc>
          <w:tcPr>
            <w:tcW w:w="560" w:type="dxa"/>
            <w:vAlign w:val="bottom"/>
          </w:tcPr>
          <w:p>
            <w:pPr>
              <w:spacing w:after="0"/>
              <w:rPr>
                <w:sz w:val="24"/>
                <w:szCs w:val="24"/>
                <w:color w:val="auto"/>
              </w:rPr>
            </w:pPr>
          </w:p>
        </w:tc>
        <w:tc>
          <w:tcPr>
            <w:tcW w:w="9960" w:type="dxa"/>
            <w:vAlign w:val="bottom"/>
          </w:tcPr>
          <w:p>
            <w:pPr>
              <w:jc w:val="center"/>
              <w:ind w:right="1304"/>
              <w:spacing w:after="0"/>
              <w:rPr>
                <w:sz w:val="20"/>
                <w:szCs w:val="20"/>
                <w:color w:val="auto"/>
              </w:rPr>
            </w:pPr>
            <w:r>
              <w:rPr>
                <w:rFonts w:ascii="Arial" w:cs="Arial" w:eastAsia="Arial" w:hAnsi="Arial"/>
                <w:sz w:val="18"/>
                <w:szCs w:val="18"/>
                <w:b w:val="1"/>
                <w:bCs w:val="1"/>
                <w:color w:val="auto"/>
                <w:w w:val="98"/>
              </w:rPr>
              <w:t>AWARD OF RESTRICTED STOCK</w:t>
            </w:r>
          </w:p>
        </w:tc>
      </w:tr>
      <w:tr>
        <w:trPr>
          <w:trHeight w:val="432"/>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8.1</w:t>
            </w:r>
          </w:p>
        </w:tc>
        <w:tc>
          <w:tcPr>
            <w:tcW w:w="9960" w:type="dxa"/>
            <w:vAlign w:val="bottom"/>
          </w:tcPr>
          <w:p>
            <w:pPr>
              <w:ind w:left="320"/>
              <w:spacing w:after="0"/>
              <w:rPr>
                <w:sz w:val="20"/>
                <w:szCs w:val="20"/>
                <w:color w:val="auto"/>
              </w:rPr>
            </w:pPr>
            <w:r>
              <w:rPr>
                <w:rFonts w:ascii="Arial" w:cs="Arial" w:eastAsia="Arial" w:hAnsi="Arial"/>
                <w:sz w:val="18"/>
                <w:szCs w:val="18"/>
                <w:u w:val="single" w:color="auto"/>
                <w:color w:val="auto"/>
                <w:w w:val="92"/>
              </w:rPr>
              <w:t>Award of Restricted Stock</w:t>
            </w:r>
            <w:r>
              <w:rPr>
                <w:rFonts w:ascii="Arial" w:cs="Arial" w:eastAsia="Arial" w:hAnsi="Arial"/>
                <w:sz w:val="18"/>
                <w:szCs w:val="18"/>
                <w:color w:val="auto"/>
                <w:w w:val="92"/>
              </w:rPr>
              <w:t>. The Administrator is authorized to grant Restricted Stock to Eligible Individuals, and shall determine the</w:t>
            </w:r>
          </w:p>
        </w:tc>
      </w:tr>
    </w:tbl>
    <w:p>
      <w:pPr>
        <w:jc w:val="both"/>
        <w:spacing w:after="0" w:line="271" w:lineRule="auto"/>
        <w:rPr>
          <w:sz w:val="20"/>
          <w:szCs w:val="20"/>
          <w:color w:val="auto"/>
        </w:rPr>
      </w:pPr>
      <w:r>
        <w:rPr>
          <w:rFonts w:ascii="Arial" w:cs="Arial" w:eastAsia="Arial" w:hAnsi="Arial"/>
          <w:sz w:val="17"/>
          <w:szCs w:val="17"/>
          <w:color w:val="auto"/>
        </w:rPr>
        <w:t xml:space="preserve">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The Administrator shall establish the purchase price, if any, and form of payment for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179"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Rights as Stockholders</w:t>
      </w:r>
      <w:r>
        <w:rPr>
          <w:rFonts w:ascii="Arial" w:cs="Arial" w:eastAsia="Arial" w:hAnsi="Arial"/>
          <w:sz w:val="18"/>
          <w:szCs w:val="18"/>
          <w:color w:val="auto"/>
        </w:rPr>
        <w:t xml:space="preserve">. Subject to Section 8.4, upon issuance of Restricted Stock, the Holder shall have, unless otherwise provided by the Administrator, all the rights of a stockholder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is granted becomes the record holder of such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sole discretion of the Administrator, any extraordinary distributions with respect to the Shares may be subject to the restrictions set forth in Section 8.3.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w:t>
      </w:r>
    </w:p>
    <w:p>
      <w:pPr>
        <w:spacing w:after="0" w:line="192"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Restrictions</w:t>
      </w:r>
      <w:r>
        <w:rPr>
          <w:rFonts w:ascii="Arial" w:cs="Arial" w:eastAsia="Arial" w:hAnsi="Arial"/>
          <w:sz w:val="18"/>
          <w:szCs w:val="18"/>
          <w:color w:val="auto"/>
        </w:rPr>
        <w:t>. All shares of Restricted Stock (including any shares received by Holders thereof with respect to shares of Restricted Stock as a result of stock dividends, stock splits or any other form of recapitalization) shall be subject to such restrictions and vesting requirements as the Administrator shall provide in the applicable Program or Award Agreement, subject to Section 3.3. By action taken after the Restricted Stock is issued, the Administrator may, on such terms and conditions as it may determine to be appropriate, accelerate the vesting of such Restricted Stock by removing any or all of the restrictions imposed by the terms of the applicable Program or Award Agreement.</w:t>
      </w:r>
    </w:p>
    <w:p>
      <w:pPr>
        <w:spacing w:after="0" w:line="188"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Repurchase or Forfeiture of Restricted Stock</w:t>
      </w:r>
      <w:r>
        <w:rPr>
          <w:rFonts w:ascii="Arial" w:cs="Arial" w:eastAsia="Arial" w:hAnsi="Arial"/>
          <w:sz w:val="17"/>
          <w:szCs w:val="17"/>
          <w:color w:val="auto"/>
        </w:rPr>
        <w:t>. Except as otherwise determined by the Administrator,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on the date of such Termination of Service.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 Notwithstanding the foregoing, except as otherwise provided by Section 3.3, the Administrator, in its sole discretion, may provide that upon certain events, including, without limitation, a Change in Control, the Holder’s death, retirement or disability or any other specified Termination of Service or any other event, the Holder’s rights in unvested Restricted Stock then subject to restrictions shall not lapse, such Restricted Stock shall vest and cease to be forfeitable and, if applicable, the Company shall cease to have a right of repurchase.</w:t>
      </w:r>
    </w:p>
    <w:p>
      <w:pPr>
        <w:spacing w:after="0" w:line="178"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278130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81"/>
        </w:trPr>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0" w:type="dxa"/>
            <w:vAlign w:val="bottom"/>
          </w:tcPr>
          <w:p>
            <w:pPr>
              <w:jc w:val="center"/>
              <w:ind w:right="3892"/>
              <w:spacing w:after="0"/>
              <w:rPr>
                <w:sz w:val="20"/>
                <w:szCs w:val="20"/>
                <w:color w:val="auto"/>
              </w:rPr>
            </w:pPr>
            <w:r>
              <w:rPr>
                <w:rFonts w:ascii="Arial" w:cs="Arial" w:eastAsia="Arial" w:hAnsi="Arial"/>
                <w:sz w:val="22"/>
                <w:szCs w:val="22"/>
                <w:b w:val="1"/>
                <w:bCs w:val="1"/>
                <w:color w:val="auto"/>
              </w:rPr>
              <w:t>ARTICLE 9.</w:t>
            </w:r>
          </w:p>
        </w:tc>
      </w:tr>
      <w:tr>
        <w:trPr>
          <w:trHeight w:val="422"/>
        </w:trPr>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0" w:type="dxa"/>
            <w:vAlign w:val="bottom"/>
            <w:gridSpan w:val="2"/>
          </w:tcPr>
          <w:p>
            <w:pPr>
              <w:jc w:val="center"/>
              <w:ind w:right="2692"/>
              <w:spacing w:after="0"/>
              <w:rPr>
                <w:sz w:val="20"/>
                <w:szCs w:val="20"/>
                <w:color w:val="auto"/>
              </w:rPr>
            </w:pPr>
            <w:r>
              <w:rPr>
                <w:rFonts w:ascii="Arial" w:cs="Arial" w:eastAsia="Arial" w:hAnsi="Arial"/>
                <w:sz w:val="18"/>
                <w:szCs w:val="18"/>
                <w:b w:val="1"/>
                <w:bCs w:val="1"/>
                <w:color w:val="auto"/>
                <w:w w:val="99"/>
              </w:rPr>
              <w:t>AWARD OF RESTRICTED STOCK UNITS</w:t>
            </w:r>
          </w:p>
        </w:tc>
      </w:tr>
      <w:tr>
        <w:trPr>
          <w:trHeight w:val="392"/>
        </w:trPr>
        <w:tc>
          <w:tcPr>
            <w:tcW w:w="1760" w:type="dxa"/>
            <w:vAlign w:val="bottom"/>
          </w:tcPr>
          <w:p>
            <w:pPr>
              <w:jc w:val="right"/>
              <w:ind w:right="550"/>
              <w:spacing w:after="0"/>
              <w:rPr>
                <w:sz w:val="20"/>
                <w:szCs w:val="20"/>
                <w:color w:val="auto"/>
              </w:rPr>
            </w:pPr>
            <w:r>
              <w:rPr>
                <w:rFonts w:ascii="Arial" w:cs="Arial" w:eastAsia="Arial" w:hAnsi="Arial"/>
                <w:sz w:val="18"/>
                <w:szCs w:val="18"/>
                <w:color w:val="auto"/>
              </w:rPr>
              <w:t>9.1</w:t>
            </w:r>
          </w:p>
        </w:tc>
        <w:tc>
          <w:tcPr>
            <w:tcW w:w="9660" w:type="dxa"/>
            <w:vAlign w:val="bottom"/>
            <w:gridSpan w:val="4"/>
          </w:tcPr>
          <w:p>
            <w:pPr>
              <w:spacing w:after="0"/>
              <w:rPr>
                <w:sz w:val="20"/>
                <w:szCs w:val="20"/>
                <w:color w:val="auto"/>
              </w:rPr>
            </w:pPr>
            <w:r>
              <w:rPr>
                <w:rFonts w:ascii="Arial" w:cs="Arial" w:eastAsia="Arial" w:hAnsi="Arial"/>
                <w:sz w:val="18"/>
                <w:szCs w:val="18"/>
                <w:color w:val="auto"/>
                <w:w w:val="92"/>
              </w:rPr>
              <w:t>Grant of Restricted Stock Units. The Administrator is authorized to grant Awards of Restricted Stock Units to any Eligible Individual</w:t>
            </w:r>
          </w:p>
        </w:tc>
      </w:tr>
      <w:tr>
        <w:trPr>
          <w:trHeight w:val="20"/>
        </w:trPr>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37"/>
        </w:trPr>
        <w:tc>
          <w:tcPr>
            <w:tcW w:w="11420" w:type="dxa"/>
            <w:vAlign w:val="bottom"/>
            <w:gridSpan w:val="5"/>
          </w:tcPr>
          <w:p>
            <w:pPr>
              <w:spacing w:after="0"/>
              <w:rPr>
                <w:sz w:val="20"/>
                <w:szCs w:val="20"/>
                <w:color w:val="auto"/>
              </w:rPr>
            </w:pPr>
            <w:r>
              <w:rPr>
                <w:rFonts w:ascii="Arial" w:cs="Arial" w:eastAsia="Arial" w:hAnsi="Arial"/>
                <w:sz w:val="18"/>
                <w:szCs w:val="18"/>
                <w:color w:val="auto"/>
              </w:rPr>
              <w:t>selected by the Administrator in such amounts and subject to such terms and conditions as determined by the Administrator.</w:t>
            </w:r>
          </w:p>
        </w:tc>
      </w:tr>
      <w:tr>
        <w:trPr>
          <w:trHeight w:val="392"/>
        </w:trPr>
        <w:tc>
          <w:tcPr>
            <w:tcW w:w="1760" w:type="dxa"/>
            <w:vAlign w:val="bottom"/>
          </w:tcPr>
          <w:p>
            <w:pPr>
              <w:jc w:val="right"/>
              <w:ind w:right="550"/>
              <w:spacing w:after="0"/>
              <w:rPr>
                <w:sz w:val="20"/>
                <w:szCs w:val="20"/>
                <w:color w:val="auto"/>
              </w:rPr>
            </w:pPr>
            <w:r>
              <w:rPr>
                <w:rFonts w:ascii="Arial" w:cs="Arial" w:eastAsia="Arial" w:hAnsi="Arial"/>
                <w:sz w:val="18"/>
                <w:szCs w:val="18"/>
                <w:color w:val="auto"/>
              </w:rPr>
              <w:t>9.2</w:t>
            </w:r>
          </w:p>
        </w:tc>
        <w:tc>
          <w:tcPr>
            <w:tcW w:w="9660" w:type="dxa"/>
            <w:vAlign w:val="bottom"/>
            <w:gridSpan w:val="4"/>
          </w:tcPr>
          <w:p>
            <w:pPr>
              <w:spacing w:after="0"/>
              <w:rPr>
                <w:sz w:val="20"/>
                <w:szCs w:val="20"/>
                <w:color w:val="auto"/>
              </w:rPr>
            </w:pPr>
            <w:r>
              <w:rPr>
                <w:rFonts w:ascii="Arial" w:cs="Arial" w:eastAsia="Arial" w:hAnsi="Arial"/>
                <w:sz w:val="18"/>
                <w:szCs w:val="18"/>
                <w:color w:val="auto"/>
                <w:w w:val="94"/>
              </w:rPr>
              <w:t>Term. Except as otherwise provided herein, the term of a Restricted Stock Unit award shall be set by the Administrator in its sole</w:t>
            </w:r>
          </w:p>
        </w:tc>
      </w:tr>
      <w:tr>
        <w:trPr>
          <w:trHeight w:val="237"/>
        </w:trPr>
        <w:tc>
          <w:tcPr>
            <w:tcW w:w="1760" w:type="dxa"/>
            <w:vAlign w:val="bottom"/>
          </w:tcPr>
          <w:p>
            <w:pPr>
              <w:spacing w:after="0"/>
              <w:rPr>
                <w:sz w:val="20"/>
                <w:szCs w:val="20"/>
                <w:color w:val="auto"/>
              </w:rPr>
            </w:pPr>
            <w:r>
              <w:rPr>
                <w:rFonts w:ascii="Arial" w:cs="Arial" w:eastAsia="Arial" w:hAnsi="Arial"/>
                <w:sz w:val="18"/>
                <w:szCs w:val="18"/>
                <w:color w:val="auto"/>
              </w:rPr>
              <w:t>discretion.</w:t>
            </w:r>
          </w:p>
        </w:tc>
        <w:tc>
          <w:tcPr>
            <w:tcW w:w="38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0" w:type="dxa"/>
            <w:vAlign w:val="bottom"/>
          </w:tcPr>
          <w:p>
            <w:pPr>
              <w:spacing w:after="0"/>
              <w:rPr>
                <w:sz w:val="20"/>
                <w:szCs w:val="20"/>
                <w:color w:val="auto"/>
              </w:rPr>
            </w:pPr>
          </w:p>
        </w:tc>
      </w:tr>
      <w:tr>
        <w:trPr>
          <w:trHeight w:val="392"/>
        </w:trPr>
        <w:tc>
          <w:tcPr>
            <w:tcW w:w="1760" w:type="dxa"/>
            <w:vAlign w:val="bottom"/>
          </w:tcPr>
          <w:p>
            <w:pPr>
              <w:jc w:val="right"/>
              <w:ind w:right="550"/>
              <w:spacing w:after="0"/>
              <w:rPr>
                <w:sz w:val="20"/>
                <w:szCs w:val="20"/>
                <w:color w:val="auto"/>
              </w:rPr>
            </w:pPr>
            <w:r>
              <w:rPr>
                <w:rFonts w:ascii="Arial" w:cs="Arial" w:eastAsia="Arial" w:hAnsi="Arial"/>
                <w:sz w:val="18"/>
                <w:szCs w:val="18"/>
                <w:color w:val="auto"/>
              </w:rPr>
              <w:t>9.3</w:t>
            </w:r>
          </w:p>
        </w:tc>
        <w:tc>
          <w:tcPr>
            <w:tcW w:w="9660" w:type="dxa"/>
            <w:vAlign w:val="bottom"/>
            <w:gridSpan w:val="4"/>
          </w:tcPr>
          <w:p>
            <w:pPr>
              <w:spacing w:after="0"/>
              <w:rPr>
                <w:sz w:val="20"/>
                <w:szCs w:val="20"/>
                <w:color w:val="auto"/>
              </w:rPr>
            </w:pPr>
            <w:r>
              <w:rPr>
                <w:rFonts w:ascii="Arial" w:cs="Arial" w:eastAsia="Arial" w:hAnsi="Arial"/>
                <w:sz w:val="18"/>
                <w:szCs w:val="18"/>
                <w:color w:val="auto"/>
                <w:w w:val="92"/>
              </w:rPr>
              <w:t>Purchase Price. The Administrator shall specify the purchase price, if any, to be paid by the Holder to the Company with respect to</w:t>
            </w:r>
          </w:p>
        </w:tc>
      </w:tr>
      <w:tr>
        <w:trPr>
          <w:trHeight w:val="20"/>
        </w:trPr>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any Restricted Stock Unit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value of the consideration shall not be less than the par value of a Share, unless otherwise permitted by Applicable Law.</w:t>
      </w:r>
    </w:p>
    <w:p>
      <w:pPr>
        <w:spacing w:after="0" w:line="170"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Subsidiary, one or more Performance Criteria, Company performance, individual performance or other specific criteria, in each case on a specified date or dates or over any period or periods, as determined by the Administrator, subject to Section 3.3.</w:t>
      </w:r>
    </w:p>
    <w:p>
      <w:pPr>
        <w:spacing w:after="0" w:line="188"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Maturity and Payment</w:t>
      </w:r>
      <w:r>
        <w:rPr>
          <w:rFonts w:ascii="Arial" w:cs="Arial" w:eastAsia="Arial" w:hAnsi="Arial"/>
          <w:sz w:val="17"/>
          <w:szCs w:val="17"/>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otherwise determined by the Administrator, and subject to compliance with Section 409A, in no event shall the maturity date relating to each Restricted Stock Unit occur following the later of (a)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end of the calendar year in which the applicable portion of the Restricted Stock Unit vests; or (b)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end of the Company’s fiscal year in which the applicable portion of the Restricted Stock Unit vests. On the maturity date, the Company shall, in accordance with the applicable Award Agreement and subject to Section 11.4(f),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182"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Payment upon Termination of Service</w:t>
      </w:r>
      <w:r>
        <w:rPr>
          <w:rFonts w:ascii="Arial" w:cs="Arial" w:eastAsia="Arial" w:hAnsi="Arial"/>
          <w:sz w:val="18"/>
          <w:szCs w:val="18"/>
          <w:color w:val="auto"/>
        </w:rPr>
        <w:t xml:space="preserve">. An Award of Restricted Stock Units shall only be payable while the Holder is an Employee, a Consultant or a member of the Board,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Administrator, in its sole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OTHER STOCK OR CASH BASED AWARDS AND DIVIDEND EQUIVALENTS</w:t>
      </w:r>
    </w:p>
    <w:p>
      <w:pPr>
        <w:spacing w:after="0" w:line="229"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Other Stock or Cash Based Awards</w:t>
      </w:r>
      <w:r>
        <w:rPr>
          <w:rFonts w:ascii="Arial" w:cs="Arial" w:eastAsia="Arial" w:hAnsi="Arial"/>
          <w:sz w:val="18"/>
          <w:szCs w:val="18"/>
          <w:color w:val="auto"/>
        </w:rPr>
        <w:t>. The Administrator is authorized to (a) grant Other Stock or Cash Based Awards, including awards entitling a Holder to receive Shares or cash to be delivered immediately or in the future, to any Eligible Individual and (b) determine whether such Other Stock or Cash Based Awards shall be Performance-Based Compensation. Subject to the provisions of the Plan and any applicable Program, the Administrator shall determine the terms and conditions of each Other Stock or Cash Based Award, including the term of the Award, any exercise or purchase price, performance goals, including the Performance Criteria, transfer restrictions, vesting conditions and other terms and conditions applicable thereto, which shall be set forth in the applicable Award Agreement, subject to Section 3.3. Other Stock or Cash Based Awards may be paid in cash, Shares, or a combination of cash and Shares, as determined by the Administrator, and may be available as a form of payment in the settlement of other Awards granted under the Plan, as stand-alone payments, as a part of a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281305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deferred bonus, deferred compensation or other arrangement, and/or as payment in lieu of compensation to which an Eligible Individual is otherwise entitled.</w:t>
      </w:r>
    </w:p>
    <w:p>
      <w:pPr>
        <w:spacing w:after="0" w:line="248"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Dividend Equivalents</w:t>
      </w:r>
      <w:r>
        <w:rPr>
          <w:rFonts w:ascii="Arial" w:cs="Arial" w:eastAsia="Arial" w:hAnsi="Arial"/>
          <w:sz w:val="17"/>
          <w:szCs w:val="17"/>
          <w:color w:val="auto"/>
        </w:rPr>
        <w:t>. Dividend Equivalents may be granted by the Administrator, either alone or in tandem with another Award, based on dividends declared on the Common Stock,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with performance-based vesting that are based on dividends paid prior to the vesting of such Award shall only be paid out to the Holder to the extent that the performance-based vesting conditions are subsequently satisfied and the Award vests. Notwithstanding the foregoing, no Dividend Equivalents shall be payable with respect to Options or Stock Appreciation Rights.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OF AWARDS</w:t>
      </w:r>
    </w:p>
    <w:p>
      <w:pPr>
        <w:spacing w:after="0" w:line="229"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The Administrator shall determine the method or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held for such minimum period of time as may be established by the Administrator having a Fair Market Value on the date of delivery equal to the aggregate payments required, (c)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payment of such proceeds is then made to the Company upon settlement of such sale, (d) other form of legal consideration acceptable to the Administrator in its sole discretion, or (e) any combination of the above permitted forms of payment.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83"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Tax Withholding</w:t>
      </w:r>
      <w:r>
        <w:rPr>
          <w:rFonts w:ascii="Arial" w:cs="Arial" w:eastAsia="Arial" w:hAnsi="Arial"/>
          <w:sz w:val="17"/>
          <w:szCs w:val="17"/>
          <w:color w:val="auto"/>
        </w:rPr>
        <w:t>. The Company or any Subsidiary shall have the authority and the right to deduct or withhold, or require a Holder to remit to the Company, an amount sufficient to satisfy federal, state, local and foreign taxes (including the Holder’s FICA, employment tax or other social security contribution obligation) required by law to be withheld with respect to any taxable event concerning a Holder arising as a result of the Plan or any Award. The Administrator may, in its sole discretion and in satisfaction of the foregoing requirement, or in satisfaction of such additional withholding obligations as a Holder may have elected, allow a Holder to satisfy such obligations by any payment means described in Section 11.1 hereof, including without limitation, by allowing such Holder to elect to have the Company or any Subsidiary withhold Shares otherwise issuable under an Award (or allow the surrender of Shares). The number of Shares that may be so withheld or surrendered shall be no greater than the number of Shares that have a fair market value on the date of withholding or repurchase equal to the aggregate amount of such liabilities based on the maximum statutory withholding rates in such Holder’s applicable jurisdictions for federal, state, local and foreign income tax and payroll tax purposes that are applicable to such supplemental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80"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Transferability of Awards</w:t>
      </w:r>
      <w:r>
        <w:rPr>
          <w:rFonts w:ascii="Arial" w:cs="Arial" w:eastAsia="Arial" w:hAnsi="Arial"/>
          <w:sz w:val="16"/>
          <w:szCs w:val="16"/>
          <w:color w:val="auto"/>
        </w:rPr>
        <w:t>.</w:t>
      </w:r>
    </w:p>
    <w:p>
      <w:pPr>
        <w:spacing w:after="0" w:line="225" w:lineRule="exact"/>
        <w:rPr>
          <w:sz w:val="20"/>
          <w:szCs w:val="20"/>
          <w:color w:val="auto"/>
        </w:rPr>
      </w:pPr>
    </w:p>
    <w:p>
      <w:pPr>
        <w:ind w:left="2620" w:hanging="857"/>
        <w:spacing w:after="0"/>
        <w:tabs>
          <w:tab w:leader="none" w:pos="2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as otherwise provided in Sections 11.3(b) and 11.3(c):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5" w:name="page76"/>
    <w:bookmarkEnd w:id="75"/>
    <w:p>
      <w:pPr>
        <w:jc w:val="both"/>
        <w:ind w:left="-880" w:firstLine="2642"/>
        <w:spacing w:after="0" w:line="264" w:lineRule="auto"/>
        <w:tabs>
          <w:tab w:leader="none" w:pos="2572"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 Award under the Plan may be sold, pledged, assigned or transferred in any manner other than (A) by will or the laws of descent and distribution or (B) subject to the consent of the Administrator, pursuant to a DRO, unless and until such Award has been exercised or the Shares underlying such Award have been issued, and all restrictions applicable to such Shares have lapsed;</w:t>
      </w:r>
    </w:p>
    <w:p>
      <w:pPr>
        <w:spacing w:after="0" w:line="181" w:lineRule="exact"/>
        <w:rPr>
          <w:rFonts w:ascii="Arial" w:cs="Arial" w:eastAsia="Arial" w:hAnsi="Arial"/>
          <w:sz w:val="18"/>
          <w:szCs w:val="18"/>
          <w:color w:val="auto"/>
        </w:rPr>
      </w:pPr>
    </w:p>
    <w:p>
      <w:pPr>
        <w:jc w:val="both"/>
        <w:ind w:left="-880" w:firstLine="2642"/>
        <w:spacing w:after="0" w:line="293" w:lineRule="auto"/>
        <w:tabs>
          <w:tab w:leader="none" w:pos="2622"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11.3(a)(i); and</w:t>
      </w:r>
    </w:p>
    <w:p>
      <w:pPr>
        <w:spacing w:after="0" w:line="164" w:lineRule="exact"/>
        <w:rPr>
          <w:rFonts w:ascii="Arial" w:cs="Arial" w:eastAsia="Arial" w:hAnsi="Arial"/>
          <w:sz w:val="16"/>
          <w:szCs w:val="16"/>
          <w:color w:val="auto"/>
        </w:rPr>
      </w:pPr>
    </w:p>
    <w:p>
      <w:pPr>
        <w:jc w:val="both"/>
        <w:ind w:left="-880" w:firstLine="2642"/>
        <w:spacing w:after="0" w:line="302" w:lineRule="auto"/>
        <w:tabs>
          <w:tab w:leader="none" w:pos="2672" w:val="left"/>
        </w:tabs>
        <w:numPr>
          <w:ilvl w:val="1"/>
          <w:numId w:val="42"/>
        </w:numPr>
        <w:rPr>
          <w:rFonts w:ascii="Arial" w:cs="Arial" w:eastAsia="Arial" w:hAnsi="Arial"/>
          <w:sz w:val="16"/>
          <w:szCs w:val="16"/>
          <w:color w:val="auto"/>
        </w:rPr>
      </w:pPr>
      <w:r>
        <w:rPr>
          <w:rFonts w:ascii="Arial" w:cs="Arial" w:eastAsia="Arial" w:hAnsi="Arial"/>
          <w:sz w:val="16"/>
          <w:szCs w:val="16"/>
          <w:color w:val="auto"/>
        </w:rPr>
        <w:t>During the lifetime of the Holder, only the Holder may exercise any exercisable portion of an Award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then-applicable laws of descent and distribution.</w:t>
      </w:r>
    </w:p>
    <w:p>
      <w:pPr>
        <w:spacing w:after="0" w:line="154" w:lineRule="exact"/>
        <w:rPr>
          <w:rFonts w:ascii="Arial" w:cs="Arial" w:eastAsia="Arial" w:hAnsi="Arial"/>
          <w:sz w:val="16"/>
          <w:szCs w:val="16"/>
          <w:color w:val="auto"/>
        </w:rPr>
      </w:pPr>
    </w:p>
    <w:p>
      <w:pPr>
        <w:jc w:val="both"/>
        <w:ind w:left="-880" w:firstLine="1763"/>
        <w:spacing w:after="0" w:line="287" w:lineRule="auto"/>
        <w:tabs>
          <w:tab w:leader="none" w:pos="1733"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Notwithstanding Section 11.3(a),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and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In addition, and further notwithstanding Section 11.3(a), hereof,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w:t>
      </w:r>
    </w:p>
    <w:p>
      <w:pPr>
        <w:spacing w:after="0" w:line="168" w:lineRule="exact"/>
        <w:rPr>
          <w:rFonts w:ascii="Arial" w:cs="Arial" w:eastAsia="Arial" w:hAnsi="Arial"/>
          <w:sz w:val="16"/>
          <w:szCs w:val="16"/>
          <w:color w:val="auto"/>
        </w:rPr>
      </w:pPr>
    </w:p>
    <w:p>
      <w:pPr>
        <w:jc w:val="both"/>
        <w:ind w:left="-880" w:firstLine="1763"/>
        <w:spacing w:after="0" w:line="270" w:lineRule="auto"/>
        <w:tabs>
          <w:tab w:leader="none" w:pos="1723"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Notwithstanding Section 11.3(a),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change or revocation is delivered in writing to the Administrator prior to the Holder’s death.</w:t>
      </w:r>
    </w:p>
    <w:p>
      <w:pPr>
        <w:spacing w:after="0" w:line="1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Conditions to Issuance of Shares</w:t>
      </w:r>
      <w:r>
        <w:rPr>
          <w:rFonts w:ascii="Arial" w:cs="Arial" w:eastAsia="Arial" w:hAnsi="Arial"/>
          <w:sz w:val="16"/>
          <w:szCs w:val="16"/>
          <w:color w:val="auto"/>
        </w:rPr>
        <w:t>.</w:t>
      </w:r>
    </w:p>
    <w:p>
      <w:pPr>
        <w:spacing w:after="0" w:line="225" w:lineRule="exact"/>
        <w:rPr>
          <w:sz w:val="20"/>
          <w:szCs w:val="20"/>
          <w:color w:val="auto"/>
        </w:rPr>
      </w:pPr>
    </w:p>
    <w:p>
      <w:pPr>
        <w:ind w:left="-880" w:firstLine="1763"/>
        <w:spacing w:after="0" w:line="277" w:lineRule="auto"/>
        <w:tabs>
          <w:tab w:leader="none" w:pos="172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Administrator shall determine the methods by which Shares shall be delivered or deemed to be delivered to Holders. Notwithstanding anything herein to the contrary, the Company shall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267335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41" w:right="239" w:bottom="1440" w:gutter="0" w:footer="0" w:header="0"/>
        </w:sectPr>
      </w:pPr>
    </w:p>
    <w:bookmarkStart w:id="76" w:name="page77"/>
    <w:bookmarkEnd w:id="76"/>
    <w:p>
      <w:pPr>
        <w:jc w:val="both"/>
        <w:spacing w:after="0" w:line="257" w:lineRule="auto"/>
        <w:rPr>
          <w:sz w:val="20"/>
          <w:szCs w:val="20"/>
          <w:color w:val="auto"/>
        </w:rPr>
      </w:pPr>
      <w:r>
        <w:rPr>
          <w:rFonts w:ascii="Arial" w:cs="Arial" w:eastAsia="Arial" w:hAnsi="Arial"/>
          <w:sz w:val="18"/>
          <w:szCs w:val="18"/>
          <w:color w:val="auto"/>
        </w:rPr>
        <w:t>required to issue or deliver any certificates or make any book entries evidencing Shares pursuant to the exercise of any Award, unless and until the Administrator has determined, with advice of counsel,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p>
    <w:p>
      <w:pPr>
        <w:spacing w:after="0" w:line="188" w:lineRule="exact"/>
        <w:rPr>
          <w:sz w:val="20"/>
          <w:szCs w:val="20"/>
          <w:color w:val="auto"/>
        </w:rPr>
      </w:pPr>
    </w:p>
    <w:p>
      <w:pPr>
        <w:jc w:val="both"/>
        <w:ind w:firstLine="1763"/>
        <w:spacing w:after="0" w:line="259" w:lineRule="auto"/>
        <w:tabs>
          <w:tab w:leader="none" w:pos="261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spacing w:after="0" w:line="186" w:lineRule="exact"/>
        <w:rPr>
          <w:rFonts w:ascii="Arial" w:cs="Arial" w:eastAsia="Arial" w:hAnsi="Arial"/>
          <w:sz w:val="18"/>
          <w:szCs w:val="18"/>
          <w:color w:val="auto"/>
        </w:rPr>
      </w:pPr>
    </w:p>
    <w:p>
      <w:pPr>
        <w:ind w:firstLine="1763"/>
        <w:spacing w:after="0" w:line="342" w:lineRule="auto"/>
        <w:tabs>
          <w:tab w:leader="none" w:pos="260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23" w:lineRule="exact"/>
        <w:rPr>
          <w:rFonts w:ascii="Arial" w:cs="Arial" w:eastAsia="Arial" w:hAnsi="Arial"/>
          <w:sz w:val="16"/>
          <w:szCs w:val="16"/>
          <w:color w:val="auto"/>
        </w:rPr>
      </w:pPr>
    </w:p>
    <w:p>
      <w:pPr>
        <w:ind w:firstLine="1763"/>
        <w:spacing w:after="0" w:line="277" w:lineRule="auto"/>
        <w:tabs>
          <w:tab w:leader="none" w:pos="2613"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fractional Shares shall be issued and the Administrator, in its sole discretion, shall determine whether cash shall be given in lieu of fractional Shares or whether such fractional Shares shall be eliminated by rounding down.</w:t>
      </w:r>
    </w:p>
    <w:p>
      <w:pPr>
        <w:spacing w:after="0" w:line="170" w:lineRule="exact"/>
        <w:rPr>
          <w:rFonts w:ascii="Arial" w:cs="Arial" w:eastAsia="Arial" w:hAnsi="Arial"/>
          <w:sz w:val="18"/>
          <w:szCs w:val="18"/>
          <w:color w:val="auto"/>
        </w:rPr>
      </w:pPr>
    </w:p>
    <w:p>
      <w:pPr>
        <w:jc w:val="both"/>
        <w:ind w:firstLine="1763"/>
        <w:spacing w:after="0" w:line="259" w:lineRule="auto"/>
        <w:tabs>
          <w:tab w:leader="none" w:pos="260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in its sole discretion, may (i) retain physical possession of any stock certificate evidencing Shares until any restrictions thereon shall have lapsed and/or (ii) require that the stock certificates evidencing such Shares be held in custody by a designated escrow agent (which may but need not be the Company) until the restrictions thereon shall have lapsed, and that the Holder deliver a stock power, endorsed in blank, relating to such Shares.</w:t>
      </w:r>
    </w:p>
    <w:p>
      <w:pPr>
        <w:spacing w:after="0" w:line="186" w:lineRule="exact"/>
        <w:rPr>
          <w:rFonts w:ascii="Arial" w:cs="Arial" w:eastAsia="Arial" w:hAnsi="Arial"/>
          <w:sz w:val="18"/>
          <w:szCs w:val="18"/>
          <w:color w:val="auto"/>
        </w:rPr>
      </w:pPr>
    </w:p>
    <w:p>
      <w:pPr>
        <w:jc w:val="both"/>
        <w:ind w:firstLine="1763"/>
        <w:spacing w:after="0" w:line="264" w:lineRule="auto"/>
        <w:tabs>
          <w:tab w:leader="none" w:pos="2583"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81"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Forfeiture and Claw-Back Provisions</w:t>
      </w:r>
      <w:r>
        <w:rPr>
          <w:rFonts w:ascii="Arial" w:cs="Arial" w:eastAsia="Arial" w:hAnsi="Arial"/>
          <w:sz w:val="17"/>
          <w:szCs w:val="17"/>
          <w:color w:val="auto"/>
        </w:rPr>
        <w:t>. All Awards (including any proceeds, gains or other economic benefit actually or constructively received by a Holder upon any receipt or exercise of any Award or upon the receipt or resale of any Shares underlying the Award and any payments of a portion of an incentive-based bonus pool allocated to a Holder)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whether or not such claw-back policy was in place at the time of grant of an Award, to the extent set forth in such claw-back policy and/or in the applicable Award Agreement.</w:t>
      </w:r>
    </w:p>
    <w:p>
      <w:pPr>
        <w:spacing w:after="0" w:line="178"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Prohibition on Repricing</w:t>
      </w:r>
      <w:r>
        <w:rPr>
          <w:rFonts w:ascii="Arial" w:cs="Arial" w:eastAsia="Arial" w:hAnsi="Arial"/>
          <w:sz w:val="18"/>
          <w:szCs w:val="18"/>
          <w:color w:val="auto"/>
        </w:rPr>
        <w:t>. Subject to Section 13.2, the Administrator shall not, without the approval of the stockholders of the Company, (a) authorize the amendment of any outstanding Option or Stock Appreciation Right to reduce its price per Share, or (b) cancel any Option or Stock Appreciation Right in exchange for cash or another Award when the Option or Stock Appreciation Right price per Share exceeds the Fair Market Value of the underlying Shares. Furthermore, for purposes of this Section 11.6,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 without the approval of the stockholders of the Company.</w:t>
      </w:r>
    </w:p>
    <w:p>
      <w:pPr>
        <w:spacing w:after="0" w:line="197"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Amendment of Awards</w:t>
      </w:r>
      <w:r>
        <w:rPr>
          <w:rFonts w:ascii="Arial" w:cs="Arial" w:eastAsia="Arial" w:hAnsi="Arial"/>
          <w:sz w:val="18"/>
          <w:szCs w:val="18"/>
          <w:color w:val="auto"/>
        </w:rPr>
        <w:t>. Subject to Applicable Law, the Administrator may amend, modify or terminate any outstanding Award, including but not limited to, substituting therefor another Award of the same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267335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p>
      <w:pPr>
        <w:jc w:val="both"/>
        <w:spacing w:after="0" w:line="312" w:lineRule="auto"/>
        <w:rPr>
          <w:sz w:val="20"/>
          <w:szCs w:val="20"/>
          <w:color w:val="auto"/>
        </w:rPr>
      </w:pPr>
      <w:r>
        <w:rPr>
          <w:rFonts w:ascii="Arial" w:cs="Arial" w:eastAsia="Arial" w:hAnsi="Arial"/>
          <w:sz w:val="16"/>
          <w:szCs w:val="16"/>
          <w:color w:val="auto"/>
        </w:rPr>
        <w:t>different type, changing the date of exercise or settlement, and converting an Incentive Stock Option to a Non-Qualified Stock Option. The Holder’s consent to such action shall be required unless (a) the Administrator determines that the action, taking into account any related action, would not materially and adversely affect the Holder, or (b) the change is otherwise permitted under the Plan (including, without limitation, under Section 13.2 or 13.10).</w:t>
      </w:r>
    </w:p>
    <w:p>
      <w:pPr>
        <w:spacing w:after="0" w:line="147" w:lineRule="exact"/>
        <w:rPr>
          <w:sz w:val="20"/>
          <w:szCs w:val="20"/>
          <w:color w:val="auto"/>
        </w:rPr>
      </w:pPr>
    </w:p>
    <w:p>
      <w:pPr>
        <w:jc w:val="both"/>
        <w:ind w:firstLine="877"/>
        <w:spacing w:after="0" w:line="285"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Data Privacy</w:t>
      </w:r>
      <w:r>
        <w:rPr>
          <w:rFonts w:ascii="Arial" w:cs="Arial" w:eastAsia="Arial" w:hAnsi="Arial"/>
          <w:sz w:val="16"/>
          <w:szCs w:val="16"/>
          <w:color w:val="auto"/>
        </w:rPr>
        <w:t>. As a condition of receipt of any Award, each Holder explicitly and unambiguously consents to the collection, use and transfer, in electronic or other form, of personal data as described in this Section 11.8 by and among, as applicable, the Company and its Subsidiaries for the exclusive purpose of implementing, administering and managing the Holder’s participation in the Plan. The Company and its Subsidiaries may hold certain personal information about a Holder, including but not limited to, the Holder’s name, home address and telephone number, date of birth, social security or insurance number or other identification number, salary, nationality, job title(s), any shares of stock held in the Company or any of its Subsidiaries and details of all Awards, in each case, for the purpose of implementing, managing and administering the Plan and Awards (the “</w:t>
      </w:r>
      <w:r>
        <w:rPr>
          <w:rFonts w:ascii="Arial" w:cs="Arial" w:eastAsia="Arial" w:hAnsi="Arial"/>
          <w:sz w:val="16"/>
          <w:szCs w:val="16"/>
          <w:u w:val="single" w:color="auto"/>
          <w:color w:val="auto"/>
        </w:rPr>
        <w:t>Data</w:t>
      </w:r>
      <w:r>
        <w:rPr>
          <w:rFonts w:ascii="Arial" w:cs="Arial" w:eastAsia="Arial" w:hAnsi="Arial"/>
          <w:sz w:val="16"/>
          <w:szCs w:val="16"/>
          <w:color w:val="auto"/>
        </w:rPr>
        <w:t>”). The Company and its Subsidiaries may transfer the Data amongst themselves as necessary for the purpose of implementation, administration and management of a Holder’s participation in the Plan, and the Company and its Subsidiaries may each further transfer the Data to any third parties assisting the Company and its Subsidiaries in the implementation, administration and management of the Plan. These recipients may be located in the Holder’s country, or elsewhere, and the Holder’s country may have different data privacy laws and protections than the recipients’ country. Through acceptance of an Award, each Holder authorizes such recipients to receive, possess, use, retain and transfer the Data, in electronic or other form, for the purposes of implementing, administering and managing the Holder’s participation in the Plan, including any requisite transfer of such Data as may be required to a broker or other third party with whom the Company or any of its Subsidiaries or the Holder may elect to deposit any Shares. The Data related to a Holder will be held only as long as is necessary to implement, administer, and manage the Holder’s participation in the Plan. A Holder may, at any time, view the Data held by the Company with respect to such Holder, request additional information about the storage and processing of the Data with respect to such Holder, recommend any necessary corrections to the Data with respect to the Holder or refuse or withdraw the consents herein in writing, in any case without cost, by contacting his or her local human resources representative. The Company may cancel the Holder’s ability to participate in the Plan and, in the Administrator’s discretion, the Holder may forfeit any outstanding Awards if the Holder refuses or withdraws his or her consents as described herein. For more information on the consequences of refusal to consent or withdrawal of consent, Holders may contact their local human resources representative.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ind w:firstLine="877"/>
        <w:spacing w:after="0" w:line="268"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Administrator</w:t>
      </w:r>
      <w:r>
        <w:rPr>
          <w:rFonts w:ascii="Arial" w:cs="Arial" w:eastAsia="Arial" w:hAnsi="Arial"/>
          <w:sz w:val="17"/>
          <w:szCs w:val="17"/>
          <w:color w:val="auto"/>
        </w:rPr>
        <w:t>. The Committee shall administer the Plan (except as otherwise permitted herein). To the extent necessary to comply with Rule 16b-3 of the Exchange Act, and with respect to Awards that are intended to be Performance-Based Compensation, including Options and Stock Appreciation Rights, then the Committee shall take all action with respect to such Awards, and the individuals taking such action shall consist solely of two or more Non-Employee Directors, each of whom is intended to qualify as both a “non-employee director” as defined by Rule 16b-3 of the Exchange Act or any successor rule and an “outside director” for purposes of Section 162(m) of the Code. Additionally, to the extent required by Applicable Law, each of the individuals constituting the Committee shall be an “independent director” under the rules of any securities exchange or automated quotation system on which the Shares are listed, quoted or traded. Notwithstanding the foregoing, any action taken by the Committee shall be valid and effective, whether or not members of the Committee at the time of such action are later determined not to have satisfied the requirements for membership set forth in this Section 12.1 or the Organizational Documents. Except as may otherwise be provided in the Organizational Documents or as otherwise required by Applicable Law, (a) appointment of Committee members shall be effective upon acceptance of appointment, (b) Committee members may resign at any time by delivering written or electronic notice to the Board and (c) vacancies in the Committee may only be filled by the Board. Notwithstanding the foregoing, (i) the full Board, acting by a majority of its members in office, shall conduct the general administration of the Plan with respect to Awards granted to Non-Employee Directors and, with respect to such Awards, the terms “Administrator” as used in the Plan shall be deemed to refer to the Board and (ii) the Board or Committee may delegate its authority hereunder to the extent permitted by Section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jc w:val="both"/>
        <w:ind w:firstLine="877"/>
        <w:spacing w:after="0" w:line="217" w:lineRule="exact"/>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Duties and Powers of Administrator</w:t>
      </w:r>
      <w:r>
        <w:rPr>
          <w:rFonts w:ascii="Arial" w:cs="Arial" w:eastAsia="Arial" w:hAnsi="Arial"/>
          <w:sz w:val="16"/>
          <w:szCs w:val="16"/>
          <w:color w:val="auto"/>
        </w:rPr>
        <w:t xml:space="preserve">. It shall be the duty of the Administrator to conduct the general administration of the Plan in accordance with its provisions. The Administrator shall have the power to interpret the Plan, all Programs and Award Agreements, and to adopt such rules for the administration, interpretation and application of the Plan and any Program as are not inconsistent with the Plan, to interpret, amend or revoke any such rules and to amend the Plan or any Program or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 11.5 or Section 13.10. In its sole discretion, the Board may at any time and from time to time exercise any and all rights and duties of the Committee in its capacity as the Administrator under the Plan except with respect to matters which under Rule 16b</w:t>
      </w:r>
      <w:r>
        <w:rPr>
          <w:rFonts w:ascii="MS PGothic" w:cs="MS PGothic" w:eastAsia="MS PGothic" w:hAnsi="MS PGothic"/>
          <w:sz w:val="16"/>
          <w:szCs w:val="16"/>
          <w:color w:val="auto"/>
        </w:rPr>
        <w:t>‑</w:t>
      </w:r>
      <w:r>
        <w:rPr>
          <w:rFonts w:ascii="Arial" w:cs="Arial" w:eastAsia="Arial" w:hAnsi="Arial"/>
          <w:sz w:val="16"/>
          <w:szCs w:val="16"/>
          <w:color w:val="auto"/>
        </w:rPr>
        <w:t>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w:t>
      </w:r>
    </w:p>
    <w:p>
      <w:pPr>
        <w:spacing w:after="0" w:line="208"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Action by the Administrator</w:t>
      </w:r>
      <w:r>
        <w:rPr>
          <w:rFonts w:ascii="Arial" w:cs="Arial" w:eastAsia="Arial" w:hAnsi="Arial"/>
          <w:sz w:val="17"/>
          <w:szCs w:val="17"/>
          <w:color w:val="auto"/>
        </w:rPr>
        <w:t>.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spacing w:after="0" w:line="178"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Authority of Administrator</w:t>
      </w:r>
      <w:r>
        <w:rPr>
          <w:rFonts w:ascii="Arial" w:cs="Arial" w:eastAsia="Arial" w:hAnsi="Arial"/>
          <w:sz w:val="16"/>
          <w:szCs w:val="16"/>
          <w:color w:val="auto"/>
        </w:rPr>
        <w:t>. Subject to the Organizational Documents, any specific designation in the Plan and Applicable Law,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Administrator has the exclusive power, authority and sole discretion to:</w:t>
      </w:r>
    </w:p>
    <w:p>
      <w:pPr>
        <w:spacing w:after="0" w:line="211" w:lineRule="exact"/>
        <w:rPr>
          <w:sz w:val="20"/>
          <w:szCs w:val="20"/>
          <w:color w:val="auto"/>
        </w:rPr>
      </w:pPr>
    </w:p>
    <w:p>
      <w:pPr>
        <w:ind w:left="2620" w:hanging="857"/>
        <w:spacing w:after="0"/>
        <w:tabs>
          <w:tab w:leader="none" w:pos="2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Designate Eligible Individuals to receive Awards;</w:t>
      </w:r>
    </w:p>
    <w:p>
      <w:pPr>
        <w:spacing w:after="0" w:line="225" w:lineRule="exact"/>
        <w:rPr>
          <w:rFonts w:ascii="Arial" w:cs="Arial" w:eastAsia="Arial" w:hAnsi="Arial"/>
          <w:sz w:val="18"/>
          <w:szCs w:val="18"/>
          <w:color w:val="auto"/>
        </w:rPr>
      </w:pPr>
    </w:p>
    <w:p>
      <w:pPr>
        <w:ind w:right="20" w:firstLine="1763"/>
        <w:spacing w:after="0" w:line="277" w:lineRule="auto"/>
        <w:tabs>
          <w:tab w:leader="none" w:pos="26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Eligible Individual (including, without limitation, any Awards granted in tandem with another Award granted pursuant to the Plan);</w:t>
      </w:r>
    </w:p>
    <w:p>
      <w:pPr>
        <w:spacing w:after="0" w:line="170" w:lineRule="exact"/>
        <w:rPr>
          <w:rFonts w:ascii="Arial" w:cs="Arial" w:eastAsia="Arial" w:hAnsi="Arial"/>
          <w:sz w:val="18"/>
          <w:szCs w:val="18"/>
          <w:color w:val="auto"/>
        </w:rPr>
      </w:pPr>
    </w:p>
    <w:p>
      <w:pPr>
        <w:ind w:left="2620" w:hanging="857"/>
        <w:spacing w:after="0"/>
        <w:tabs>
          <w:tab w:leader="none" w:pos="2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225" w:lineRule="exact"/>
        <w:rPr>
          <w:rFonts w:ascii="Arial" w:cs="Arial" w:eastAsia="Arial" w:hAnsi="Arial"/>
          <w:sz w:val="18"/>
          <w:szCs w:val="18"/>
          <w:color w:val="auto"/>
        </w:rPr>
      </w:pPr>
    </w:p>
    <w:p>
      <w:pPr>
        <w:jc w:val="both"/>
        <w:ind w:firstLine="1763"/>
        <w:spacing w:after="0" w:line="257" w:lineRule="auto"/>
        <w:tabs>
          <w:tab w:leader="none" w:pos="26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but not limited to, the exercise price, grant price, purchase price, any Performance Criteria or performance criteria,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p>
    <w:p>
      <w:pPr>
        <w:spacing w:after="0" w:line="188" w:lineRule="exact"/>
        <w:rPr>
          <w:rFonts w:ascii="Arial" w:cs="Arial" w:eastAsia="Arial" w:hAnsi="Arial"/>
          <w:sz w:val="18"/>
          <w:szCs w:val="18"/>
          <w:color w:val="auto"/>
        </w:rPr>
      </w:pPr>
    </w:p>
    <w:p>
      <w:pPr>
        <w:ind w:firstLine="1763"/>
        <w:spacing w:after="0" w:line="277" w:lineRule="auto"/>
        <w:tabs>
          <w:tab w:leader="none" w:pos="260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Shares, other Awards, or other property, or an Award may be canceled, forfeited, or surrendered;</w:t>
      </w:r>
    </w:p>
    <w:p>
      <w:pPr>
        <w:spacing w:after="0" w:line="170" w:lineRule="exact"/>
        <w:rPr>
          <w:rFonts w:ascii="Arial" w:cs="Arial" w:eastAsia="Arial" w:hAnsi="Arial"/>
          <w:sz w:val="18"/>
          <w:szCs w:val="18"/>
          <w:color w:val="auto"/>
        </w:rPr>
      </w:pPr>
    </w:p>
    <w:p>
      <w:pPr>
        <w:ind w:left="2600" w:hanging="837"/>
        <w:spacing w:after="0"/>
        <w:tabs>
          <w:tab w:leader="none" w:pos="2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Holder;</w:t>
      </w:r>
    </w:p>
    <w:p>
      <w:pPr>
        <w:spacing w:after="0" w:line="225" w:lineRule="exact"/>
        <w:rPr>
          <w:rFonts w:ascii="Arial" w:cs="Arial" w:eastAsia="Arial" w:hAnsi="Arial"/>
          <w:sz w:val="18"/>
          <w:szCs w:val="18"/>
          <w:color w:val="auto"/>
        </w:rPr>
      </w:pPr>
    </w:p>
    <w:p>
      <w:pPr>
        <w:ind w:left="2620" w:hanging="857"/>
        <w:spacing w:after="0"/>
        <w:tabs>
          <w:tab w:leader="none" w:pos="2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2620" w:hanging="857"/>
        <w:spacing w:after="0"/>
        <w:tabs>
          <w:tab w:leader="none" w:pos="2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Establish, adopt, or revise any Programs, rules and regulations as it may deem necessary or advisable to administer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left="2580" w:hanging="817"/>
        <w:spacing w:after="0"/>
        <w:tabs>
          <w:tab w:leader="none" w:pos="2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any Program or any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9" w:name="page80"/>
    <w:bookmarkEnd w:id="79"/>
    <w:p>
      <w:pPr>
        <w:ind w:right="20" w:firstLine="1763"/>
        <w:spacing w:after="0" w:line="277" w:lineRule="auto"/>
        <w:tabs>
          <w:tab w:leader="none" w:pos="25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Administrator deems necessary or advisable to administer the Plan; and</w:t>
      </w:r>
    </w:p>
    <w:p>
      <w:pPr>
        <w:spacing w:after="0" w:line="170" w:lineRule="exact"/>
        <w:rPr>
          <w:rFonts w:ascii="Arial" w:cs="Arial" w:eastAsia="Arial" w:hAnsi="Arial"/>
          <w:sz w:val="18"/>
          <w:szCs w:val="18"/>
          <w:color w:val="auto"/>
        </w:rPr>
      </w:pPr>
    </w:p>
    <w:p>
      <w:pPr>
        <w:ind w:right="20" w:firstLine="1763"/>
        <w:spacing w:after="0" w:line="277" w:lineRule="auto"/>
        <w:tabs>
          <w:tab w:leader="none" w:pos="26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Accelerate wholly or partially the vesting or lapse of restrictions of any Award or portion thereof at any time after the grant of an Award, subject to whatever terms and conditions it selects and Section 3.3 and Section 13.2.</w:t>
      </w:r>
    </w:p>
    <w:p>
      <w:pPr>
        <w:spacing w:after="0" w:line="170" w:lineRule="exact"/>
        <w:rPr>
          <w:sz w:val="20"/>
          <w:szCs w:val="20"/>
          <w:color w:val="auto"/>
        </w:rPr>
      </w:pPr>
    </w:p>
    <w:p>
      <w:pPr>
        <w:jc w:val="both"/>
        <w:ind w:firstLine="877"/>
        <w:spacing w:after="0" w:line="308"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Decisions Binding</w:t>
      </w:r>
      <w:r>
        <w:rPr>
          <w:rFonts w:ascii="Arial" w:cs="Arial" w:eastAsia="Arial" w:hAnsi="Arial"/>
          <w:sz w:val="17"/>
          <w:szCs w:val="17"/>
          <w:color w:val="auto"/>
        </w:rPr>
        <w:t>. The Administrator’s interpretation of the Plan, any Awards granted pursuant to the Plan, any Program or any Award Agreement and all decisions and determinations by the Administrator with respect to the Plan are final, binding and conclusive on all Persons.</w:t>
      </w:r>
    </w:p>
    <w:p>
      <w:pPr>
        <w:spacing w:after="0" w:line="147"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Delegation of Authority</w:t>
      </w:r>
      <w:r>
        <w:rPr>
          <w:rFonts w:ascii="Arial" w:cs="Arial" w:eastAsia="Arial" w:hAnsi="Arial"/>
          <w:sz w:val="17"/>
          <w:szCs w:val="17"/>
          <w:color w:val="auto"/>
        </w:rPr>
        <w:t xml:space="preserve">. The Board or Committee may from time to time delegate to a committee of one or more members of the Board or one or more officers of the Company the authority to grant or amend Awards or to take other administrative actions pursuant to this Article 12;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no event shall an officer of the Company be delegated the authority to grant Awards to, or amend Awards held by, the following individuals: (a) individuals who are subject to Section 16 of the Exchange Act, (b) Covered Employees with respect to Awards intended to constitute Performance Based Compensation, or (c) officers of the Company (or Directors) to whom authority to grant or amend Awards has been delegated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delegation of administrative authority shall only be permitted to the extent it is permissible under any Organizational Documents and Applicable Law (including, without limitation, Section 162(m) of the Code).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12.6 shall serve in such capacity at the pleasure of the Board or the Committee, as applicable, and the Board or the Committee may abolish any committee at any time and re-vest in itself any previously delegated authority.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242"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u w:val="single" w:color="auto"/>
          <w:color w:val="auto"/>
        </w:rPr>
        <w:t>Amendment, Suspension or Termination of the Plan</w:t>
      </w:r>
      <w:r>
        <w:rPr>
          <w:rFonts w:ascii="Arial" w:cs="Arial" w:eastAsia="Arial" w:hAnsi="Arial"/>
          <w:sz w:val="16"/>
          <w:szCs w:val="16"/>
          <w:color w:val="auto"/>
        </w:rPr>
        <w:t>.</w:t>
      </w:r>
    </w:p>
    <w:p>
      <w:pPr>
        <w:spacing w:after="0" w:line="225" w:lineRule="exact"/>
        <w:rPr>
          <w:sz w:val="20"/>
          <w:szCs w:val="20"/>
          <w:color w:val="auto"/>
        </w:rPr>
      </w:pPr>
    </w:p>
    <w:p>
      <w:pPr>
        <w:jc w:val="both"/>
        <w:ind w:firstLine="1763"/>
        <w:spacing w:after="0" w:line="259" w:lineRule="auto"/>
        <w:tabs>
          <w:tab w:leader="none" w:pos="2603"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Except as otherwise provided in Section 13.1(b), the Plan may be wholly or partially amended or otherwise modified, suspended or terminated at any time or from time to time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provided in Section 11.5 and Section 13.10, no amendment, suspension or termination of the Plan shall, without the consent of the Holder, materially and adversely affect any rights or obligations under any Award theretofore granted or awarded, unless the Award itself otherwise expressly so provides.</w:t>
      </w:r>
    </w:p>
    <w:p>
      <w:pPr>
        <w:spacing w:after="0" w:line="186" w:lineRule="exact"/>
        <w:rPr>
          <w:rFonts w:ascii="Arial" w:cs="Arial" w:eastAsia="Arial" w:hAnsi="Arial"/>
          <w:sz w:val="18"/>
          <w:szCs w:val="18"/>
          <w:color w:val="auto"/>
        </w:rPr>
      </w:pPr>
    </w:p>
    <w:p>
      <w:pPr>
        <w:jc w:val="both"/>
        <w:ind w:firstLine="1763"/>
        <w:spacing w:after="0" w:line="257" w:lineRule="auto"/>
        <w:tabs>
          <w:tab w:leader="none" w:pos="2613"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Notwithstanding Section 13.1(a), the Board may not, except as provided in Section 13.2, take any of the following actions without approval of the Company’s stockholders given within twelve (12) months before or after such action: (i) increase the limit imposed in Section 3.1 on the maximum number of Shares which may be issued under the Plan or the Award Limit, (ii) reduce the price per share of any outstanding Option or Stock Appreciation Right granted under the Plan or take any action prohibited under Section 11.6, or (iii) cancel any Option or Stock Appreciation Right in exchange for cash or another Award in violation of Section 11.6.</w:t>
      </w:r>
    </w:p>
    <w:p>
      <w:pPr>
        <w:spacing w:after="0" w:line="188" w:lineRule="exact"/>
        <w:rPr>
          <w:rFonts w:ascii="Arial" w:cs="Arial" w:eastAsia="Arial" w:hAnsi="Arial"/>
          <w:sz w:val="18"/>
          <w:szCs w:val="18"/>
          <w:color w:val="auto"/>
        </w:rPr>
      </w:pPr>
    </w:p>
    <w:p>
      <w:pPr>
        <w:jc w:val="both"/>
        <w:ind w:firstLine="1763"/>
        <w:spacing w:after="0" w:line="257" w:lineRule="auto"/>
        <w:tabs>
          <w:tab w:leader="none" w:pos="2603"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Awards may be granted or awarded during any period of suspension or after termination of the Plan, and notwithstanding anything herein to the contrary, in no event may any Award be granted under the Plan after the tenth (10</w:t>
      </w:r>
      <w:r>
        <w:rPr>
          <w:rFonts w:ascii="Arial" w:cs="Arial" w:eastAsia="Arial" w:hAnsi="Arial"/>
          <w:sz w:val="15"/>
          <w:szCs w:val="15"/>
          <w:color w:val="auto"/>
        </w:rPr>
        <w:t>th</w:t>
      </w:r>
      <w:r>
        <w:rPr>
          <w:rFonts w:ascii="Arial" w:cs="Arial" w:eastAsia="Arial" w:hAnsi="Arial"/>
          <w:sz w:val="18"/>
          <w:szCs w:val="18"/>
          <w:color w:val="auto"/>
        </w:rPr>
        <w:t>) anniversary of the earlier of (i) the date on which the Plan was adopted by the Board or (ii) the date the Plan was approved by the Company’s stockholders (such anniversary, the “</w:t>
      </w:r>
      <w:r>
        <w:rPr>
          <w:rFonts w:ascii="Arial" w:cs="Arial" w:eastAsia="Arial" w:hAnsi="Arial"/>
          <w:sz w:val="18"/>
          <w:szCs w:val="18"/>
          <w:u w:val="single" w:color="auto"/>
          <w:color w:val="auto"/>
        </w:rPr>
        <w:t>Expiration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Any Awards that are outstanding on the Expiration Date shall remain in force according to the terms of the Plan, the applicable Program and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ind w:left="880"/>
        <w:spacing w:after="0"/>
        <w:tabs>
          <w:tab w:leader="none" w:pos="18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u w:val="single" w:color="auto"/>
          <w:color w:val="auto"/>
        </w:rPr>
        <w:t>Changes in Common Stock or Assets of the Company, Acquisition or Liquidation of the Company and Other Corporate Events</w:t>
      </w:r>
      <w:r>
        <w:rPr>
          <w:rFonts w:ascii="Arial" w:cs="Arial" w:eastAsia="Arial" w:hAnsi="Arial"/>
          <w:sz w:val="16"/>
          <w:szCs w:val="16"/>
          <w:color w:val="auto"/>
        </w:rPr>
        <w:t>.</w:t>
      </w:r>
    </w:p>
    <w:p>
      <w:pPr>
        <w:spacing w:after="0" w:line="225" w:lineRule="exact"/>
        <w:rPr>
          <w:sz w:val="20"/>
          <w:szCs w:val="20"/>
          <w:color w:val="auto"/>
        </w:rPr>
      </w:pPr>
    </w:p>
    <w:p>
      <w:pPr>
        <w:jc w:val="both"/>
        <w:ind w:firstLine="1763"/>
        <w:spacing w:after="0" w:line="270" w:lineRule="auto"/>
        <w:tabs>
          <w:tab w:leader="none" w:pos="2603"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 3.1 on the maximum number and kind of Shares which may be issued under the Plan, and adjustments of the Award Limit); (ii) the number and kind of Shares (or other securities or property) subject to outstanding Awards; (iii) the terms and conditions of any outstanding Awards (including, without limitation, any applicable performance targets or criteria with respect thereto); (iv) the grant or exercise price per share for any outstanding Awards under the Plan; and (v) the number and kind of Shares (or other securities or property) for which automatic grants are subsequently to be made to new and continuing Non-Employee Directors pursuant to Section 4.6. Any adjustment affecting an Award intended as Performance-Based Compensation shall be made consistent with the requirements of Section 162(m) of the Code unless otherwise determined by the Administrator.</w:t>
      </w:r>
    </w:p>
    <w:p>
      <w:pPr>
        <w:spacing w:after="0" w:line="177" w:lineRule="exact"/>
        <w:rPr>
          <w:rFonts w:ascii="Arial" w:cs="Arial" w:eastAsia="Arial" w:hAnsi="Arial"/>
          <w:sz w:val="17"/>
          <w:szCs w:val="17"/>
          <w:color w:val="auto"/>
        </w:rPr>
      </w:pPr>
    </w:p>
    <w:p>
      <w:pPr>
        <w:jc w:val="both"/>
        <w:ind w:firstLine="1763"/>
        <w:spacing w:after="0" w:line="255" w:lineRule="auto"/>
        <w:tabs>
          <w:tab w:leader="none" w:pos="261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event of any transaction or event described in Section 13.2(a) or any unusual or nonrecurring transactions or events affecting the Company, any Subsidiary of the Company, or the financial statements of the Company or any Subsidiary,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spacing w:after="0" w:line="189" w:lineRule="exact"/>
        <w:rPr>
          <w:rFonts w:ascii="Arial" w:cs="Arial" w:eastAsia="Arial" w:hAnsi="Arial"/>
          <w:sz w:val="18"/>
          <w:szCs w:val="18"/>
          <w:color w:val="auto"/>
        </w:rPr>
      </w:pPr>
    </w:p>
    <w:p>
      <w:pPr>
        <w:jc w:val="both"/>
        <w:ind w:firstLine="2642"/>
        <w:spacing w:after="0" w:line="257" w:lineRule="auto"/>
        <w:tabs>
          <w:tab w:leader="none" w:pos="3452"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13.2 the Administrator determines in good faith that no amount would have been attained upon the exercise of such Award or realization of the Holder’s rights, then such Award may be terminated by the Company without payment);</w:t>
      </w:r>
    </w:p>
    <w:p>
      <w:pPr>
        <w:spacing w:after="0" w:line="188" w:lineRule="exact"/>
        <w:rPr>
          <w:rFonts w:ascii="Arial" w:cs="Arial" w:eastAsia="Arial" w:hAnsi="Arial"/>
          <w:sz w:val="18"/>
          <w:szCs w:val="18"/>
          <w:color w:val="auto"/>
        </w:rPr>
      </w:pPr>
    </w:p>
    <w:p>
      <w:pPr>
        <w:jc w:val="both"/>
        <w:ind w:firstLine="2642"/>
        <w:spacing w:after="0" w:line="259" w:lineRule="auto"/>
        <w:tabs>
          <w:tab w:leader="none" w:pos="3502"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186" w:lineRule="exact"/>
        <w:rPr>
          <w:rFonts w:ascii="Arial" w:cs="Arial" w:eastAsia="Arial" w:hAnsi="Arial"/>
          <w:sz w:val="18"/>
          <w:szCs w:val="18"/>
          <w:color w:val="auto"/>
        </w:rPr>
      </w:pPr>
    </w:p>
    <w:p>
      <w:pPr>
        <w:jc w:val="both"/>
        <w:ind w:firstLine="2642"/>
        <w:spacing w:after="0" w:line="264" w:lineRule="auto"/>
        <w:tabs>
          <w:tab w:leader="none" w:pos="3552"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the Company’s stock (or other securities or property) subject to such Award, and/or in the terms and conditions of (including the grant or exercise price), and the criteria included in, outstanding Awards and Awards which may be granted in the future;</w:t>
      </w:r>
    </w:p>
    <w:p>
      <w:pPr>
        <w:spacing w:after="0" w:line="181" w:lineRule="exact"/>
        <w:rPr>
          <w:rFonts w:ascii="Arial" w:cs="Arial" w:eastAsia="Arial" w:hAnsi="Arial"/>
          <w:sz w:val="18"/>
          <w:szCs w:val="18"/>
          <w:color w:val="auto"/>
        </w:rPr>
      </w:pPr>
    </w:p>
    <w:p>
      <w:pPr>
        <w:ind w:left="3540" w:hanging="898"/>
        <w:spacing w:after="0"/>
        <w:tabs>
          <w:tab w:leader="none" w:pos="35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To provide that such Award shall be exercisable or payable or fully vested with respect to all Shares covered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thereby, notwithstanding anything to the contrary in the Plan or the applicable Program or Award Agreement;</w:t>
      </w:r>
    </w:p>
    <w:p>
      <w:pPr>
        <w:spacing w:after="0" w:line="210" w:lineRule="exact"/>
        <w:rPr>
          <w:rFonts w:ascii="Arial" w:cs="Arial" w:eastAsia="Arial" w:hAnsi="Arial"/>
          <w:sz w:val="16"/>
          <w:szCs w:val="16"/>
          <w:color w:val="auto"/>
        </w:rPr>
      </w:pPr>
    </w:p>
    <w:p>
      <w:pPr>
        <w:ind w:left="3500" w:hanging="858"/>
        <w:spacing w:after="0"/>
        <w:tabs>
          <w:tab w:leader="none" w:pos="35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w:t>
      </w:r>
    </w:p>
    <w:p>
      <w:pPr>
        <w:spacing w:after="0" w:line="225" w:lineRule="exact"/>
        <w:rPr>
          <w:rFonts w:ascii="Arial" w:cs="Arial" w:eastAsia="Arial" w:hAnsi="Arial"/>
          <w:sz w:val="18"/>
          <w:szCs w:val="18"/>
          <w:color w:val="auto"/>
        </w:rPr>
      </w:pPr>
    </w:p>
    <w:p>
      <w:pPr>
        <w:ind w:left="3540" w:hanging="898"/>
        <w:spacing w:after="0"/>
        <w:tabs>
          <w:tab w:leader="none" w:pos="3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ind w:left="2620" w:hanging="857"/>
        <w:spacing w:after="0"/>
        <w:tabs>
          <w:tab w:leader="none" w:pos="2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connection with the occurrence of any Equity Restructuring, and notwithstanding anything to the contrary in Sections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13.2(a) and 13.2(b):</w:t>
      </w:r>
    </w:p>
    <w:p>
      <w:pPr>
        <w:spacing w:after="0" w:line="211" w:lineRule="exact"/>
        <w:rPr>
          <w:sz w:val="20"/>
          <w:szCs w:val="20"/>
          <w:color w:val="auto"/>
        </w:rPr>
      </w:pPr>
    </w:p>
    <w:p>
      <w:pPr>
        <w:jc w:val="both"/>
        <w:ind w:firstLine="2642"/>
        <w:spacing w:after="0" w:line="264" w:lineRule="auto"/>
        <w:tabs>
          <w:tab w:leader="none" w:pos="345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 the adjustments provided under this Section 13.2(c)(i) shall be nondiscretionary and shall be final and binding on the affected Holder and the Company); and/or</w:t>
      </w:r>
    </w:p>
    <w:p>
      <w:pPr>
        <w:spacing w:after="0" w:line="181" w:lineRule="exact"/>
        <w:rPr>
          <w:rFonts w:ascii="Arial" w:cs="Arial" w:eastAsia="Arial" w:hAnsi="Arial"/>
          <w:sz w:val="18"/>
          <w:szCs w:val="18"/>
          <w:color w:val="auto"/>
        </w:rPr>
      </w:pPr>
    </w:p>
    <w:p>
      <w:pPr>
        <w:jc w:val="both"/>
        <w:ind w:firstLine="2642"/>
        <w:spacing w:after="0" w:line="259" w:lineRule="auto"/>
        <w:tabs>
          <w:tab w:leader="none" w:pos="350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 and adjustments of the Award Limit).</w:t>
      </w:r>
    </w:p>
    <w:p>
      <w:pPr>
        <w:spacing w:after="0" w:line="186" w:lineRule="exact"/>
        <w:rPr>
          <w:rFonts w:ascii="Arial" w:cs="Arial" w:eastAsia="Arial" w:hAnsi="Arial"/>
          <w:sz w:val="18"/>
          <w:szCs w:val="18"/>
          <w:color w:val="auto"/>
        </w:rPr>
      </w:pPr>
    </w:p>
    <w:p>
      <w:pPr>
        <w:jc w:val="both"/>
        <w:ind w:firstLine="1763"/>
        <w:spacing w:after="0" w:line="255" w:lineRule="auto"/>
        <w:tabs>
          <w:tab w:leader="none" w:pos="2613"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pursuant to Section 13.2(b)(i)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p>
    <w:p>
      <w:pPr>
        <w:spacing w:after="0" w:line="189" w:lineRule="exact"/>
        <w:rPr>
          <w:rFonts w:ascii="Arial" w:cs="Arial" w:eastAsia="Arial" w:hAnsi="Arial"/>
          <w:sz w:val="18"/>
          <w:szCs w:val="18"/>
          <w:color w:val="auto"/>
        </w:rPr>
      </w:pPr>
    </w:p>
    <w:p>
      <w:pPr>
        <w:jc w:val="both"/>
        <w:ind w:firstLine="1763"/>
        <w:spacing w:after="0" w:line="271" w:lineRule="auto"/>
        <w:tabs>
          <w:tab w:leader="none" w:pos="2603"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For the purposes of this Section 13.2,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178" w:lineRule="exact"/>
        <w:rPr>
          <w:rFonts w:ascii="Arial" w:cs="Arial" w:eastAsia="Arial" w:hAnsi="Arial"/>
          <w:sz w:val="17"/>
          <w:szCs w:val="17"/>
          <w:color w:val="auto"/>
        </w:rPr>
      </w:pPr>
    </w:p>
    <w:p>
      <w:pPr>
        <w:ind w:firstLine="1763"/>
        <w:spacing w:after="0" w:line="308" w:lineRule="auto"/>
        <w:tabs>
          <w:tab w:leader="none" w:pos="2583"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Administrator, in its sole discretion, may include such further provisions and limitations in any Award, agreement or certificate, as it may deem equitable and in the best interests of the Company that are not inconsistent with the provisions of the Plan.</w:t>
      </w:r>
    </w:p>
    <w:p>
      <w:pPr>
        <w:spacing w:after="0" w:line="146" w:lineRule="exact"/>
        <w:rPr>
          <w:rFonts w:ascii="Arial" w:cs="Arial" w:eastAsia="Arial" w:hAnsi="Arial"/>
          <w:sz w:val="17"/>
          <w:szCs w:val="17"/>
          <w:color w:val="auto"/>
        </w:rPr>
      </w:pPr>
    </w:p>
    <w:p>
      <w:pPr>
        <w:jc w:val="both"/>
        <w:ind w:firstLine="1763"/>
        <w:spacing w:after="0" w:line="276" w:lineRule="auto"/>
        <w:tabs>
          <w:tab w:leader="none" w:pos="2613" w:val="left"/>
        </w:tabs>
        <w:numPr>
          <w:ilvl w:val="0"/>
          <w:numId w:val="52"/>
        </w:numPr>
        <w:rPr>
          <w:rFonts w:ascii="Arial" w:cs="Arial" w:eastAsia="Arial" w:hAnsi="Arial"/>
          <w:sz w:val="17"/>
          <w:szCs w:val="17"/>
          <w:color w:val="auto"/>
        </w:rPr>
      </w:pPr>
      <w:r>
        <w:rPr>
          <w:rFonts w:ascii="Arial" w:cs="Arial" w:eastAsia="Arial" w:hAnsi="Arial"/>
          <w:sz w:val="17"/>
          <w:szCs w:val="17"/>
          <w:color w:val="auto"/>
        </w:rPr>
        <w:t>Unless otherwise determined by the Administrator, no adjustment or action described in this Section 13.2 or in any other provision of the Plan shall be authorized to the extent it would (i) with respect to Awards which are granted to Covered Employees and are intended to qualify as Performance-Based Compensation, cause such Awards to fail to so qualify as Performance-Based Compensation, (ii) cause the Plan to violate Section 422(b)(1) of the Code, (iii) result in short-swing profits liability under Section 16 of the Exchange Act or violate the exemptive conditions of Rule 16b-3 of the Exchange Act, or (iv) cause an Award to fail to be exempt from or comply with Section 409A.</w:t>
      </w:r>
    </w:p>
    <w:p>
      <w:pPr>
        <w:spacing w:after="0" w:line="172" w:lineRule="exact"/>
        <w:rPr>
          <w:rFonts w:ascii="Arial" w:cs="Arial" w:eastAsia="Arial" w:hAnsi="Arial"/>
          <w:sz w:val="17"/>
          <w:szCs w:val="17"/>
          <w:color w:val="auto"/>
        </w:rPr>
      </w:pPr>
    </w:p>
    <w:p>
      <w:pPr>
        <w:jc w:val="both"/>
        <w:ind w:firstLine="1763"/>
        <w:spacing w:after="0" w:line="293" w:lineRule="auto"/>
        <w:tabs>
          <w:tab w:leader="none" w:pos="261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existence of the Plan, any Program, any Award Agreement and/or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the rights of which are superior to or affect the Common Stock or the rights thereof or that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jc w:val="both"/>
        <w:ind w:firstLine="1763"/>
        <w:spacing w:after="0" w:line="279" w:lineRule="auto"/>
        <w:tabs>
          <w:tab w:leader="none" w:pos="2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Administrator, in its sole discretion, may refuse to permit the exercise of any Award during a period of up to thirty (30) days prior to the consummation of any such transaction.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jc w:val="right"/>
              <w:ind w:right="550"/>
              <w:spacing w:after="0"/>
              <w:rPr>
                <w:sz w:val="20"/>
                <w:szCs w:val="20"/>
                <w:color w:val="auto"/>
              </w:rPr>
            </w:pPr>
            <w:r>
              <w:rPr>
                <w:rFonts w:ascii="Arial" w:cs="Arial" w:eastAsia="Arial" w:hAnsi="Arial"/>
                <w:sz w:val="18"/>
                <w:szCs w:val="18"/>
                <w:color w:val="auto"/>
              </w:rPr>
              <w:t>13.3</w:t>
            </w:r>
          </w:p>
        </w:tc>
        <w:tc>
          <w:tcPr>
            <w:tcW w:w="9580" w:type="dxa"/>
            <w:vAlign w:val="bottom"/>
            <w:gridSpan w:val="3"/>
          </w:tcPr>
          <w:p>
            <w:pPr>
              <w:spacing w:after="0"/>
              <w:rPr>
                <w:sz w:val="20"/>
                <w:szCs w:val="20"/>
                <w:color w:val="auto"/>
              </w:rPr>
            </w:pPr>
            <w:r>
              <w:rPr>
                <w:rFonts w:ascii="Arial" w:cs="Arial" w:eastAsia="Arial" w:hAnsi="Arial"/>
                <w:sz w:val="18"/>
                <w:szCs w:val="18"/>
                <w:color w:val="auto"/>
                <w:w w:val="93"/>
              </w:rPr>
              <w:t>Approval of Plan by Stockholders. The Plan shall be submitted for the approval of the Company’s stockholders within twelve (12)</w:t>
            </w:r>
          </w:p>
        </w:tc>
      </w:tr>
      <w:tr>
        <w:trPr>
          <w:trHeight w:val="20"/>
        </w:trPr>
        <w:tc>
          <w:tcPr>
            <w:tcW w:w="18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237"/>
        </w:trPr>
        <w:tc>
          <w:tcPr>
            <w:tcW w:w="11420" w:type="dxa"/>
            <w:vAlign w:val="bottom"/>
            <w:gridSpan w:val="4"/>
          </w:tcPr>
          <w:p>
            <w:pPr>
              <w:spacing w:after="0"/>
              <w:rPr>
                <w:sz w:val="20"/>
                <w:szCs w:val="20"/>
                <w:color w:val="auto"/>
              </w:rPr>
            </w:pPr>
            <w:r>
              <w:rPr>
                <w:rFonts w:ascii="Arial" w:cs="Arial" w:eastAsia="Arial" w:hAnsi="Arial"/>
                <w:sz w:val="18"/>
                <w:szCs w:val="18"/>
                <w:color w:val="auto"/>
              </w:rPr>
              <w:t>months after the date of the Board’s initial adoption of the Plan.</w:t>
            </w:r>
          </w:p>
        </w:tc>
      </w:tr>
      <w:tr>
        <w:trPr>
          <w:trHeight w:val="392"/>
        </w:trPr>
        <w:tc>
          <w:tcPr>
            <w:tcW w:w="1840" w:type="dxa"/>
            <w:vAlign w:val="bottom"/>
          </w:tcPr>
          <w:p>
            <w:pPr>
              <w:jc w:val="right"/>
              <w:ind w:right="550"/>
              <w:spacing w:after="0"/>
              <w:rPr>
                <w:sz w:val="20"/>
                <w:szCs w:val="20"/>
                <w:color w:val="auto"/>
              </w:rPr>
            </w:pPr>
            <w:r>
              <w:rPr>
                <w:rFonts w:ascii="Arial" w:cs="Arial" w:eastAsia="Arial" w:hAnsi="Arial"/>
                <w:sz w:val="18"/>
                <w:szCs w:val="18"/>
                <w:color w:val="auto"/>
              </w:rPr>
              <w:t>13.4</w:t>
            </w:r>
          </w:p>
        </w:tc>
        <w:tc>
          <w:tcPr>
            <w:tcW w:w="9580" w:type="dxa"/>
            <w:vAlign w:val="bottom"/>
            <w:gridSpan w:val="3"/>
          </w:tcPr>
          <w:p>
            <w:pPr>
              <w:spacing w:after="0"/>
              <w:rPr>
                <w:sz w:val="20"/>
                <w:szCs w:val="20"/>
                <w:color w:val="auto"/>
              </w:rPr>
            </w:pPr>
            <w:r>
              <w:rPr>
                <w:rFonts w:ascii="Arial" w:cs="Arial" w:eastAsia="Arial" w:hAnsi="Arial"/>
                <w:sz w:val="18"/>
                <w:szCs w:val="18"/>
                <w:color w:val="auto"/>
                <w:w w:val="91"/>
              </w:rPr>
              <w:t>No Stockholders Rights. Except as otherwise provided herein or in an applicable Program or Award Agreement, a Holder shall have</w:t>
            </w:r>
          </w:p>
        </w:tc>
      </w:tr>
      <w:tr>
        <w:trPr>
          <w:trHeight w:val="20"/>
        </w:trPr>
        <w:tc>
          <w:tcPr>
            <w:tcW w:w="18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none of the rights of a stockholder with respect to Shares covered by any Award until the Holder becomes the record owner of such Shares.</w:t>
      </w:r>
    </w:p>
    <w:p>
      <w:pPr>
        <w:spacing w:after="0" w:line="225" w:lineRule="exact"/>
        <w:rPr>
          <w:sz w:val="20"/>
          <w:szCs w:val="20"/>
          <w:color w:val="auto"/>
        </w:rPr>
      </w:pPr>
    </w:p>
    <w:p>
      <w:pPr>
        <w:jc w:val="both"/>
        <w:ind w:right="20" w:firstLine="877"/>
        <w:spacing w:after="0" w:line="286"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u w:val="single" w:color="auto"/>
          <w:color w:val="auto"/>
        </w:rPr>
        <w:t>Paperless Administration</w:t>
      </w:r>
      <w:r>
        <w:rPr>
          <w:rFonts w:ascii="Arial" w:cs="Arial" w:eastAsia="Arial" w:hAnsi="Arial"/>
          <w:sz w:val="17"/>
          <w:szCs w:val="17"/>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66"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Effect of Plan upon Other Compensation Plans</w:t>
      </w:r>
      <w:r>
        <w:rPr>
          <w:rFonts w:ascii="Arial" w:cs="Arial" w:eastAsia="Arial" w:hAnsi="Arial"/>
          <w:sz w:val="18"/>
          <w:szCs w:val="18"/>
          <w:color w:val="auto"/>
        </w:rPr>
        <w:t>.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Employees, Directors or Consultants of the Company or any Subsidiary,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93"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spacing w:after="0" w:line="178"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u w:val="single" w:color="auto"/>
          <w:color w:val="auto"/>
        </w:rPr>
        <w:t>Titles and Headings, References to Sections of the Code or Exchange Act</w:t>
      </w:r>
      <w:r>
        <w:rPr>
          <w:rFonts w:ascii="Arial" w:cs="Arial" w:eastAsia="Arial" w:hAnsi="Arial"/>
          <w:sz w:val="16"/>
          <w:szCs w:val="16"/>
          <w:color w:val="auto"/>
        </w:rPr>
        <w:t>. The titles and headings of the Sections in the Plan are for</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convenience of reference only and, in the event of any conflict, the text of the Plan, rather than such titles or headings, shall control. References to sections of the Code or the Exchange Act shall include any amendment or successor thereto.</w:t>
      </w:r>
    </w:p>
    <w:p>
      <w:pPr>
        <w:spacing w:after="0" w:line="184" w:lineRule="exact"/>
        <w:rPr>
          <w:sz w:val="20"/>
          <w:szCs w:val="20"/>
          <w:color w:val="auto"/>
        </w:rPr>
      </w:pPr>
    </w:p>
    <w:p>
      <w:pPr>
        <w:jc w:val="both"/>
        <w:ind w:right="20" w:firstLine="877"/>
        <w:spacing w:after="0" w:line="277"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Programs and Award Agreements hereunder shall be administered, interpreted and enforced under the internal laws of the State of Delaware without regard to conflicts of laws thereof or of any other jurisdiction.</w:t>
      </w:r>
    </w:p>
    <w:p>
      <w:pPr>
        <w:spacing w:after="0" w:line="170" w:lineRule="exact"/>
        <w:rPr>
          <w:sz w:val="20"/>
          <w:szCs w:val="20"/>
          <w:color w:val="auto"/>
        </w:rPr>
      </w:pPr>
    </w:p>
    <w:p>
      <w:pPr>
        <w:jc w:val="both"/>
        <w:ind w:firstLine="877"/>
        <w:spacing w:after="0" w:line="312" w:lineRule="auto"/>
        <w:rPr>
          <w:sz w:val="20"/>
          <w:szCs w:val="20"/>
          <w:color w:val="auto"/>
        </w:rPr>
      </w:pPr>
      <w:r>
        <w:rPr>
          <w:rFonts w:ascii="Arial" w:cs="Arial" w:eastAsia="Arial" w:hAnsi="Arial"/>
          <w:sz w:val="16"/>
          <w:szCs w:val="16"/>
          <w:color w:val="auto"/>
        </w:rPr>
        <w:t xml:space="preserve">13.10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In that regard, to the extent any Award under the Plan or any other compensatory plan or arrangement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jc w:val="both"/>
        <w:spacing w:after="0" w:line="268" w:lineRule="auto"/>
        <w:rPr>
          <w:sz w:val="20"/>
          <w:szCs w:val="20"/>
          <w:color w:val="auto"/>
        </w:rPr>
      </w:pPr>
      <w:r>
        <w:rPr>
          <w:rFonts w:ascii="Arial" w:cs="Arial" w:eastAsia="Arial" w:hAnsi="Arial"/>
          <w:sz w:val="17"/>
          <w:szCs w:val="17"/>
          <w:color w:val="auto"/>
        </w:rPr>
        <w:t>any of its Subsidiaries is subject to Section 409A, and such Award or other amount is payable on account of a Participant’s Termination of Service (or any similarly defined term), then (a) such Award or amount shall only be paid to the extent such Termination of Service qualifies as a “separation from service” as defined in Section 409A, and (b) if such Award or amount is payable to a “specified employee” as defined in Section 409A then to the extent required in order to avoid a prohibited distribution under Section 409A, such Award or other compensatory payment shall not be payable prior to the earlier of (i) the expiration of the six-month period measured from the date of the Participant’s Termination of Service, or (ii) the date of the Participant’s death.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13.10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p>
    <w:p>
      <w:pPr>
        <w:spacing w:after="0" w:line="181"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Subsidiary.</w:t>
      </w:r>
    </w:p>
    <w:p>
      <w:pPr>
        <w:spacing w:after="0" w:line="181"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7"/>
          <w:szCs w:val="17"/>
          <w:color w:val="auto"/>
        </w:rPr>
        <w:t xml:space="preserve">13.12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extent permitted under Applicable Law and the Organizational Documents, each member of the Administrator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4" w:name="page85"/>
    <w:bookmarkEnd w:id="84"/>
    <w:p>
      <w:pPr>
        <w:jc w:val="both"/>
        <w:ind w:firstLine="877"/>
        <w:spacing w:after="0" w:line="264"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p>
    <w:p>
      <w:pPr>
        <w:spacing w:after="0" w:line="181" w:lineRule="exact"/>
        <w:rPr>
          <w:sz w:val="20"/>
          <w:szCs w:val="20"/>
          <w:color w:val="auto"/>
        </w:rPr>
      </w:pPr>
    </w:p>
    <w:p>
      <w:pPr>
        <w:ind w:left="880"/>
        <w:spacing w:after="0"/>
        <w:tabs>
          <w:tab w:leader="none" w:pos="1920" w:val="left"/>
        </w:tabs>
        <w:rPr>
          <w:sz w:val="20"/>
          <w:szCs w:val="20"/>
          <w:color w:val="auto"/>
        </w:rPr>
      </w:pPr>
      <w:r>
        <w:rPr>
          <w:rFonts w:ascii="Arial" w:cs="Arial" w:eastAsia="Arial" w:hAnsi="Arial"/>
          <w:sz w:val="18"/>
          <w:szCs w:val="18"/>
          <w:color w:val="auto"/>
        </w:rPr>
        <w:t>13.14</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The expenses of administering the Plan shall be borne by the Company and its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hereby certify that the foregoing Plan was duly adopted by the Board of Directors of Medpace Holdings, Inc. on June 23, 2016.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hereby certify that the foregoing Plan was approved by the stockholders of Medpace Holdings, Inc. on June 23,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Executed on this 10th day of August, 2016.</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Stephen P. Ewald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Stephen P. Ewald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General Counsel and Corporate Secretary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2016 Incentive Award Plan]</w:t>
      </w:r>
    </w:p>
    <w:p>
      <w:pPr>
        <w:sectPr>
          <w:pgSz w:w="11900" w:h="16838" w:orient="portrait"/>
          <w:cols w:equalWidth="0" w:num="1">
            <w:col w:w="11420"/>
          </w:cols>
          <w:pgMar w:left="240" w:top="139"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EXECUTIVE INCENTIVE BONUS PLAN</w:t>
      </w:r>
    </w:p>
    <w:p>
      <w:pPr>
        <w:spacing w:after="0" w:line="207" w:lineRule="exact"/>
        <w:rPr>
          <w:sz w:val="20"/>
          <w:szCs w:val="20"/>
          <w:color w:val="auto"/>
        </w:rPr>
      </w:pPr>
    </w:p>
    <w:p>
      <w:pPr>
        <w:ind w:left="440" w:hanging="432"/>
        <w:spacing w:after="0"/>
        <w:tabs>
          <w:tab w:leader="none" w:pos="4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This Senior Executive Incentive Bonus Plan (the “</w:t>
      </w:r>
      <w:r>
        <w:rPr>
          <w:rFonts w:ascii="Arial" w:cs="Arial" w:eastAsia="Arial" w:hAnsi="Arial"/>
          <w:sz w:val="18"/>
          <w:szCs w:val="18"/>
          <w:u w:val="single" w:color="auto"/>
          <w:color w:val="auto"/>
        </w:rPr>
        <w:t>Bonus Plan</w:t>
      </w:r>
      <w:r>
        <w:rPr>
          <w:rFonts w:ascii="Arial" w:cs="Arial" w:eastAsia="Arial" w:hAnsi="Arial"/>
          <w:sz w:val="18"/>
          <w:szCs w:val="18"/>
          <w:color w:val="auto"/>
        </w:rPr>
        <w:t>”) is intended to provide an incentive for superior work and to motivate eligible executives of Medpace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its subsidiaries toward even higher achievement and business results, to tie their goals and interests to those of the Company and its stockholders and to enable the Company to attract and retain highly qualified executives. The Bonus Plan is for the benefit of Covered Employees (as defined below).</w:t>
      </w:r>
    </w:p>
    <w:p>
      <w:pPr>
        <w:spacing w:after="0" w:line="183" w:lineRule="exact"/>
        <w:rPr>
          <w:sz w:val="20"/>
          <w:szCs w:val="20"/>
          <w:color w:val="auto"/>
        </w:rPr>
      </w:pPr>
    </w:p>
    <w:p>
      <w:pPr>
        <w:ind w:left="440" w:hanging="432"/>
        <w:spacing w:after="0"/>
        <w:tabs>
          <w:tab w:leader="none" w:pos="4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The Compensation Committee of the Board of Directors of the Company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have the sole discretion and authority to administer and interpret the Bonus Plan.</w:t>
      </w:r>
    </w:p>
    <w:p>
      <w:pPr>
        <w:spacing w:after="0" w:line="166" w:lineRule="exact"/>
        <w:rPr>
          <w:sz w:val="20"/>
          <w:szCs w:val="20"/>
          <w:color w:val="auto"/>
        </w:rPr>
      </w:pPr>
    </w:p>
    <w:p>
      <w:pPr>
        <w:ind w:left="440" w:hanging="432"/>
        <w:spacing w:after="0"/>
        <w:tabs>
          <w:tab w:leader="none" w:pos="4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and Participation</w:t>
      </w:r>
    </w:p>
    <w:p>
      <w:pPr>
        <w:spacing w:after="0" w:line="229"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The Compensation Committee shall select the persons eligible to participate in the Bonus Plan, which may include, without limitation, the executives of the Company and its subsidiaries who are or, as determined in the sole discretion of the Compensation Committee, may become “covered employees” (as defined in Section 162(m)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of the Company and its subsidiaries for the applicable taxable year of the Company (such selected persons, the “</w:t>
      </w:r>
      <w:r>
        <w:rPr>
          <w:rFonts w:ascii="Arial" w:cs="Arial" w:eastAsia="Arial" w:hAnsi="Arial"/>
          <w:sz w:val="18"/>
          <w:szCs w:val="18"/>
          <w:u w:val="single" w:color="auto"/>
          <w:color w:val="auto"/>
        </w:rPr>
        <w:t>Covered Employees</w:t>
      </w:r>
      <w:r>
        <w:rPr>
          <w:rFonts w:ascii="Arial" w:cs="Arial" w:eastAsia="Arial" w:hAnsi="Arial"/>
          <w:sz w:val="18"/>
          <w:szCs w:val="18"/>
          <w:color w:val="auto"/>
        </w:rPr>
        <w:t>”).</w:t>
      </w:r>
    </w:p>
    <w:p>
      <w:pPr>
        <w:spacing w:after="0" w:line="183" w:lineRule="exact"/>
        <w:rPr>
          <w:sz w:val="20"/>
          <w:szCs w:val="20"/>
          <w:color w:val="auto"/>
        </w:rPr>
      </w:pPr>
    </w:p>
    <w:p>
      <w:pPr>
        <w:ind w:left="440" w:hanging="432"/>
        <w:spacing w:after="0"/>
        <w:tabs>
          <w:tab w:leader="none" w:pos="4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Bonus Determinations</w:t>
      </w:r>
    </w:p>
    <w:p>
      <w:pPr>
        <w:spacing w:after="0" w:line="229" w:lineRule="exact"/>
        <w:rPr>
          <w:rFonts w:ascii="Arial" w:cs="Arial" w:eastAsia="Arial" w:hAnsi="Arial"/>
          <w:sz w:val="18"/>
          <w:szCs w:val="18"/>
          <w:b w:val="1"/>
          <w:bCs w:val="1"/>
          <w:color w:val="auto"/>
        </w:rPr>
      </w:pPr>
    </w:p>
    <w:p>
      <w:pPr>
        <w:jc w:val="both"/>
        <w:ind w:firstLine="885"/>
        <w:spacing w:after="0" w:line="288" w:lineRule="auto"/>
        <w:tabs>
          <w:tab w:leader="none" w:pos="1725" w:val="left"/>
        </w:tabs>
        <w:numPr>
          <w:ilvl w:val="1"/>
          <w:numId w:val="57"/>
        </w:numPr>
        <w:rPr>
          <w:rFonts w:ascii="Arial" w:cs="Arial" w:eastAsia="Arial" w:hAnsi="Arial"/>
          <w:sz w:val="16"/>
          <w:szCs w:val="16"/>
          <w:color w:val="auto"/>
        </w:rPr>
      </w:pPr>
      <w:r>
        <w:rPr>
          <w:rFonts w:ascii="Arial" w:cs="Arial" w:eastAsia="Arial" w:hAnsi="Arial"/>
          <w:sz w:val="16"/>
          <w:szCs w:val="16"/>
          <w:color w:val="auto"/>
        </w:rPr>
        <w:t>A Covered Employee may receive a bonus payment under the Bonus Plan based upon the attainment of performance objectives which are established by the Compensation Committee and relate to financial, operational or other metrics with respect to the Company or any of its subsidiaries (the “</w:t>
      </w:r>
      <w:r>
        <w:rPr>
          <w:rFonts w:ascii="Arial" w:cs="Arial" w:eastAsia="Arial" w:hAnsi="Arial"/>
          <w:sz w:val="16"/>
          <w:szCs w:val="16"/>
          <w:u w:val="single" w:color="auto"/>
          <w:color w:val="auto"/>
        </w:rPr>
        <w:t>Performance Goals</w:t>
      </w:r>
      <w:r>
        <w:rPr>
          <w:rFonts w:ascii="Arial" w:cs="Arial" w:eastAsia="Arial" w:hAnsi="Arial"/>
          <w:sz w:val="16"/>
          <w:szCs w:val="16"/>
          <w:color w:val="auto"/>
        </w:rPr>
        <w:t>”), including but not limited to: (i) net earnings or losses (either before or after one or more of the following: (A) interest, (B) taxes,</w:t>
      </w:r>
    </w:p>
    <w:p>
      <w:pPr>
        <w:jc w:val="both"/>
        <w:spacing w:after="0" w:line="267" w:lineRule="auto"/>
        <w:rPr>
          <w:rFonts w:ascii="Arial" w:cs="Arial" w:eastAsia="Arial" w:hAnsi="Arial"/>
          <w:sz w:val="16"/>
          <w:szCs w:val="16"/>
          <w:color w:val="auto"/>
        </w:rPr>
      </w:pPr>
      <w:r>
        <w:rPr>
          <w:rFonts w:ascii="Arial" w:cs="Arial" w:eastAsia="Arial" w:hAnsi="Arial"/>
          <w:sz w:val="17"/>
          <w:szCs w:val="17"/>
          <w:color w:val="auto"/>
        </w:rPr>
        <w:t>(C)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(xx) implementation or completion of critical projects; (xxi) market share; (xxii) economic value; (xxiii) productivity; (xxiv) operating efficiency; (xxv) economic value-added; (xxvi) cash flow return on capital; (xxvii) return on net assets; (xxviii) funds from operations; (xxix) funds available for distributions; (xxx) market penetration and geographic business expansion; (xxxi) customer satisfaction/growth; (xxxii) recruitment and retention of personnel; (xxxiii) human resources management; (xxxiv) supervision of litigation and other legal matters; (xxxv) strategic partnerships and transactions; (xxxvi) financial ratios (including those measuring liquidity, activity, profitability or leverage); (xxxvii) financing and other capital raising transactions; (xxxviii) year-end cash; and (xxxix) acquisition activity and marketing initiatives, any of which may be measured either in absolute terms or as compared to any incremental increase or decrease or as compared to results of a peer group or to market performance indicators or indices.</w:t>
      </w:r>
    </w:p>
    <w:p>
      <w:pPr>
        <w:spacing w:after="0" w:line="183" w:lineRule="exact"/>
        <w:rPr>
          <w:rFonts w:ascii="Arial" w:cs="Arial" w:eastAsia="Arial" w:hAnsi="Arial"/>
          <w:sz w:val="16"/>
          <w:szCs w:val="16"/>
          <w:color w:val="auto"/>
        </w:rPr>
      </w:pPr>
    </w:p>
    <w:p>
      <w:pPr>
        <w:jc w:val="both"/>
        <w:ind w:right="20" w:firstLine="885"/>
        <w:spacing w:after="0" w:line="312" w:lineRule="auto"/>
        <w:tabs>
          <w:tab w:leader="none" w:pos="1735" w:val="left"/>
        </w:tabs>
        <w:numPr>
          <w:ilvl w:val="1"/>
          <w:numId w:val="57"/>
        </w:numPr>
        <w:rPr>
          <w:rFonts w:ascii="Arial" w:cs="Arial" w:eastAsia="Arial" w:hAnsi="Arial"/>
          <w:sz w:val="16"/>
          <w:szCs w:val="16"/>
          <w:color w:val="auto"/>
        </w:rPr>
      </w:pPr>
      <w:r>
        <w:rPr>
          <w:rFonts w:ascii="Arial" w:cs="Arial" w:eastAsia="Arial" w:hAnsi="Arial"/>
          <w:sz w:val="16"/>
          <w:szCs w:val="16"/>
          <w:color w:val="auto"/>
        </w:rPr>
        <w:t>Except as otherwise set forth in this Section 4(b): (i) any bonuses paid to Covered Employees under the Bonus Plan shall be based upon objectively determinable bonus formulas that tie such bonuses to one or more performance objectives relating to the Performance Goals; (ii) bonus formulas for Covered Employees shall be adopted in each performance period by the Compensation Committee (generally, for performance periods of one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jc w:val="both"/>
        <w:spacing w:after="0" w:line="279" w:lineRule="auto"/>
        <w:rPr>
          <w:sz w:val="20"/>
          <w:szCs w:val="20"/>
          <w:color w:val="auto"/>
        </w:rPr>
      </w:pPr>
      <w:r>
        <w:rPr>
          <w:rFonts w:ascii="Arial" w:cs="Arial" w:eastAsia="Arial" w:hAnsi="Arial"/>
          <w:sz w:val="17"/>
          <w:szCs w:val="17"/>
          <w:color w:val="auto"/>
        </w:rPr>
        <w:t>year or more, no later than 90 days after the commencement of the performance period to which the Performance Goals relate); and (iii) no bonuses shall be paid to Covered Employees unless and until the Compensation Committee makes a certification with respect to the attainment of the performance objectives. Notwithstanding the foregoing, the Company may pay bonuses (including, without limitation, discretionary bonuses) to Covered Employees under the Bonus Plan based upon such other terms and conditions as the Compensation Committee may in its sole discretion determine.</w:t>
      </w:r>
    </w:p>
    <w:p>
      <w:pPr>
        <w:spacing w:after="0" w:line="171" w:lineRule="exact"/>
        <w:rPr>
          <w:sz w:val="20"/>
          <w:szCs w:val="20"/>
          <w:color w:val="auto"/>
        </w:rPr>
      </w:pPr>
    </w:p>
    <w:p>
      <w:pPr>
        <w:jc w:val="both"/>
        <w:ind w:firstLine="885"/>
        <w:spacing w:after="0" w:line="259" w:lineRule="auto"/>
        <w:tabs>
          <w:tab w:leader="none" w:pos="1725"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The payment of a bonus to a Covered Employee with respect to a performance period shall be conditioned upon the Covered Employee’s employment by the Company on the last day of the performance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Compensation Committee may make exceptions to this requirement, in its sole discretion, including, without limitation, in the case of a Covered Employee’s termination of employment, retirement, death or disability.</w:t>
      </w:r>
    </w:p>
    <w:p>
      <w:pPr>
        <w:spacing w:after="0" w:line="182" w:lineRule="exact"/>
        <w:rPr>
          <w:rFonts w:ascii="Arial" w:cs="Arial" w:eastAsia="Arial" w:hAnsi="Arial"/>
          <w:sz w:val="18"/>
          <w:szCs w:val="18"/>
          <w:color w:val="auto"/>
        </w:rPr>
      </w:pPr>
    </w:p>
    <w:p>
      <w:pPr>
        <w:ind w:left="440" w:hanging="432"/>
        <w:spacing w:after="0"/>
        <w:tabs>
          <w:tab w:leader="none" w:pos="4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and Claw-Back Provisions</w:t>
      </w:r>
    </w:p>
    <w:p>
      <w:pPr>
        <w:spacing w:after="0" w:line="229"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7"/>
          <w:szCs w:val="17"/>
          <w:color w:val="auto"/>
        </w:rPr>
        <w:t>The Compensation Committee may provide that any bonuses paid under the Bonus Plan shall be subject to the provisions of any claw-back policy implemented by the Company, including, without limitation, any claw-back policy adopted to comply with the requirements of the Dodd-Frank Wall Street Reform and Consumer Protection Act and any rules, regulations or interpretations thereunder, to the extent set forth in such claw-back policy.</w:t>
      </w:r>
    </w:p>
    <w:p>
      <w:pPr>
        <w:spacing w:after="0" w:line="162" w:lineRule="exact"/>
        <w:rPr>
          <w:sz w:val="20"/>
          <w:szCs w:val="20"/>
          <w:color w:val="auto"/>
        </w:rPr>
      </w:pPr>
    </w:p>
    <w:p>
      <w:pPr>
        <w:ind w:left="440" w:hanging="432"/>
        <w:spacing w:after="0"/>
        <w:tabs>
          <w:tab w:leader="none" w:pos="4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229" w:lineRule="exact"/>
        <w:rPr>
          <w:rFonts w:ascii="Arial" w:cs="Arial" w:eastAsia="Arial" w:hAnsi="Arial"/>
          <w:sz w:val="18"/>
          <w:szCs w:val="18"/>
          <w:b w:val="1"/>
          <w:bCs w:val="1"/>
          <w:color w:val="auto"/>
        </w:rPr>
      </w:pPr>
    </w:p>
    <w:p>
      <w:pPr>
        <w:jc w:val="both"/>
        <w:ind w:firstLine="885"/>
        <w:spacing w:after="0" w:line="264" w:lineRule="auto"/>
        <w:tabs>
          <w:tab w:leader="none" w:pos="1725" w:val="left"/>
        </w:tabs>
        <w:numPr>
          <w:ilvl w:val="1"/>
          <w:numId w:val="60"/>
        </w:numPr>
        <w:rPr>
          <w:rFonts w:ascii="Arial" w:cs="Arial" w:eastAsia="Arial" w:hAnsi="Arial"/>
          <w:sz w:val="18"/>
          <w:szCs w:val="18"/>
          <w:color w:val="auto"/>
        </w:rPr>
      </w:pPr>
      <w:r>
        <w:rPr>
          <w:rFonts w:ascii="Arial" w:cs="Arial" w:eastAsia="Arial" w:hAnsi="Arial"/>
          <w:sz w:val="18"/>
          <w:szCs w:val="18"/>
          <w:color w:val="auto"/>
        </w:rPr>
        <w:t>Neither the establishment of the Bonus Plan nor the selection of any individual as a Covered Employee shall give any individual any right to be retained in the employ of the Company or any subsidiary thereof, or any right whatsoever under the Bonus Plan other than to receive bonus payments awarded by the Compensation Committee.</w:t>
      </w:r>
    </w:p>
    <w:p>
      <w:pPr>
        <w:spacing w:after="0" w:line="181" w:lineRule="exact"/>
        <w:rPr>
          <w:rFonts w:ascii="Arial" w:cs="Arial" w:eastAsia="Arial" w:hAnsi="Arial"/>
          <w:sz w:val="18"/>
          <w:szCs w:val="18"/>
          <w:color w:val="auto"/>
        </w:rPr>
      </w:pPr>
    </w:p>
    <w:p>
      <w:pPr>
        <w:ind w:firstLine="885"/>
        <w:spacing w:after="0" w:line="342" w:lineRule="auto"/>
        <w:tabs>
          <w:tab w:leader="none" w:pos="1735" w:val="left"/>
        </w:tabs>
        <w:numPr>
          <w:ilvl w:val="1"/>
          <w:numId w:val="60"/>
        </w:numPr>
        <w:rPr>
          <w:rFonts w:ascii="Arial" w:cs="Arial" w:eastAsia="Arial" w:hAnsi="Arial"/>
          <w:sz w:val="16"/>
          <w:szCs w:val="16"/>
          <w:color w:val="auto"/>
        </w:rPr>
      </w:pPr>
      <w:r>
        <w:rPr>
          <w:rFonts w:ascii="Arial" w:cs="Arial" w:eastAsia="Arial" w:hAnsi="Arial"/>
          <w:sz w:val="16"/>
          <w:szCs w:val="16"/>
          <w:color w:val="auto"/>
        </w:rPr>
        <w:t>No member of the Board of Directors of the Company or the Compensation Committee shall be liable to any individual in respect of the Bonus Plan for any act or omission of such member, any other member, or any officer, agent or employee of the Company or any of its subsidiaries.</w:t>
      </w:r>
    </w:p>
    <w:p>
      <w:pPr>
        <w:spacing w:after="0" w:line="123" w:lineRule="exact"/>
        <w:rPr>
          <w:rFonts w:ascii="Arial" w:cs="Arial" w:eastAsia="Arial" w:hAnsi="Arial"/>
          <w:sz w:val="16"/>
          <w:szCs w:val="16"/>
          <w:color w:val="auto"/>
        </w:rPr>
      </w:pPr>
    </w:p>
    <w:p>
      <w:pPr>
        <w:ind w:firstLine="885"/>
        <w:spacing w:after="0" w:line="277" w:lineRule="auto"/>
        <w:tabs>
          <w:tab w:leader="none" w:pos="1725"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Company and its subsidiaries shall be entitled to withhold such amounts as may be required by federal, state or local law from all bonus payments under the Bonus Plan.</w:t>
      </w:r>
    </w:p>
    <w:p>
      <w:pPr>
        <w:spacing w:after="0" w:line="170" w:lineRule="exact"/>
        <w:rPr>
          <w:rFonts w:ascii="Arial" w:cs="Arial" w:eastAsia="Arial" w:hAnsi="Arial"/>
          <w:sz w:val="18"/>
          <w:szCs w:val="18"/>
          <w:color w:val="auto"/>
        </w:rPr>
      </w:pPr>
    </w:p>
    <w:p>
      <w:pPr>
        <w:ind w:firstLine="885"/>
        <w:spacing w:after="0" w:line="277" w:lineRule="auto"/>
        <w:tabs>
          <w:tab w:leader="none" w:pos="1735" w:val="left"/>
        </w:tabs>
        <w:numPr>
          <w:ilvl w:val="1"/>
          <w:numId w:val="60"/>
        </w:numPr>
        <w:rPr>
          <w:rFonts w:ascii="Arial" w:cs="Arial" w:eastAsia="Arial" w:hAnsi="Arial"/>
          <w:sz w:val="18"/>
          <w:szCs w:val="18"/>
          <w:color w:val="auto"/>
        </w:rPr>
      </w:pPr>
      <w:r>
        <w:rPr>
          <w:rFonts w:ascii="Arial" w:cs="Arial" w:eastAsia="Arial" w:hAnsi="Arial"/>
          <w:sz w:val="18"/>
          <w:szCs w:val="18"/>
          <w:color w:val="auto"/>
        </w:rPr>
        <w:t>To the extent not preempted by federal law, the Bonus Plan shall be governed and construed in accordance with the internal laws of the State of Delaware, without regard to the principles of conflicts of law thereof or any other jurisdiction.</w:t>
      </w:r>
    </w:p>
    <w:p>
      <w:pPr>
        <w:spacing w:after="0" w:line="170" w:lineRule="exact"/>
        <w:rPr>
          <w:rFonts w:ascii="Arial" w:cs="Arial" w:eastAsia="Arial" w:hAnsi="Arial"/>
          <w:sz w:val="18"/>
          <w:szCs w:val="18"/>
          <w:color w:val="auto"/>
        </w:rPr>
      </w:pPr>
    </w:p>
    <w:p>
      <w:pPr>
        <w:jc w:val="both"/>
        <w:ind w:firstLine="885"/>
        <w:spacing w:after="0" w:line="268" w:lineRule="auto"/>
        <w:tabs>
          <w:tab w:leader="none" w:pos="1725"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Bonus Plan is intended to meet the requirements of Section 409A of the Code and will be interpreted and construed in accordance with Section 409A of the Code and Department of Treasury Regulations and other interpretive guidance issued thereunder, including without limitation any such regulations or other guidance that may be issued after the Effective Date (as defined below) (collectively, “</w:t>
      </w:r>
      <w:r>
        <w:rPr>
          <w:rFonts w:ascii="Arial" w:cs="Arial" w:eastAsia="Arial" w:hAnsi="Arial"/>
          <w:sz w:val="17"/>
          <w:szCs w:val="17"/>
          <w:u w:val="single" w:color="auto"/>
          <w:color w:val="auto"/>
        </w:rPr>
        <w:t>Section 409A</w:t>
      </w:r>
      <w:r>
        <w:rPr>
          <w:rFonts w:ascii="Arial" w:cs="Arial" w:eastAsia="Arial" w:hAnsi="Arial"/>
          <w:sz w:val="17"/>
          <w:szCs w:val="17"/>
          <w:color w:val="auto"/>
        </w:rPr>
        <w:t>”). Each bonus payable pursuant to the Bonus Plan shall be intended to comply with, or be exempt from, the requirements of Section 409A such that the bonus will not be subject to any penalty tax imposed under Section 409A and, unless otherwise determined by the Compensation Committee, each bonus under the Bonus Plan shall be paid subject to the applicable Covered Employee’s continued employment through the date of payment of such bonus. Notwithstanding any provision of the Bonus Plan to the contrary, in the event that following the Effective Date the Company determines that any provision of the Bonus Plan could otherwise cause any person to be subject to the penalty taxes imposed under Section 409A, the Company may adopt such amendments to the Bonus Plan or adopt other policies and procedures (including amendments, policies and procedures with retroactive effect), or take any other actions, that the Company determines are necessary or appropriate to comply with the requirements of Section 409A and thereby avoid the application of any penalty taxes under Section 409A. Notwithstanding anything herein to the contrary, in no event shall any liability for failure to comply with the requirements of Section 409A be transferred from a Covered Employee or any other person to the Company or any of its affiliates, employees or agents pursuant to the terms of the Bonus Plan or otherwise.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7" w:name="page88"/>
    <w:bookmarkEnd w:id="87"/>
    <w:p>
      <w:pPr>
        <w:ind w:left="440" w:hanging="432"/>
        <w:spacing w:after="0"/>
        <w:tabs>
          <w:tab w:leader="none" w:pos="4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229"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The Board of Directors of the Company reserves the right to amend or terminate the Bonus Plan at any time in its sole discretion. Any amendments to the Bonus Plan shall require stockholder approval only to the extent required by any applicable law, rule or regulation.</w:t>
      </w:r>
    </w:p>
    <w:p>
      <w:pPr>
        <w:spacing w:after="0" w:line="166" w:lineRule="exact"/>
        <w:rPr>
          <w:sz w:val="20"/>
          <w:szCs w:val="20"/>
          <w:color w:val="auto"/>
        </w:rPr>
      </w:pPr>
    </w:p>
    <w:p>
      <w:pPr>
        <w:ind w:left="440" w:hanging="432"/>
        <w:spacing w:after="0"/>
        <w:tabs>
          <w:tab w:leader="none" w:pos="4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Approval</w:t>
      </w:r>
    </w:p>
    <w:p>
      <w:pPr>
        <w:spacing w:after="0" w:line="229" w:lineRule="exact"/>
        <w:rPr>
          <w:sz w:val="20"/>
          <w:szCs w:val="20"/>
          <w:color w:val="auto"/>
        </w:rPr>
      </w:pPr>
    </w:p>
    <w:p>
      <w:pPr>
        <w:ind w:right="20" w:firstLine="877"/>
        <w:spacing w:after="0" w:line="342" w:lineRule="auto"/>
        <w:rPr>
          <w:sz w:val="20"/>
          <w:szCs w:val="20"/>
          <w:color w:val="auto"/>
        </w:rPr>
      </w:pPr>
      <w:r>
        <w:rPr>
          <w:rFonts w:ascii="Arial" w:cs="Arial" w:eastAsia="Arial" w:hAnsi="Arial"/>
          <w:sz w:val="16"/>
          <w:szCs w:val="16"/>
          <w:color w:val="auto"/>
        </w:rPr>
        <w:t>No bonuses shall be paid under the Bonus Plan unless and until the Company’s stockholders shall have approved the Bonus Plan. The Bonus Plan will be submitted for the approval of the Company’s stockholders after the initial adoption of the Bonus Plan by the Board of Directors of the Company.</w:t>
      </w:r>
    </w:p>
    <w:p>
      <w:pPr>
        <w:spacing w:after="0" w:line="120" w:lineRule="exact"/>
        <w:rPr>
          <w:sz w:val="20"/>
          <w:szCs w:val="20"/>
          <w:color w:val="auto"/>
        </w:rPr>
      </w:pPr>
    </w:p>
    <w:p>
      <w:pPr>
        <w:ind w:left="440" w:hanging="432"/>
        <w:spacing w:after="0"/>
        <w:tabs>
          <w:tab w:leader="none" w:pos="4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Term of Bonus Plan</w:t>
      </w:r>
    </w:p>
    <w:p>
      <w:pPr>
        <w:spacing w:after="0" w:line="229"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7"/>
          <w:szCs w:val="17"/>
          <w:color w:val="auto"/>
        </w:rPr>
        <w:t>The Bonus Plan shall become effective as of the day immediately prior to the first date upon which common stock of the Company is listed (or approved for listing) upon notice of issuance on any securities exchange or designated (or approved for designation) upon notice of issuance as a national market security on an interdealer quotation system (the “</w:t>
      </w:r>
      <w:r>
        <w:rPr>
          <w:rFonts w:ascii="Arial" w:cs="Arial" w:eastAsia="Arial" w:hAnsi="Arial"/>
          <w:sz w:val="17"/>
          <w:szCs w:val="17"/>
          <w:u w:val="single" w:color="auto"/>
          <w:color w:val="auto"/>
        </w:rPr>
        <w:t>Effective Date</w:t>
      </w:r>
      <w:r>
        <w:rPr>
          <w:rFonts w:ascii="Arial" w:cs="Arial" w:eastAsia="Arial" w:hAnsi="Arial"/>
          <w:sz w:val="17"/>
          <w:szCs w:val="17"/>
          <w:color w:val="auto"/>
        </w:rPr>
        <w:t>”). The Bonus Plan shall expire on the earliest to occur of: (a) the first material modification of the Bonus Plan (as defined in Treasury Regulation Section 1.162-27(h)(1)(iii)); (b) the first meeting of the Company’s stockholders at which members of the Board of Directors of the Company are to be elected that occurs after the close of the third calendar year following the calendar year in which occurred the first registration of an equity security of the Company under Section 12 of the Securities Exchange Act of 1934, as amended; or (c) such other date, if any, on which the “reliance period” described under Treasury Regulation 1.162-27(f)(2) expires pursuant to the terms of Section 162(m) of the Code, and the rules, regulations and interpretations thereunder. The Bonus Plan is intended to be subject to the relief set forth in Treasury Regulation Section 1.162-27(f)(1) and shall be interpreted accordingly.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ind w:firstLine="877"/>
        <w:spacing w:after="0" w:line="277" w:lineRule="auto"/>
        <w:rPr>
          <w:sz w:val="20"/>
          <w:szCs w:val="20"/>
          <w:color w:val="auto"/>
        </w:rPr>
      </w:pPr>
      <w:r>
        <w:rPr>
          <w:rFonts w:ascii="Arial" w:cs="Arial" w:eastAsia="Arial" w:hAnsi="Arial"/>
          <w:sz w:val="18"/>
          <w:szCs w:val="18"/>
          <w:color w:val="auto"/>
        </w:rPr>
        <w:t>I hereby certify that the Bonus Plan was duly authorized, approved and adopted by the Board of Directors of Medpace Holdings, Inc. as of June 23, 2016, effective as of the Effective Date.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hereby certify that the Bonus Plan was approved by the stockholders of Medpace Holdings, Inc. as of June 23, 2016.</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/s/ Stephen P. Ewald</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Stephen P. Ewald</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General Counsel and Corporate Secretary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4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100" w:firstLine="877"/>
        <w:spacing w:after="0" w:line="286" w:lineRule="auto"/>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as of August 10, 2016 by and among Medpace Holdings,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Fifth Cinven Fund (No. 1) Limited Partnership, a Guernsey limited partnership, Fifth Cinven Fund (No. 2) Limited Partnership, a Guernsey limited partnership, Fifth Cinven Fund (No. 3) Limited Partnership, a Guernsey limited partnership, Fifth Cinven Fund (No. 4) Limited Partnership, a Guernsey limited partnership, Fifth Cinven Fund (No. 5) Limited Partnership, a Guernsey limited partnership, Fifth Cinven Fund (No.</w:t>
      </w:r>
    </w:p>
    <w:p>
      <w:pPr>
        <w:spacing w:after="0" w:line="2" w:lineRule="exact"/>
        <w:rPr>
          <w:sz w:val="20"/>
          <w:szCs w:val="20"/>
          <w:color w:val="auto"/>
        </w:rPr>
      </w:pPr>
    </w:p>
    <w:p>
      <w:pPr>
        <w:ind w:right="220" w:firstLine="8"/>
        <w:spacing w:after="0" w:line="255" w:lineRule="auto"/>
        <w:tabs>
          <w:tab w:leader="none" w:pos="1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Limited Partnership, a Guernsey limited partnership, Fifth Cinven Fund Co-Investment Partnership, a general partnership formed under the laws of England and Wales, and Fifth Cinven Fund FCP-SIF, a Luxembourg fond commun de placement (collectively, “</w:t>
      </w:r>
      <w:r>
        <w:rPr>
          <w:rFonts w:ascii="Arial" w:cs="Arial" w:eastAsia="Arial" w:hAnsi="Arial"/>
          <w:sz w:val="18"/>
          <w:szCs w:val="18"/>
          <w:b w:val="1"/>
          <w:bCs w:val="1"/>
          <w:i w:val="1"/>
          <w:iCs w:val="1"/>
          <w:color w:val="auto"/>
        </w:rPr>
        <w:t>Cinven</w:t>
      </w:r>
      <w:r>
        <w:rPr>
          <w:rFonts w:ascii="Arial" w:cs="Arial" w:eastAsia="Arial" w:hAnsi="Arial"/>
          <w:sz w:val="18"/>
          <w:szCs w:val="18"/>
          <w:color w:val="auto"/>
        </w:rPr>
        <w:t>”), and Dr. August J. Troendle (“</w:t>
      </w:r>
      <w:r>
        <w:rPr>
          <w:rFonts w:ascii="Arial" w:cs="Arial" w:eastAsia="Arial" w:hAnsi="Arial"/>
          <w:sz w:val="18"/>
          <w:szCs w:val="18"/>
          <w:b w:val="1"/>
          <w:bCs w:val="1"/>
          <w:i w:val="1"/>
          <w:iCs w:val="1"/>
          <w:color w:val="auto"/>
        </w:rPr>
        <w:t>Dr.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Troendle</w:t>
      </w:r>
      <w:r>
        <w:rPr>
          <w:rFonts w:ascii="Arial" w:cs="Arial" w:eastAsia="Arial" w:hAnsi="Arial"/>
          <w:sz w:val="18"/>
          <w:szCs w:val="18"/>
          <w:color w:val="auto"/>
        </w:rPr>
        <w:t>”) as of the date hereof.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p>
    <w:p>
      <w:pPr>
        <w:spacing w:after="0" w:line="229" w:lineRule="exact"/>
        <w:rPr>
          <w:sz w:val="20"/>
          <w:szCs w:val="20"/>
          <w:color w:val="auto"/>
        </w:rPr>
      </w:pPr>
    </w:p>
    <w:p>
      <w:pPr>
        <w:ind w:right="60" w:firstLine="877"/>
        <w:spacing w:after="0" w:line="277" w:lineRule="auto"/>
        <w:rPr>
          <w:sz w:val="20"/>
          <w:szCs w:val="20"/>
          <w:color w:val="auto"/>
        </w:rPr>
      </w:pPr>
      <w:r>
        <w:rPr>
          <w:rFonts w:ascii="Arial" w:cs="Arial" w:eastAsia="Arial" w:hAnsi="Arial"/>
          <w:sz w:val="18"/>
          <w:szCs w:val="18"/>
          <w:color w:val="auto"/>
        </w:rPr>
        <w:t>WHEREAS, the Company is contemplating an offer and sale of its shares of common stock, par value $0.01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such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to the public in an underwritten initial public offering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and</w:t>
      </w:r>
    </w:p>
    <w:p>
      <w:pPr>
        <w:spacing w:after="0" w:line="170" w:lineRule="exact"/>
        <w:rPr>
          <w:sz w:val="20"/>
          <w:szCs w:val="20"/>
          <w:color w:val="auto"/>
        </w:rPr>
      </w:pPr>
    </w:p>
    <w:p>
      <w:pPr>
        <w:ind w:right="360" w:firstLine="877"/>
        <w:spacing w:after="0" w:line="277" w:lineRule="auto"/>
        <w:rPr>
          <w:sz w:val="20"/>
          <w:szCs w:val="20"/>
          <w:color w:val="auto"/>
        </w:rPr>
      </w:pPr>
      <w:r>
        <w:rPr>
          <w:rFonts w:ascii="Arial" w:cs="Arial" w:eastAsia="Arial" w:hAnsi="Arial"/>
          <w:sz w:val="18"/>
          <w:szCs w:val="18"/>
          <w:color w:val="auto"/>
        </w:rPr>
        <w:t>WHEREAS, in connection with the IPO, the Company has agreed to grant to the Holders (as defined below) certain rights with respect to the registration of the Registrable Securities (as defined below) on the terms and conditions set forth herein.</w:t>
      </w:r>
    </w:p>
    <w:p>
      <w:pPr>
        <w:spacing w:after="0" w:line="170" w:lineRule="exact"/>
        <w:rPr>
          <w:sz w:val="20"/>
          <w:szCs w:val="20"/>
          <w:color w:val="auto"/>
        </w:rPr>
      </w:pPr>
    </w:p>
    <w:p>
      <w:pPr>
        <w:ind w:right="480" w:firstLine="877"/>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to this Agreement hereby agree as follows:</w:t>
      </w:r>
    </w:p>
    <w:p>
      <w:pPr>
        <w:spacing w:after="0" w:line="170" w:lineRule="exact"/>
        <w:rPr>
          <w:sz w:val="20"/>
          <w:szCs w:val="20"/>
          <w:color w:val="auto"/>
        </w:rPr>
      </w:pPr>
    </w:p>
    <w:p>
      <w:pPr>
        <w:ind w:left="880"/>
        <w:spacing w:after="0"/>
        <w:tabs>
          <w:tab w:leader="none" w:pos="22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Agreement, the following terms shall have the meanings specified in this</w:t>
      </w:r>
      <w:r>
        <w:rPr>
          <w:rFonts w:ascii="Arial" w:cs="Arial" w:eastAsia="Arial" w:hAnsi="Arial"/>
          <w:sz w:val="16"/>
          <w:szCs w:val="16"/>
          <w:u w:val="single" w:color="auto"/>
          <w:color w:val="auto"/>
        </w:rPr>
        <w:t xml:space="preserve"> Section 1</w:t>
      </w:r>
      <w:r>
        <w:rPr>
          <w:rFonts w:ascii="Arial" w:cs="Arial" w:eastAsia="Arial" w:hAnsi="Arial"/>
          <w:sz w:val="16"/>
          <w:szCs w:val="16"/>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Acquired Common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225" w:lineRule="exact"/>
        <w:rPr>
          <w:sz w:val="20"/>
          <w:szCs w:val="20"/>
          <w:color w:val="auto"/>
        </w:rPr>
      </w:pPr>
    </w:p>
    <w:p>
      <w:pPr>
        <w:ind w:right="380" w:firstLine="87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Investor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 and shall be deemed to include each such Person’s Affiliates, immediate family members, heirs, successors and assigns who may succeed to such Person as a Holder hereunder.</w:t>
      </w:r>
    </w:p>
    <w:p>
      <w:pPr>
        <w:spacing w:after="0" w:line="170" w:lineRule="exact"/>
        <w:rPr>
          <w:sz w:val="20"/>
          <w:szCs w:val="20"/>
          <w:color w:val="auto"/>
        </w:rPr>
      </w:pPr>
    </w:p>
    <w:p>
      <w:pPr>
        <w:ind w:right="440" w:firstLine="87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xml:space="preserve">” of any Person means any other Person controlled by, controlling or under common control with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and its Subsidiaries shall not be deemed to be Affiliates of any Holder. As used in this definition, “control” (including, with its correlative meanings, “controlling,” “controlled by” and “under common control with”) shall mean possession, directly or indirectly, of power to direct or cause the direction of management or policies (whether through ownership of securities, by contract or otherwise).</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Automatic Shelf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of the year on which national banking institutions in New York are open to the public for conducting business and are not required or authorized to close.</w:t>
      </w:r>
    </w:p>
    <w:p>
      <w:pPr>
        <w:spacing w:after="0" w:line="170" w:lineRule="exact"/>
        <w:rPr>
          <w:sz w:val="20"/>
          <w:szCs w:val="20"/>
          <w:color w:val="auto"/>
        </w:rPr>
      </w:pPr>
    </w:p>
    <w:p>
      <w:pPr>
        <w:ind w:right="140" w:firstLine="87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 Stock</w:t>
      </w:r>
      <w:r>
        <w:rPr>
          <w:rFonts w:ascii="Arial" w:cs="Arial" w:eastAsia="Arial" w:hAnsi="Arial"/>
          <w:sz w:val="17"/>
          <w:szCs w:val="17"/>
          <w:color w:val="auto"/>
        </w:rPr>
        <w:t>” means (i) with respect to any Person that is a corporation, any and all Shares, interests or equivalents in capital stock of such corporation (whether voting or nonvoting and whether common or preferred), (ii) with respect to any Person that is not a corporation, individual or governmental entity, any and all partnership, membership, limited liability company or other equity interests of such Person that confer on the holder thereof the right to receive a share of the profits and losses of, or the distribution of assets of the issuing Person, and (iii)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 xml:space="preserve">and all warrants, rights (including conversion and exchange rights) and options to purchase any security described in the clause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End of Suspension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2(d)(ii)</w:t>
      </w:r>
      <w:r>
        <w:rPr>
          <w:rFonts w:ascii="Arial" w:cs="Arial" w:eastAsia="Arial" w:hAnsi="Arial"/>
          <w:sz w:val="18"/>
          <w:szCs w:val="18"/>
          <w:color w:val="auto"/>
        </w:rPr>
        <w:t>.</w:t>
      </w:r>
    </w:p>
    <w:p>
      <w:pPr>
        <w:spacing w:after="0" w:line="225" w:lineRule="exact"/>
        <w:rPr>
          <w:sz w:val="20"/>
          <w:szCs w:val="20"/>
          <w:color w:val="auto"/>
        </w:rPr>
      </w:pPr>
    </w:p>
    <w:p>
      <w:pPr>
        <w:ind w:right="400" w:firstLine="87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 from time to time, or any successor federal law then in force, together with all rules and regulations promulgated thereunder.</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Free Writing Prospectus</w:t>
      </w:r>
      <w:r>
        <w:rPr>
          <w:rFonts w:ascii="Arial" w:cs="Arial" w:eastAsia="Arial" w:hAnsi="Arial"/>
          <w:sz w:val="18"/>
          <w:szCs w:val="18"/>
          <w:color w:val="auto"/>
        </w:rPr>
        <w:t>” means a free-writing prospectus, as defined in Rule 405.</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xml:space="preserve">” means Cinven, Dr. Troendle and any Additional Investor as set forth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who are the registered holders of Registrable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Long-Form Registrations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firstLine="87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MNPI</w:t>
      </w:r>
      <w:r>
        <w:rPr>
          <w:rFonts w:ascii="Arial" w:cs="Arial" w:eastAsia="Arial" w:hAnsi="Arial"/>
          <w:sz w:val="16"/>
          <w:szCs w:val="16"/>
          <w:color w:val="auto"/>
        </w:rPr>
        <w:t xml:space="preserve">” means material non-public information within the meaning of Regulation FD promulgated under the Exchange Act, which shall in any case include the receipt of the notice of a Demand Registration or Shelf Offering Notice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and the information contained in such notice.</w:t>
      </w:r>
    </w:p>
    <w:p>
      <w:pPr>
        <w:spacing w:after="0" w:line="124" w:lineRule="exact"/>
        <w:rPr>
          <w:sz w:val="20"/>
          <w:szCs w:val="20"/>
          <w:color w:val="auto"/>
        </w:rPr>
      </w:pPr>
    </w:p>
    <w:p>
      <w:pPr>
        <w:ind w:right="420" w:firstLine="87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225" w:lineRule="exact"/>
        <w:rPr>
          <w:sz w:val="20"/>
          <w:szCs w:val="20"/>
          <w:color w:val="auto"/>
        </w:rPr>
      </w:pPr>
    </w:p>
    <w:p>
      <w:pPr>
        <w:ind w:right="480" w:firstLine="87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 Offering</w:t>
      </w:r>
      <w:r>
        <w:rPr>
          <w:rFonts w:ascii="Arial" w:cs="Arial" w:eastAsia="Arial" w:hAnsi="Arial"/>
          <w:sz w:val="18"/>
          <w:szCs w:val="18"/>
          <w:color w:val="auto"/>
        </w:rPr>
        <w:t>” means any sale or distribution to the public of Capital Stock of the Company pursuant to an offering registered under the Securities Act, whether by the Company, by Holders and/or by any other holders of the Company’s Capital Stock.</w:t>
      </w:r>
    </w:p>
    <w:p>
      <w:pPr>
        <w:spacing w:after="0" w:line="170" w:lineRule="exact"/>
        <w:rPr>
          <w:sz w:val="20"/>
          <w:szCs w:val="20"/>
          <w:color w:val="auto"/>
        </w:rPr>
      </w:pPr>
    </w:p>
    <w:p>
      <w:pPr>
        <w:ind w:right="60" w:firstLine="87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Registrable Securities</w:t>
      </w:r>
      <w:r>
        <w:rPr>
          <w:rFonts w:ascii="Arial" w:cs="Arial" w:eastAsia="Arial" w:hAnsi="Arial"/>
          <w:sz w:val="17"/>
          <w:szCs w:val="17"/>
          <w:color w:val="auto"/>
        </w:rPr>
        <w:t xml:space="preserve">” means (i) Common Stock, (ii) any common Capital Stock of the Company or of any Subsidiary of the Company issued or issuable with respect to the securities referred to in clause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above by way of dividend, distribution, split or combination of securities, or any recapitalization, merger, consolidation or other reorganization, and (iii) any other Shares owned or acquired after the date hereof by Persons that are the registered holders of securities described in clauses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As to any particular Registrable Securities owned by any Person, such securities shall cease to be Registrable Securities on the date such securities have been (a) sold or distributed pursuant to a Public Offering, (b) sold in compliance with Rule 144 following the consummation of the IPO or (c) repurchased by the Company or a Subsidiary of the Company. For purposes of this Agreement, a Person shall be deemed to be a Holder, and the Registrable Securities shall be deemed to be in existence, whenever such Person has the right to acquire, directly or indirectly, such Registrable Securities (upon conversion or exercise in connection with a transfer of securities or otherwise, but disregarding any restrictions or limitations upon the exercise of such right), whether or not such acquisition has actually been effected, and such Person shall be entitled to exercise the rights of a Holder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a Holder may only request that Registrable Securities in the form of Capital Stock of the Company that is registered or to be registered as a class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1" w:name="page92"/>
    <w:bookmarkEnd w:id="91"/>
    <w:p>
      <w:pPr>
        <w:jc w:val="both"/>
        <w:ind w:right="260"/>
        <w:spacing w:after="0" w:line="312" w:lineRule="auto"/>
        <w:rPr>
          <w:sz w:val="20"/>
          <w:szCs w:val="20"/>
          <w:color w:val="auto"/>
        </w:rPr>
      </w:pPr>
      <w:r>
        <w:rPr>
          <w:rFonts w:ascii="Arial" w:cs="Arial" w:eastAsia="Arial" w:hAnsi="Arial"/>
          <w:sz w:val="16"/>
          <w:szCs w:val="16"/>
          <w:color w:val="auto"/>
        </w:rPr>
        <w:t>under Section 12 of the Exchange Act be registered pursuant to this Agreement. Notwithstanding the foregoing, with the consent of the Company and the Holders, any Registrable Securities held by any Person that may be sold under Rule 144(b)(1)(i) without limitation under any other of the requirements of Rule 144 (including the aggregation rules thereof) shall not be deemed to be Registrable Securities upon notice from the Company to such Person.</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6(a)</w:t>
      </w:r>
      <w:r>
        <w:rPr>
          <w:rFonts w:ascii="Arial" w:cs="Arial" w:eastAsia="Arial" w:hAnsi="Arial"/>
          <w:sz w:val="18"/>
          <w:szCs w:val="18"/>
          <w:color w:val="auto"/>
        </w:rPr>
        <w:t>.</w:t>
      </w:r>
    </w:p>
    <w:p>
      <w:pPr>
        <w:spacing w:after="0" w:line="225" w:lineRule="exact"/>
        <w:rPr>
          <w:sz w:val="20"/>
          <w:szCs w:val="20"/>
          <w:color w:val="auto"/>
        </w:rPr>
      </w:pPr>
    </w:p>
    <w:p>
      <w:pPr>
        <w:ind w:right="480" w:firstLine="87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Rule 144</w:t>
      </w:r>
      <w:r>
        <w:rPr>
          <w:rFonts w:ascii="Arial" w:cs="Arial" w:eastAsia="Arial" w:hAnsi="Arial"/>
          <w:sz w:val="16"/>
          <w:szCs w:val="16"/>
          <w:color w:val="auto"/>
        </w:rPr>
        <w:t>,” “</w:t>
      </w:r>
      <w:r>
        <w:rPr>
          <w:rFonts w:ascii="Arial" w:cs="Arial" w:eastAsia="Arial" w:hAnsi="Arial"/>
          <w:sz w:val="16"/>
          <w:szCs w:val="16"/>
          <w:b w:val="1"/>
          <w:bCs w:val="1"/>
          <w:i w:val="1"/>
          <w:iCs w:val="1"/>
          <w:color w:val="auto"/>
        </w:rPr>
        <w:t>Rule 158</w:t>
      </w:r>
      <w:r>
        <w:rPr>
          <w:rFonts w:ascii="Arial" w:cs="Arial" w:eastAsia="Arial" w:hAnsi="Arial"/>
          <w:sz w:val="16"/>
          <w:szCs w:val="16"/>
          <w:color w:val="auto"/>
        </w:rPr>
        <w:t>,” “</w:t>
      </w:r>
      <w:r>
        <w:rPr>
          <w:rFonts w:ascii="Arial" w:cs="Arial" w:eastAsia="Arial" w:hAnsi="Arial"/>
          <w:sz w:val="16"/>
          <w:szCs w:val="16"/>
          <w:b w:val="1"/>
          <w:bCs w:val="1"/>
          <w:i w:val="1"/>
          <w:iCs w:val="1"/>
          <w:color w:val="auto"/>
        </w:rPr>
        <w:t>Rule 405</w:t>
      </w:r>
      <w:r>
        <w:rPr>
          <w:rFonts w:ascii="Arial" w:cs="Arial" w:eastAsia="Arial" w:hAnsi="Arial"/>
          <w:sz w:val="16"/>
          <w:szCs w:val="16"/>
          <w:color w:val="auto"/>
        </w:rPr>
        <w:t>” and “</w:t>
      </w:r>
      <w:r>
        <w:rPr>
          <w:rFonts w:ascii="Arial" w:cs="Arial" w:eastAsia="Arial" w:hAnsi="Arial"/>
          <w:sz w:val="16"/>
          <w:szCs w:val="16"/>
          <w:b w:val="1"/>
          <w:bCs w:val="1"/>
          <w:i w:val="1"/>
          <w:iCs w:val="1"/>
          <w:color w:val="auto"/>
        </w:rPr>
        <w:t>Rule 415</w:t>
      </w:r>
      <w:r>
        <w:rPr>
          <w:rFonts w:ascii="Arial" w:cs="Arial" w:eastAsia="Arial" w:hAnsi="Arial"/>
          <w:sz w:val="16"/>
          <w:szCs w:val="16"/>
          <w:color w:val="auto"/>
        </w:rPr>
        <w:t>” mean, in each case, such rule promulgated under the Securities Act (or any successor provision) by the Securities and Exchange Commission, as the same shall be amended from time to time, or any successor rule then in force.</w:t>
      </w:r>
    </w:p>
    <w:p>
      <w:pPr>
        <w:spacing w:after="0" w:line="124" w:lineRule="exact"/>
        <w:rPr>
          <w:sz w:val="20"/>
          <w:szCs w:val="20"/>
          <w:color w:val="auto"/>
        </w:rPr>
      </w:pPr>
    </w:p>
    <w:p>
      <w:pPr>
        <w:ind w:right="200" w:firstLine="87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 of Investors</w:t>
      </w:r>
      <w:r>
        <w:rPr>
          <w:rFonts w:ascii="Arial" w:cs="Arial" w:eastAsia="Arial" w:hAnsi="Arial"/>
          <w:sz w:val="18"/>
          <w:szCs w:val="18"/>
          <w:color w:val="auto"/>
        </w:rPr>
        <w:t>” means the schedule attached to this Agreement entitled “Schedule of Investors,” which shall reflect each Holder from time to time party to this Agreement and each such Holder’s address.</w:t>
      </w:r>
    </w:p>
    <w:p>
      <w:pPr>
        <w:spacing w:after="0" w:line="170" w:lineRule="exact"/>
        <w:rPr>
          <w:sz w:val="20"/>
          <w:szCs w:val="20"/>
          <w:color w:val="auto"/>
        </w:rPr>
      </w:pPr>
    </w:p>
    <w:p>
      <w:pPr>
        <w:ind w:right="120" w:firstLine="87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from time to time, or any successor federal law then in force, together with all rules and regulations promulgated thereunder.</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Offering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2(c)(iii)</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Offering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2(c)(iii)</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Offering Request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2(c)(iii)</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Registrable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2(c)(iii)</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Registration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Registration Filing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2(c)(ii)</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Registration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2(c)(i)</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Registration Participation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2(c)(i)</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Registration Request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2(c)(i)</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2(c)(i)</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Short-Form Registrations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jc w:val="both"/>
        <w:ind w:firstLine="87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the Company, any corporation, limited liability company, partnership, association or other business entity of which (i) if a corporation, a majority of the total voting power of Capital Stock of such Person entitled (without regard to the occurrence of any contingency) to vote in the election of directors is at the time owned or controlled, directly or indirectly, by the Company, or (ii) if a limited liability company, partnership, association or other business entity, either (x) a majority of the Capital Stock of such Person entitled (without regard to the occurrence of any contingency) to vote in the election of managers, general partners or other oversight board vested with the authority to direct management of such Person is at the time owned or controlled, directly or indirectly, by the Company or (y) the Company or one of its Subsidiaries is the sole manager or general partner of such Person.</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Suspension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2(d)(ii)</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Suspension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2(d)(ii)</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92" w:name="page93"/>
    <w:bookmarkEnd w:id="92"/>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Suspension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2(d)(i)</w:t>
      </w:r>
      <w:r>
        <w:rPr>
          <w:rFonts w:ascii="Arial" w:cs="Arial" w:eastAsia="Arial" w:hAnsi="Arial"/>
          <w:sz w:val="18"/>
          <w:szCs w:val="18"/>
          <w:color w:val="auto"/>
        </w:rPr>
        <w: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Takedown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2(c)(iii)</w:t>
      </w:r>
      <w:r>
        <w:rPr>
          <w:rFonts w:ascii="Arial" w:cs="Arial" w:eastAsia="Arial" w:hAnsi="Arial"/>
          <w:sz w:val="18"/>
          <w:szCs w:val="18"/>
          <w:color w:val="auto"/>
        </w:rPr>
        <w: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Violation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WKSI</w:t>
      </w:r>
      <w:r>
        <w:rPr>
          <w:rFonts w:ascii="Arial" w:cs="Arial" w:eastAsia="Arial" w:hAnsi="Arial"/>
          <w:sz w:val="18"/>
          <w:szCs w:val="18"/>
          <w:color w:val="auto"/>
        </w:rPr>
        <w:t>” means a “well-known seasoned issuer” as defined under Rule 405.</w:t>
      </w:r>
    </w:p>
    <w:p>
      <w:pPr>
        <w:spacing w:after="0" w:line="225" w:lineRule="exact"/>
        <w:rPr>
          <w:sz w:val="20"/>
          <w:szCs w:val="20"/>
          <w:color w:val="auto"/>
        </w:rPr>
      </w:pPr>
    </w:p>
    <w:p>
      <w:pPr>
        <w:ind w:left="860"/>
        <w:spacing w:after="0"/>
        <w:tabs>
          <w:tab w:leader="none" w:pos="22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Demand Registrations</w:t>
      </w:r>
      <w:r>
        <w:rPr>
          <w:rFonts w:ascii="Arial" w:cs="Arial" w:eastAsia="Arial" w:hAnsi="Arial"/>
          <w:sz w:val="16"/>
          <w:szCs w:val="16"/>
          <w:color w:val="auto"/>
        </w:rPr>
        <w:t>.</w:t>
      </w:r>
    </w:p>
    <w:p>
      <w:pPr>
        <w:spacing w:after="0" w:line="225" w:lineRule="exact"/>
        <w:rPr>
          <w:sz w:val="20"/>
          <w:szCs w:val="20"/>
          <w:color w:val="auto"/>
        </w:rPr>
      </w:pPr>
    </w:p>
    <w:p>
      <w:pPr>
        <w:ind w:left="-20" w:firstLine="885"/>
        <w:spacing w:after="0" w:line="269" w:lineRule="auto"/>
        <w:tabs>
          <w:tab w:leader="none" w:pos="170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Requests for Registration</w:t>
      </w:r>
      <w:r>
        <w:rPr>
          <w:rFonts w:ascii="Arial" w:cs="Arial" w:eastAsia="Arial" w:hAnsi="Arial"/>
          <w:sz w:val="17"/>
          <w:szCs w:val="17"/>
          <w:color w:val="auto"/>
        </w:rPr>
        <w:t>. Subject to the terms and conditions of this Agreement, each Holder may request registration under the Securities Act of all or any portion of their Registrable Securities on Form S-1 or any similar long-form registration (“</w:t>
      </w:r>
      <w:r>
        <w:rPr>
          <w:rFonts w:ascii="Arial" w:cs="Arial" w:eastAsia="Arial" w:hAnsi="Arial"/>
          <w:sz w:val="17"/>
          <w:szCs w:val="17"/>
          <w:b w:val="1"/>
          <w:bCs w:val="1"/>
          <w:i w:val="1"/>
          <w:iCs w:val="1"/>
          <w:color w:val="auto"/>
        </w:rPr>
        <w:t>Long-Form Registrations</w:t>
      </w:r>
      <w:r>
        <w:rPr>
          <w:rFonts w:ascii="Arial" w:cs="Arial" w:eastAsia="Arial" w:hAnsi="Arial"/>
          <w:sz w:val="17"/>
          <w:szCs w:val="17"/>
          <w:color w:val="auto"/>
        </w:rPr>
        <w:t>”), and each Holder may request registration under the Securities Act of all or any portion of their Registrable Securities on Form S-3 or any similar short-form registration (“</w:t>
      </w:r>
      <w:r>
        <w:rPr>
          <w:rFonts w:ascii="Arial" w:cs="Arial" w:eastAsia="Arial" w:hAnsi="Arial"/>
          <w:sz w:val="17"/>
          <w:szCs w:val="17"/>
          <w:b w:val="1"/>
          <w:bCs w:val="1"/>
          <w:i w:val="1"/>
          <w:iCs w:val="1"/>
          <w:color w:val="auto"/>
        </w:rPr>
        <w:t>Short-Form Registrations</w:t>
      </w:r>
      <w:r>
        <w:rPr>
          <w:rFonts w:ascii="Arial" w:cs="Arial" w:eastAsia="Arial" w:hAnsi="Arial"/>
          <w:sz w:val="17"/>
          <w:szCs w:val="17"/>
          <w:color w:val="auto"/>
        </w:rPr>
        <w:t xml:space="preserve">”) if available. All registrations requested pursuant to this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are referred to herein as “</w:t>
      </w:r>
      <w:r>
        <w:rPr>
          <w:rFonts w:ascii="Arial" w:cs="Arial" w:eastAsia="Arial" w:hAnsi="Arial"/>
          <w:sz w:val="17"/>
          <w:szCs w:val="17"/>
          <w:b w:val="1"/>
          <w:bCs w:val="1"/>
          <w:i w:val="1"/>
          <w:iCs w:val="1"/>
          <w:color w:val="auto"/>
        </w:rPr>
        <w:t>Demand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Registrations</w:t>
      </w:r>
      <w:r>
        <w:rPr>
          <w:rFonts w:ascii="Arial" w:cs="Arial" w:eastAsia="Arial" w:hAnsi="Arial"/>
          <w:sz w:val="17"/>
          <w:szCs w:val="17"/>
          <w:color w:val="auto"/>
        </w:rPr>
        <w:t>.” The Holder making a Demand Registration may request that the registration be made pursuant to Rule 415 under the Securities Act (a “</w:t>
      </w:r>
      <w:r>
        <w:rPr>
          <w:rFonts w:ascii="Arial" w:cs="Arial" w:eastAsia="Arial" w:hAnsi="Arial"/>
          <w:sz w:val="17"/>
          <w:szCs w:val="17"/>
          <w:b w:val="1"/>
          <w:bCs w:val="1"/>
          <w:i w:val="1"/>
          <w:iCs w:val="1"/>
          <w:color w:val="auto"/>
        </w:rPr>
        <w:t>Shelf Registration</w:t>
      </w:r>
      <w:r>
        <w:rPr>
          <w:rFonts w:ascii="Arial" w:cs="Arial" w:eastAsia="Arial" w:hAnsi="Arial"/>
          <w:sz w:val="17"/>
          <w:szCs w:val="17"/>
          <w:color w:val="auto"/>
        </w:rPr>
        <w:t>”) and, if the Company is a WKSI at the time any request for a Demand Registration is submitted to the Company, that such Shelf Registration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automatic shelf registration statement (as defined in Rule 405 under the Securities Act) (an “</w:t>
      </w:r>
      <w:r>
        <w:rPr>
          <w:rFonts w:ascii="Arial" w:cs="Arial" w:eastAsia="Arial" w:hAnsi="Arial"/>
          <w:sz w:val="17"/>
          <w:szCs w:val="17"/>
          <w:b w:val="1"/>
          <w:bCs w:val="1"/>
          <w:i w:val="1"/>
          <w:iCs w:val="1"/>
          <w:color w:val="auto"/>
        </w:rPr>
        <w:t>Automatic Shelf Registration Statement</w:t>
      </w:r>
      <w:r>
        <w:rPr>
          <w:rFonts w:ascii="Arial" w:cs="Arial" w:eastAsia="Arial" w:hAnsi="Arial"/>
          <w:sz w:val="17"/>
          <w:szCs w:val="17"/>
          <w:color w:val="auto"/>
        </w:rPr>
        <w:t xml:space="preserve">”). Except to the extent that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applies, promptly upon receipt of a request for a Demand Registration (but in no event more than five Business Days thereafter), the Company shall give written notice of the Demand Registration to all other Holders. Notwithstanding the foregoing, other than delivery to each Holder of the written notice in accordance with this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the Company shall not be required to take any action that would otherwise be required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xml:space="preserve"> if such action would violate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hereof or any similar provision contained in the underwriting agreement entered into in connection with any underwritten Public Offering.</w:t>
      </w:r>
    </w:p>
    <w:p>
      <w:pPr>
        <w:spacing w:after="0" w:line="179" w:lineRule="exact"/>
        <w:rPr>
          <w:rFonts w:ascii="Arial" w:cs="Arial" w:eastAsia="Arial" w:hAnsi="Arial"/>
          <w:sz w:val="17"/>
          <w:szCs w:val="17"/>
          <w:color w:val="auto"/>
        </w:rPr>
      </w:pPr>
    </w:p>
    <w:p>
      <w:pPr>
        <w:ind w:left="-20" w:right="20" w:firstLine="885"/>
        <w:spacing w:after="0" w:line="255" w:lineRule="auto"/>
        <w:tabs>
          <w:tab w:leader="none" w:pos="171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Demand Registrations</w:t>
      </w:r>
      <w:r>
        <w:rPr>
          <w:rFonts w:ascii="Arial" w:cs="Arial" w:eastAsia="Arial" w:hAnsi="Arial"/>
          <w:sz w:val="18"/>
          <w:szCs w:val="18"/>
          <w:color w:val="auto"/>
        </w:rPr>
        <w:t>. Each Holder shall be entitled to request an unlimited number of Demand Registrations in which the Company shall pay all Registration Expenses, regardless of whether any registration statement is filed or any such Demand Registration is consummated. Demand Registrations shall be Short-Form Registrations whenever the Company is permitted to use any applicable short form and the managing underwriters (if any) agree to the use of a Short-Form Registration. After the Company has become subject to the reporting requirements of the Exchange Act, the Company shall use its reasonable best efforts to make Short-Form Registrations available for the sale of Registrable Securities. All Long-Form Registrations shall be underwritten registrations unless otherwise approved by the applicable Holder.</w:t>
      </w:r>
    </w:p>
    <w:p>
      <w:pPr>
        <w:spacing w:after="0" w:line="193" w:lineRule="exact"/>
        <w:rPr>
          <w:rFonts w:ascii="Arial" w:cs="Arial" w:eastAsia="Arial" w:hAnsi="Arial"/>
          <w:sz w:val="18"/>
          <w:szCs w:val="18"/>
          <w:color w:val="auto"/>
        </w:rPr>
      </w:pPr>
    </w:p>
    <w:p>
      <w:pPr>
        <w:ind w:left="1720" w:hanging="855"/>
        <w:spacing w:after="0"/>
        <w:tabs>
          <w:tab w:leader="none" w:pos="17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Shelf Registrations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60" w:right="60" w:firstLine="816"/>
        <w:spacing w:after="0" w:line="263" w:lineRule="auto"/>
        <w:tabs>
          <w:tab w:leader="none" w:pos="2522" w:val="left"/>
        </w:tabs>
        <w:numPr>
          <w:ilvl w:val="1"/>
          <w:numId w:val="65"/>
        </w:numPr>
        <w:rPr>
          <w:rFonts w:ascii="Arial" w:cs="Arial" w:eastAsia="Arial" w:hAnsi="Arial"/>
          <w:sz w:val="21"/>
          <w:szCs w:val="21"/>
          <w:color w:val="auto"/>
        </w:rPr>
      </w:pPr>
      <w:r>
        <w:rPr>
          <w:rFonts w:ascii="Arial" w:cs="Arial" w:eastAsia="Arial" w:hAnsi="Arial"/>
          <w:sz w:val="17"/>
          <w:szCs w:val="17"/>
          <w:color w:val="auto"/>
        </w:rPr>
        <w:t>Subject to the availability of required financial information, as promptly as practicable after the Company receives written notice of a request for a Shelf Registration from a Holder (a “</w:t>
      </w:r>
      <w:r>
        <w:rPr>
          <w:rFonts w:ascii="Arial" w:cs="Arial" w:eastAsia="Arial" w:hAnsi="Arial"/>
          <w:sz w:val="17"/>
          <w:szCs w:val="17"/>
          <w:b w:val="1"/>
          <w:bCs w:val="1"/>
          <w:i w:val="1"/>
          <w:iCs w:val="1"/>
          <w:color w:val="auto"/>
        </w:rPr>
        <w:t>Shelf Registration Request</w:t>
      </w:r>
      <w:r>
        <w:rPr>
          <w:rFonts w:ascii="Arial" w:cs="Arial" w:eastAsia="Arial" w:hAnsi="Arial"/>
          <w:sz w:val="17"/>
          <w:szCs w:val="17"/>
          <w:color w:val="auto"/>
        </w:rPr>
        <w:t>”) and the expiration of the Shelf Registration Participation Deadline (as defined below), the Company shall file with the Securities and Exchange Commission a registration statement under the Securities Act for the Shelf Registration (a “</w:t>
      </w:r>
      <w:r>
        <w:rPr>
          <w:rFonts w:ascii="Arial" w:cs="Arial" w:eastAsia="Arial" w:hAnsi="Arial"/>
          <w:sz w:val="17"/>
          <w:szCs w:val="17"/>
          <w:b w:val="1"/>
          <w:bCs w:val="1"/>
          <w:i w:val="1"/>
          <w:iCs w:val="1"/>
          <w:color w:val="auto"/>
        </w:rPr>
        <w:t>Shelf Registration Statement</w:t>
      </w:r>
      <w:r>
        <w:rPr>
          <w:rFonts w:ascii="Arial" w:cs="Arial" w:eastAsia="Arial" w:hAnsi="Arial"/>
          <w:sz w:val="17"/>
          <w:szCs w:val="17"/>
          <w:color w:val="auto"/>
        </w:rPr>
        <w:t>”). As promptly as practicable, but no later than two Business Days after receipt of a Shelf Registration Request, the Company shall give written notice (the “</w:t>
      </w:r>
      <w:r>
        <w:rPr>
          <w:rFonts w:ascii="Arial" w:cs="Arial" w:eastAsia="Arial" w:hAnsi="Arial"/>
          <w:sz w:val="17"/>
          <w:szCs w:val="17"/>
          <w:b w:val="1"/>
          <w:bCs w:val="1"/>
          <w:i w:val="1"/>
          <w:iCs w:val="1"/>
          <w:color w:val="auto"/>
        </w:rPr>
        <w:t>Shelf Registration Notice</w:t>
      </w:r>
      <w:r>
        <w:rPr>
          <w:rFonts w:ascii="Arial" w:cs="Arial" w:eastAsia="Arial" w:hAnsi="Arial"/>
          <w:sz w:val="17"/>
          <w:szCs w:val="17"/>
          <w:color w:val="auto"/>
        </w:rPr>
        <w:t xml:space="preserve">”) of such Shelf Registration Request to all other Holders. The Company, subject to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shall include in such Shelf Registration (and in all related registrations and qualifications under state blue sky laws) all Registrable Securities of each Holder with respect to which the Company has received a written request for inclusion therein within two Business Days after the Shelf Registration Notice was delivered (such deadline, the “</w:t>
      </w:r>
      <w:r>
        <w:rPr>
          <w:rFonts w:ascii="Arial" w:cs="Arial" w:eastAsia="Arial" w:hAnsi="Arial"/>
          <w:sz w:val="17"/>
          <w:szCs w:val="17"/>
          <w:b w:val="1"/>
          <w:bCs w:val="1"/>
          <w:i w:val="1"/>
          <w:iCs w:val="1"/>
          <w:color w:val="auto"/>
        </w:rPr>
        <w:t>Shelf 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Participation Deadline</w:t>
      </w:r>
      <w:r>
        <w:rPr>
          <w:rFonts w:ascii="Arial" w:cs="Arial" w:eastAsia="Arial" w:hAnsi="Arial"/>
          <w:sz w:val="17"/>
          <w:szCs w:val="17"/>
          <w:color w:val="auto"/>
        </w:rPr>
        <w:t>”). The Company shall use its reasonable best efforts to cause any Shelf Registration Statement filed in accordance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2(c)(i)</w:t>
      </w:r>
      <w:r>
        <w:rPr>
          <w:rFonts w:ascii="Arial" w:cs="Arial" w:eastAsia="Arial" w:hAnsi="Arial"/>
          <w:sz w:val="17"/>
          <w:szCs w:val="17"/>
          <w:color w:val="auto"/>
        </w:rPr>
        <w:t xml:space="preserve"> to be declared effective under the Securities Act as soon as practicable after the initial filing of such Shelf Registration Statement and, once effective, the Company shall cause such Shelf Registration Statement to remain continuously effective for such time period as is specified in the request by the Holders, but for no time period longer than the period ending on the earliest of (A) the date on which all Registrable Securities covered by such Shelf Registration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355" w:right="239" w:bottom="1440" w:gutter="0" w:footer="0" w:header="0"/>
        </w:sectPr>
      </w:pPr>
    </w:p>
    <w:bookmarkStart w:id="93" w:name="page94"/>
    <w:bookmarkEnd w:id="93"/>
    <w:p>
      <w:pPr>
        <w:ind w:right="80"/>
        <w:spacing w:after="0" w:line="277" w:lineRule="auto"/>
        <w:rPr>
          <w:sz w:val="20"/>
          <w:szCs w:val="20"/>
          <w:color w:val="auto"/>
        </w:rPr>
      </w:pPr>
      <w:r>
        <w:rPr>
          <w:rFonts w:ascii="Arial" w:cs="Arial" w:eastAsia="Arial" w:hAnsi="Arial"/>
          <w:sz w:val="18"/>
          <w:szCs w:val="18"/>
          <w:color w:val="auto"/>
        </w:rPr>
        <w:t>Statement have been sold pursuant to the Shelf Registration Statement and (B) the date as of which there are no longer any Registrable Securities covered by such Shelf Registration Statement in existence.</w:t>
      </w:r>
    </w:p>
    <w:p>
      <w:pPr>
        <w:spacing w:after="0" w:line="197" w:lineRule="exact"/>
        <w:rPr>
          <w:sz w:val="20"/>
          <w:szCs w:val="20"/>
          <w:color w:val="auto"/>
        </w:rPr>
      </w:pPr>
    </w:p>
    <w:p>
      <w:pPr>
        <w:ind w:firstLine="816"/>
        <w:spacing w:after="0" w:line="263" w:lineRule="auto"/>
        <w:tabs>
          <w:tab w:leader="none" w:pos="1722" w:val="left"/>
        </w:tabs>
        <w:numPr>
          <w:ilvl w:val="1"/>
          <w:numId w:val="66"/>
        </w:numPr>
        <w:rPr>
          <w:rFonts w:ascii="Arial" w:cs="Arial" w:eastAsia="Arial" w:hAnsi="Arial"/>
          <w:sz w:val="21"/>
          <w:szCs w:val="21"/>
          <w:color w:val="auto"/>
        </w:rPr>
      </w:pPr>
      <w:r>
        <w:rPr>
          <w:rFonts w:ascii="Arial" w:cs="Arial" w:eastAsia="Arial" w:hAnsi="Arial"/>
          <w:sz w:val="17"/>
          <w:szCs w:val="17"/>
          <w:color w:val="auto"/>
        </w:rPr>
        <w:t xml:space="preserve">Notwithstanding the rights of each Holder under </w:t>
      </w:r>
      <w:r>
        <w:rPr>
          <w:rFonts w:ascii="Arial" w:cs="Arial" w:eastAsia="Arial" w:hAnsi="Arial"/>
          <w:sz w:val="17"/>
          <w:szCs w:val="17"/>
          <w:u w:val="single" w:color="auto"/>
          <w:color w:val="auto"/>
        </w:rPr>
        <w:t>Section 2(c)(i)</w:t>
      </w:r>
      <w:r>
        <w:rPr>
          <w:rFonts w:ascii="Arial" w:cs="Arial" w:eastAsia="Arial" w:hAnsi="Arial"/>
          <w:sz w:val="17"/>
          <w:szCs w:val="17"/>
          <w:color w:val="auto"/>
        </w:rPr>
        <w:t xml:space="preserve">, subject to the availability of required financial information, as promptly as practicable after the Company becomes eligible to file a Shelf Registration Statement on Form S-3 the Company shall file with the Securities and Exchange Commission a Shelf Registration Statement on Form S-3 that includes in such Shelf Registration Statement (and in all related registrations and qualifications under state blue sky laws) all Registrable Securities held by each Holder. No later than five Business Days prior to the initial filing of the Shelf Registration Statement pursuant to this </w:t>
      </w:r>
      <w:r>
        <w:rPr>
          <w:rFonts w:ascii="Arial" w:cs="Arial" w:eastAsia="Arial" w:hAnsi="Arial"/>
          <w:sz w:val="17"/>
          <w:szCs w:val="17"/>
          <w:u w:val="single" w:color="auto"/>
          <w:color w:val="auto"/>
        </w:rPr>
        <w:t>Section 2(c)(ii)</w:t>
      </w:r>
      <w:r>
        <w:rPr>
          <w:rFonts w:ascii="Arial" w:cs="Arial" w:eastAsia="Arial" w:hAnsi="Arial"/>
          <w:sz w:val="17"/>
          <w:szCs w:val="17"/>
          <w:color w:val="auto"/>
        </w:rPr>
        <w:t>, the Company shall give written notice of such filing to each Holder (the “</w:t>
      </w:r>
      <w:r>
        <w:rPr>
          <w:rFonts w:ascii="Arial" w:cs="Arial" w:eastAsia="Arial" w:hAnsi="Arial"/>
          <w:sz w:val="17"/>
          <w:szCs w:val="17"/>
          <w:b w:val="1"/>
          <w:bCs w:val="1"/>
          <w:i w:val="1"/>
          <w:iCs w:val="1"/>
          <w:color w:val="auto"/>
        </w:rPr>
        <w:t>Shelf Registration Filing Notice</w:t>
      </w:r>
      <w:r>
        <w:rPr>
          <w:rFonts w:ascii="Arial" w:cs="Arial" w:eastAsia="Arial" w:hAnsi="Arial"/>
          <w:sz w:val="17"/>
          <w:szCs w:val="17"/>
          <w:color w:val="auto"/>
        </w:rPr>
        <w:t xml:space="preserve">”). Within two Business Days after the receipt of the Shelf Registration Filing Notice each holder shall send the Company a written notice specifying the number of Registrable Securities then held by each Holder or, at the option of such Holder, a lesser number of Registrable Securities to be included in such Shelf Registration Statement, as well as any additional information requested by the Company pursuant to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The Company shall use its reasonable best efforts to cause any Shelf Registration Statement filed in accordance with this </w:t>
      </w:r>
      <w:r>
        <w:rPr>
          <w:rFonts w:ascii="Arial" w:cs="Arial" w:eastAsia="Arial" w:hAnsi="Arial"/>
          <w:sz w:val="17"/>
          <w:szCs w:val="17"/>
          <w:u w:val="single" w:color="auto"/>
          <w:color w:val="auto"/>
        </w:rPr>
        <w:t>Section 2(c)(ii)</w:t>
      </w:r>
      <w:r>
        <w:rPr>
          <w:rFonts w:ascii="Arial" w:cs="Arial" w:eastAsia="Arial" w:hAnsi="Arial"/>
          <w:sz w:val="17"/>
          <w:szCs w:val="17"/>
          <w:color w:val="auto"/>
        </w:rPr>
        <w:t xml:space="preserve"> to be declared effective under the Securities Act as soon as practicable after the initial filing of such Shelf Registration Statement and, once effective, the Company shall cause such Shelf Registration Statement to remain continuously effective for such time period ending on the earliest of (A) the date on which all Registrable Securities covered by such Shelf Registration Statement have been sold pursuant to the Shelf Registration Statement and (B) the date as of which there are no longer any Registrable Securities covered by such Shelf Registration Statement in existence.</w:t>
      </w:r>
    </w:p>
    <w:p>
      <w:pPr>
        <w:spacing w:after="0" w:line="218" w:lineRule="exact"/>
        <w:rPr>
          <w:rFonts w:ascii="Arial" w:cs="Arial" w:eastAsia="Arial" w:hAnsi="Arial"/>
          <w:sz w:val="21"/>
          <w:szCs w:val="21"/>
          <w:color w:val="auto"/>
        </w:rPr>
      </w:pPr>
    </w:p>
    <w:p>
      <w:pPr>
        <w:ind w:right="40" w:firstLine="816"/>
        <w:spacing w:after="0" w:line="263" w:lineRule="auto"/>
        <w:tabs>
          <w:tab w:leader="none" w:pos="1782" w:val="left"/>
        </w:tabs>
        <w:numPr>
          <w:ilvl w:val="1"/>
          <w:numId w:val="66"/>
        </w:numPr>
        <w:rPr>
          <w:rFonts w:ascii="Arial" w:cs="Arial" w:eastAsia="Arial" w:hAnsi="Arial"/>
          <w:sz w:val="21"/>
          <w:szCs w:val="21"/>
          <w:color w:val="auto"/>
        </w:rPr>
      </w:pPr>
      <w:r>
        <w:rPr>
          <w:rFonts w:ascii="Arial" w:cs="Arial" w:eastAsia="Arial" w:hAnsi="Arial"/>
          <w:sz w:val="17"/>
          <w:szCs w:val="17"/>
          <w:color w:val="auto"/>
        </w:rPr>
        <w:t>In the event that a Shelf Registration Statement is effective, Holders representing Registrable Securities with a market value of at least $15 million (or such lesser amount if all Registrable Securities available for sale pursuant to such registration statement held by a Holder are requested to be included) shall have the right at any time or from time to time to elect to offer and sell (including pursuant to an underwritten offering (an “</w:t>
      </w:r>
      <w:r>
        <w:rPr>
          <w:rFonts w:ascii="Arial" w:cs="Arial" w:eastAsia="Arial" w:hAnsi="Arial"/>
          <w:sz w:val="17"/>
          <w:szCs w:val="17"/>
          <w:b w:val="1"/>
          <w:bCs w:val="1"/>
          <w:i w:val="1"/>
          <w:iCs w:val="1"/>
          <w:color w:val="auto"/>
        </w:rPr>
        <w:t>Underwritten Takedown</w:t>
      </w:r>
      <w:r>
        <w:rPr>
          <w:rFonts w:ascii="Arial" w:cs="Arial" w:eastAsia="Arial" w:hAnsi="Arial"/>
          <w:sz w:val="17"/>
          <w:szCs w:val="17"/>
          <w:color w:val="auto"/>
        </w:rPr>
        <w:t>”)) Registrable Securities available for sale pursuant to such Shelf Registration Statement (“</w:t>
      </w:r>
      <w:r>
        <w:rPr>
          <w:rFonts w:ascii="Arial" w:cs="Arial" w:eastAsia="Arial" w:hAnsi="Arial"/>
          <w:sz w:val="17"/>
          <w:szCs w:val="17"/>
          <w:b w:val="1"/>
          <w:bCs w:val="1"/>
          <w:i w:val="1"/>
          <w:iCs w:val="1"/>
          <w:color w:val="auto"/>
        </w:rPr>
        <w:t>Shelf Registrable Securities</w:t>
      </w:r>
      <w:r>
        <w:rPr>
          <w:rFonts w:ascii="Arial" w:cs="Arial" w:eastAsia="Arial" w:hAnsi="Arial"/>
          <w:sz w:val="17"/>
          <w:szCs w:val="17"/>
          <w:color w:val="auto"/>
        </w:rPr>
        <w:t>”), so long as the Shelf Registration Statement remains effective, and the Company shall pay all Registration Expenses in connection therewith. The applicable Holders shall make such election by delivering to the Company a written request (a “</w:t>
      </w:r>
      <w:r>
        <w:rPr>
          <w:rFonts w:ascii="Arial" w:cs="Arial" w:eastAsia="Arial" w:hAnsi="Arial"/>
          <w:sz w:val="17"/>
          <w:szCs w:val="17"/>
          <w:b w:val="1"/>
          <w:bCs w:val="1"/>
          <w:i w:val="1"/>
          <w:iCs w:val="1"/>
          <w:color w:val="auto"/>
        </w:rPr>
        <w:t>Shelf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Offering Request</w:t>
      </w:r>
      <w:r>
        <w:rPr>
          <w:rFonts w:ascii="Arial" w:cs="Arial" w:eastAsia="Arial" w:hAnsi="Arial"/>
          <w:sz w:val="17"/>
          <w:szCs w:val="17"/>
          <w:color w:val="auto"/>
        </w:rPr>
        <w:t>”) for such offering specifying the number of Shelf Registrable Securities that such Holders desire to sell pursuant to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 (the “</w:t>
      </w:r>
      <w:r>
        <w:rPr>
          <w:rFonts w:ascii="Arial" w:cs="Arial" w:eastAsia="Arial" w:hAnsi="Arial"/>
          <w:sz w:val="17"/>
          <w:szCs w:val="17"/>
          <w:b w:val="1"/>
          <w:bCs w:val="1"/>
          <w:i w:val="1"/>
          <w:iCs w:val="1"/>
          <w:color w:val="auto"/>
        </w:rPr>
        <w:t>Shelf Offering</w:t>
      </w:r>
      <w:r>
        <w:rPr>
          <w:rFonts w:ascii="Arial" w:cs="Arial" w:eastAsia="Arial" w:hAnsi="Arial"/>
          <w:sz w:val="17"/>
          <w:szCs w:val="17"/>
          <w:color w:val="auto"/>
        </w:rPr>
        <w:t>”). As promptly as practicable, but no later than two Business Days after receipt of a Shelf Offering Request, the Company shall give written notice (the “</w:t>
      </w:r>
      <w:r>
        <w:rPr>
          <w:rFonts w:ascii="Arial" w:cs="Arial" w:eastAsia="Arial" w:hAnsi="Arial"/>
          <w:sz w:val="17"/>
          <w:szCs w:val="17"/>
          <w:b w:val="1"/>
          <w:bCs w:val="1"/>
          <w:i w:val="1"/>
          <w:iCs w:val="1"/>
          <w:color w:val="auto"/>
        </w:rPr>
        <w:t>Shelf Offering Notice</w:t>
      </w:r>
      <w:r>
        <w:rPr>
          <w:rFonts w:ascii="Arial" w:cs="Arial" w:eastAsia="Arial" w:hAnsi="Arial"/>
          <w:sz w:val="17"/>
          <w:szCs w:val="17"/>
          <w:color w:val="auto"/>
        </w:rPr>
        <w:t>”) of such Shelf Offering Request to all other holders of Shelf Registrable Securities. The Company shall, as expeditiously as possible (and in any event within 10 days after the receipt of a Shelf Offering Request, unless a longer period is agreed to by the Holders of the Registrable Securities that made the Shelf Offering Request), use its reasonable best efforts to facilitate such Shelf Offering.</w:t>
      </w:r>
    </w:p>
    <w:p>
      <w:pPr>
        <w:spacing w:after="0" w:line="215" w:lineRule="exact"/>
        <w:rPr>
          <w:rFonts w:ascii="Arial" w:cs="Arial" w:eastAsia="Arial" w:hAnsi="Arial"/>
          <w:sz w:val="21"/>
          <w:szCs w:val="21"/>
          <w:color w:val="auto"/>
        </w:rPr>
      </w:pPr>
    </w:p>
    <w:p>
      <w:pPr>
        <w:jc w:val="both"/>
        <w:ind w:right="60" w:firstLine="816"/>
        <w:spacing w:after="0" w:line="241" w:lineRule="auto"/>
        <w:tabs>
          <w:tab w:leader="none" w:pos="1770" w:val="left"/>
        </w:tabs>
        <w:numPr>
          <w:ilvl w:val="1"/>
          <w:numId w:val="66"/>
        </w:numPr>
        <w:rPr>
          <w:rFonts w:ascii="Arial" w:cs="Arial" w:eastAsia="Arial" w:hAnsi="Arial"/>
          <w:sz w:val="22"/>
          <w:szCs w:val="22"/>
          <w:color w:val="auto"/>
        </w:rPr>
      </w:pPr>
      <w:r>
        <w:rPr>
          <w:rFonts w:ascii="Arial" w:cs="Arial" w:eastAsia="Arial" w:hAnsi="Arial"/>
          <w:sz w:val="18"/>
          <w:szCs w:val="18"/>
          <w:color w:val="auto"/>
        </w:rPr>
        <w:t>The Company shall, at the request of any Holder of the Registrable Securities covered by a Shelf Registration Statement, file any prospectus supplement or, if the applicable Shelf Registration Statement is an Automatic Shelf Registration Statement, any post-effective amendments and otherwise take any action necessary to include therein all disclosure and language deemed necessary or advisable by such Holders to effect such Shelf Offering.</w:t>
      </w:r>
    </w:p>
    <w:p>
      <w:pPr>
        <w:spacing w:after="0" w:line="202" w:lineRule="exact"/>
        <w:rPr>
          <w:rFonts w:ascii="Arial" w:cs="Arial" w:eastAsia="Arial" w:hAnsi="Arial"/>
          <w:sz w:val="22"/>
          <w:szCs w:val="22"/>
          <w:color w:val="auto"/>
        </w:rPr>
      </w:pPr>
    </w:p>
    <w:p>
      <w:pPr>
        <w:ind w:left="860" w:hanging="855"/>
        <w:spacing w:after="0"/>
        <w:tabs>
          <w:tab w:leader="none" w:pos="8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Restrictions on Demand Registration and Shelf Offerings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20" w:firstLine="816"/>
        <w:spacing w:after="0" w:line="245" w:lineRule="auto"/>
        <w:tabs>
          <w:tab w:leader="none" w:pos="1662" w:val="left"/>
        </w:tabs>
        <w:numPr>
          <w:ilvl w:val="1"/>
          <w:numId w:val="67"/>
        </w:numPr>
        <w:rPr>
          <w:rFonts w:ascii="Arial" w:cs="Arial" w:eastAsia="Arial" w:hAnsi="Arial"/>
          <w:sz w:val="22"/>
          <w:szCs w:val="22"/>
          <w:color w:val="auto"/>
        </w:rPr>
      </w:pPr>
      <w:r>
        <w:rPr>
          <w:rFonts w:ascii="Arial" w:cs="Arial" w:eastAsia="Arial" w:hAnsi="Arial"/>
          <w:sz w:val="18"/>
          <w:szCs w:val="18"/>
          <w:color w:val="auto"/>
        </w:rPr>
        <w:t>Notwithstanding the foregoing, the Company shall not be obligated to effect any Demand Registration within 45 days after the consummation of another Demand Registration. Further notwithstanding the foregoing, the Company may postpone, for up to 90 days from the date of the request, the filing or the effectiveness of a registration statement for a Demand Registration or suspend the filing of a Shelf Registration Statement or the use of a prospectus that is part of a Shelf Registration Statement for up to 90 days from the date of the Suspension Notice (as defined below) and therefore suspend sales of the Shelf Registrable Securities (such period, the “</w:t>
      </w:r>
      <w:r>
        <w:rPr>
          <w:rFonts w:ascii="Arial" w:cs="Arial" w:eastAsia="Arial" w:hAnsi="Arial"/>
          <w:sz w:val="18"/>
          <w:szCs w:val="18"/>
          <w:b w:val="1"/>
          <w:bCs w:val="1"/>
          <w:i w:val="1"/>
          <w:iCs w:val="1"/>
          <w:color w:val="auto"/>
        </w:rPr>
        <w:t>Suspension Period</w:t>
      </w:r>
      <w:r>
        <w:rPr>
          <w:rFonts w:ascii="Arial" w:cs="Arial" w:eastAsia="Arial" w:hAnsi="Arial"/>
          <w:sz w:val="18"/>
          <w:szCs w:val="18"/>
          <w:color w:val="auto"/>
        </w:rPr>
        <w:t>”) by providing written notice to the</w:t>
      </w:r>
    </w:p>
    <w:p>
      <w:pPr>
        <w:spacing w:after="0" w:line="19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55" w:right="239" w:bottom="1440" w:gutter="0" w:footer="0" w:header="0"/>
        </w:sectPr>
      </w:pPr>
    </w:p>
    <w:bookmarkStart w:id="94" w:name="page95"/>
    <w:bookmarkEnd w:id="94"/>
    <w:p>
      <w:pPr>
        <w:ind w:left="860" w:right="100"/>
        <w:spacing w:after="0" w:line="288" w:lineRule="auto"/>
        <w:rPr>
          <w:sz w:val="20"/>
          <w:szCs w:val="20"/>
          <w:color w:val="auto"/>
        </w:rPr>
      </w:pPr>
      <w:r>
        <w:rPr>
          <w:rFonts w:ascii="Arial" w:cs="Arial" w:eastAsia="Arial" w:hAnsi="Arial"/>
          <w:sz w:val="16"/>
          <w:szCs w:val="16"/>
          <w:color w:val="auto"/>
        </w:rPr>
        <w:t xml:space="preserve">Holders if (A) the Company’s board of directors determines in its reasonable good faith judgment that the offer or sale of Registrable Securities would reasonably be expected to have a material adverse effect on any proposal or plan by the Company or any Subsidiary to engage in any material acquisition of assets or stock (other than in the ordinary course of business) or any material merger, consolidation, tender offer, recapitalization, reorganization or other transaction involving the Company or any Subsidiary, or (B) upon advice of counsel, the sale of Registrable Securities pursuant to the registration statement would require disclosure of MNPI not otherwise required to be disclosed under applicable law, and either (x) the Company has a bona fide business purpose for preserving the confidentiality of such transaction or (y) disclosure of such MNPI would have a material adverse effect on the Company or the Company’s ability to consummate such transaction;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such event, the Holders shall be entitled to withdraw such request for a Demand Registration or underwritten Shelf Offering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shall pay all Registration Expenses in connection with such Demand Registration or Shelf Offering. The Company may delay a Demand Registration hereunder only once in any twelve-month period, except with the consent of the applicable Holder.</w:t>
      </w:r>
    </w:p>
    <w:p>
      <w:pPr>
        <w:spacing w:after="0" w:line="196" w:lineRule="exact"/>
        <w:rPr>
          <w:sz w:val="20"/>
          <w:szCs w:val="20"/>
          <w:color w:val="auto"/>
        </w:rPr>
      </w:pPr>
    </w:p>
    <w:p>
      <w:pPr>
        <w:ind w:left="860" w:firstLine="816"/>
        <w:spacing w:after="0" w:line="282" w:lineRule="auto"/>
        <w:tabs>
          <w:tab w:leader="none" w:pos="2582" w:val="left"/>
        </w:tabs>
        <w:numPr>
          <w:ilvl w:val="1"/>
          <w:numId w:val="68"/>
        </w:numPr>
        <w:rPr>
          <w:rFonts w:ascii="Arial" w:cs="Arial" w:eastAsia="Arial" w:hAnsi="Arial"/>
          <w:sz w:val="19"/>
          <w:szCs w:val="19"/>
          <w:color w:val="auto"/>
        </w:rPr>
      </w:pPr>
      <w:r>
        <w:rPr>
          <w:rFonts w:ascii="Arial" w:cs="Arial" w:eastAsia="Arial" w:hAnsi="Arial"/>
          <w:sz w:val="16"/>
          <w:szCs w:val="16"/>
          <w:color w:val="auto"/>
        </w:rPr>
        <w:t xml:space="preserve">In the case of an event that causes the Company to suspend the filing or use of a Shelf Registration Statement as set forth in paragraph (d)(i) above or pursuant to applicable subsections of </w:t>
      </w:r>
      <w:r>
        <w:rPr>
          <w:rFonts w:ascii="Arial" w:cs="Arial" w:eastAsia="Arial" w:hAnsi="Arial"/>
          <w:sz w:val="16"/>
          <w:szCs w:val="16"/>
          <w:u w:val="single" w:color="auto"/>
          <w:color w:val="auto"/>
        </w:rPr>
        <w:t>Section 5(a)(vi)</w:t>
      </w:r>
      <w:r>
        <w:rPr>
          <w:rFonts w:ascii="Arial" w:cs="Arial" w:eastAsia="Arial" w:hAnsi="Arial"/>
          <w:sz w:val="16"/>
          <w:szCs w:val="16"/>
          <w:color w:val="auto"/>
        </w:rPr>
        <w:t xml:space="preserve"> (a “</w:t>
      </w:r>
      <w:r>
        <w:rPr>
          <w:rFonts w:ascii="Arial" w:cs="Arial" w:eastAsia="Arial" w:hAnsi="Arial"/>
          <w:sz w:val="16"/>
          <w:szCs w:val="16"/>
          <w:b w:val="1"/>
          <w:bCs w:val="1"/>
          <w:i w:val="1"/>
          <w:iCs w:val="1"/>
          <w:color w:val="auto"/>
        </w:rPr>
        <w:t>Suspension Event</w:t>
      </w:r>
      <w:r>
        <w:rPr>
          <w:rFonts w:ascii="Arial" w:cs="Arial" w:eastAsia="Arial" w:hAnsi="Arial"/>
          <w:sz w:val="16"/>
          <w:szCs w:val="16"/>
          <w:color w:val="auto"/>
        </w:rPr>
        <w:t>”), the Company shall give a notice to the Holders of Registrable Securities registered pursuant to such Shelf Registration Statement (a “</w:t>
      </w:r>
      <w:r>
        <w:rPr>
          <w:rFonts w:ascii="Arial" w:cs="Arial" w:eastAsia="Arial" w:hAnsi="Arial"/>
          <w:sz w:val="16"/>
          <w:szCs w:val="16"/>
          <w:b w:val="1"/>
          <w:bCs w:val="1"/>
          <w:i w:val="1"/>
          <w:iCs w:val="1"/>
          <w:color w:val="auto"/>
        </w:rPr>
        <w:t>Suspension Notice</w:t>
      </w:r>
      <w:r>
        <w:rPr>
          <w:rFonts w:ascii="Arial" w:cs="Arial" w:eastAsia="Arial" w:hAnsi="Arial"/>
          <w:sz w:val="16"/>
          <w:szCs w:val="16"/>
          <w:color w:val="auto"/>
        </w:rPr>
        <w:t>”) to suspend sales of the Registrable Securities and such notice shall state generally the basis for the notice and that such suspension shall continue only for so long as the Suspension Event or its effect is continuing. If the basis of such suspension is nondisclosure of MNPI, the Company shall not be required to disclose the subject matter of such MNPI to Holders. A Holder shall not effect any sales of the Registrable Securities pursuant to such Shelf Registration Statement (or such filings) at any time after it has received a Suspension Notice from the Company and prior to receipt of an End of Suspension Notice (as defined below). Holders may recommence effecting sales of the Registrable Securities pursuant to the Shelf Registration Statement (or such filings) following written notice to such effect (an “</w:t>
      </w:r>
      <w:r>
        <w:rPr>
          <w:rFonts w:ascii="Arial" w:cs="Arial" w:eastAsia="Arial" w:hAnsi="Arial"/>
          <w:sz w:val="16"/>
          <w:szCs w:val="16"/>
          <w:b w:val="1"/>
          <w:bCs w:val="1"/>
          <w:i w:val="1"/>
          <w:iCs w:val="1"/>
          <w:color w:val="auto"/>
        </w:rPr>
        <w:t>End of Suspension Notice</w:t>
      </w:r>
      <w:r>
        <w:rPr>
          <w:rFonts w:ascii="Arial" w:cs="Arial" w:eastAsia="Arial" w:hAnsi="Arial"/>
          <w:sz w:val="16"/>
          <w:szCs w:val="16"/>
          <w:color w:val="auto"/>
        </w:rPr>
        <w:t>”) from the Company, which End of Suspension Notice shall be given by the Company to the Holders promptly following the conclusion of any Suspension Event.</w:t>
      </w:r>
    </w:p>
    <w:p>
      <w:pPr>
        <w:spacing w:after="0" w:line="201" w:lineRule="exact"/>
        <w:rPr>
          <w:rFonts w:ascii="Arial" w:cs="Arial" w:eastAsia="Arial" w:hAnsi="Arial"/>
          <w:sz w:val="19"/>
          <w:szCs w:val="19"/>
          <w:color w:val="auto"/>
        </w:rPr>
      </w:pPr>
    </w:p>
    <w:p>
      <w:pPr>
        <w:jc w:val="both"/>
        <w:ind w:left="860" w:right="360" w:firstLine="816"/>
        <w:spacing w:after="0" w:line="238" w:lineRule="auto"/>
        <w:tabs>
          <w:tab w:leader="none" w:pos="2642" w:val="left"/>
        </w:tabs>
        <w:numPr>
          <w:ilvl w:val="1"/>
          <w:numId w:val="68"/>
        </w:numPr>
        <w:rPr>
          <w:rFonts w:ascii="Arial" w:cs="Arial" w:eastAsia="Arial" w:hAnsi="Arial"/>
          <w:sz w:val="22"/>
          <w:szCs w:val="22"/>
          <w:color w:val="auto"/>
        </w:rPr>
      </w:pPr>
      <w:r>
        <w:rPr>
          <w:rFonts w:ascii="Arial" w:cs="Arial" w:eastAsia="Arial" w:hAnsi="Arial"/>
          <w:sz w:val="18"/>
          <w:szCs w:val="18"/>
          <w:color w:val="auto"/>
        </w:rPr>
        <w:t xml:space="preserve">Notwithstanding any provision herein to the contrary, if the Company gives a Suspension Notice with respect to any Shelf Registration Statement pursuant to this </w:t>
      </w:r>
      <w:r>
        <w:rPr>
          <w:rFonts w:ascii="Arial" w:cs="Arial" w:eastAsia="Arial" w:hAnsi="Arial"/>
          <w:sz w:val="18"/>
          <w:szCs w:val="18"/>
          <w:u w:val="single" w:color="auto"/>
          <w:color w:val="auto"/>
        </w:rPr>
        <w:t>Section 2(d)</w:t>
      </w:r>
      <w:r>
        <w:rPr>
          <w:rFonts w:ascii="Arial" w:cs="Arial" w:eastAsia="Arial" w:hAnsi="Arial"/>
          <w:sz w:val="18"/>
          <w:szCs w:val="18"/>
          <w:color w:val="auto"/>
        </w:rPr>
        <w:t>, the Company agrees that it shall provide copies of any supplemented or amended prospectus necessary to resume sales, with respect to each Suspension Event.</w:t>
      </w:r>
    </w:p>
    <w:p>
      <w:pPr>
        <w:spacing w:after="0" w:line="202" w:lineRule="exact"/>
        <w:rPr>
          <w:rFonts w:ascii="Arial" w:cs="Arial" w:eastAsia="Arial" w:hAnsi="Arial"/>
          <w:sz w:val="22"/>
          <w:szCs w:val="22"/>
          <w:color w:val="auto"/>
        </w:rPr>
      </w:pPr>
    </w:p>
    <w:p>
      <w:pPr>
        <w:ind w:left="-20" w:right="100" w:firstLine="885"/>
        <w:spacing w:after="0" w:line="264" w:lineRule="auto"/>
        <w:tabs>
          <w:tab w:leader="none" w:pos="170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Selection of Underwriters</w:t>
      </w:r>
      <w:r>
        <w:rPr>
          <w:rFonts w:ascii="Arial" w:cs="Arial" w:eastAsia="Arial" w:hAnsi="Arial"/>
          <w:sz w:val="18"/>
          <w:szCs w:val="18"/>
          <w:color w:val="auto"/>
        </w:rPr>
        <w:t>. The Holder requesting the Demand Registration or Underwritten Takedown shall have the right to select the investment banker(s) and manager(s) to administer such offering (including assignment of titles), subject to the Company’s approval not be unreasonably withheld, conditioned or delayed.</w:t>
      </w:r>
    </w:p>
    <w:p>
      <w:pPr>
        <w:spacing w:after="0" w:line="181" w:lineRule="exact"/>
        <w:rPr>
          <w:rFonts w:ascii="Arial" w:cs="Arial" w:eastAsia="Arial" w:hAnsi="Arial"/>
          <w:sz w:val="18"/>
          <w:szCs w:val="18"/>
          <w:color w:val="auto"/>
        </w:rPr>
      </w:pPr>
    </w:p>
    <w:p>
      <w:pPr>
        <w:ind w:left="-20" w:right="20" w:firstLine="885"/>
        <w:spacing w:after="0" w:line="259" w:lineRule="auto"/>
        <w:tabs>
          <w:tab w:leader="none" w:pos="168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The Company represents and warrants that it is not a party to, or otherwise subject to, any other agreement granting registration rights to any other Person with respect to any securities of the Company. Except as provided in this Agreement, the Company shall not grant to any Persons the right to request the Company or any Subsidiary to register any Capital Stock of the Company or of any Subsidiary, or any securities convertible or exchangeable into or exercisable for such securities.</w:t>
      </w:r>
    </w:p>
    <w:p>
      <w:pPr>
        <w:spacing w:after="0" w:line="187" w:lineRule="exact"/>
        <w:rPr>
          <w:sz w:val="20"/>
          <w:szCs w:val="20"/>
          <w:color w:val="auto"/>
        </w:rPr>
      </w:pPr>
    </w:p>
    <w:p>
      <w:pPr>
        <w:ind w:left="860"/>
        <w:spacing w:after="0"/>
        <w:tabs>
          <w:tab w:leader="none" w:pos="22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Piggyback Registrations</w:t>
      </w:r>
      <w:r>
        <w:rPr>
          <w:rFonts w:ascii="Arial" w:cs="Arial" w:eastAsia="Arial" w:hAnsi="Arial"/>
          <w:sz w:val="16"/>
          <w:szCs w:val="16"/>
          <w:color w:val="auto"/>
        </w:rPr>
        <w:t>.</w:t>
      </w:r>
    </w:p>
    <w:p>
      <w:pPr>
        <w:spacing w:after="0" w:line="225" w:lineRule="exact"/>
        <w:rPr>
          <w:sz w:val="20"/>
          <w:szCs w:val="20"/>
          <w:color w:val="auto"/>
        </w:rPr>
      </w:pPr>
    </w:p>
    <w:p>
      <w:pPr>
        <w:ind w:left="-20" w:firstLine="885"/>
        <w:spacing w:after="0" w:line="255" w:lineRule="auto"/>
        <w:tabs>
          <w:tab w:leader="none" w:pos="170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Right to Piggyback</w:t>
      </w:r>
      <w:r>
        <w:rPr>
          <w:rFonts w:ascii="Arial" w:cs="Arial" w:eastAsia="Arial" w:hAnsi="Arial"/>
          <w:sz w:val="18"/>
          <w:szCs w:val="18"/>
          <w:color w:val="auto"/>
        </w:rPr>
        <w:t>. Following the IPO, whenever the Company proposes to register any of its securities under the Securities Act (other than (i) pursuant to a Demand Registration, (ii) in connection with registrations on Form S-4 or S-8 promulgated by the Securities and Exchange Commission or any successor or similar forms or (iii) a registration on any form that does not include substantially the same information as would be required to be included in a registration statement covering the sale of Registrable Securities) and the registration form to be used may be used for the registration of Registrable Securities (a “</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the Company shall give prompt written notice to all Holders of its intention to effect such Piggyback Registration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355" w:right="259" w:bottom="1440" w:gutter="0" w:footer="0" w:header="0"/>
        </w:sectPr>
      </w:pPr>
    </w:p>
    <w:bookmarkStart w:id="95" w:name="page96"/>
    <w:bookmarkEnd w:id="95"/>
    <w:p>
      <w:pPr>
        <w:ind w:right="120"/>
        <w:spacing w:after="0" w:line="264" w:lineRule="auto"/>
        <w:rPr>
          <w:sz w:val="20"/>
          <w:szCs w:val="20"/>
          <w:color w:val="auto"/>
        </w:rPr>
      </w:pPr>
      <w:r>
        <w:rPr>
          <w:rFonts w:ascii="Arial" w:cs="Arial" w:eastAsia="Arial" w:hAnsi="Arial"/>
          <w:sz w:val="18"/>
          <w:szCs w:val="18"/>
          <w:color w:val="auto"/>
        </w:rPr>
        <w:t xml:space="preserve">subject to the terms of </w:t>
      </w:r>
      <w:r>
        <w:rPr>
          <w:rFonts w:ascii="Arial" w:cs="Arial" w:eastAsia="Arial" w:hAnsi="Arial"/>
          <w:sz w:val="18"/>
          <w:szCs w:val="18"/>
          <w:u w:val="single" w:color="auto"/>
          <w:color w:val="auto"/>
        </w:rPr>
        <w:t>Section 3(c)</w:t>
      </w:r>
      <w:r>
        <w:rPr>
          <w:rFonts w:ascii="Arial" w:cs="Arial" w:eastAsia="Arial" w:hAnsi="Arial"/>
          <w:sz w:val="18"/>
          <w:szCs w:val="18"/>
          <w:color w:val="auto"/>
        </w:rPr>
        <w:t>, shall include in such Piggyback Registration (and in all related registrations or qualifications under blue sky laws and in any related underwriting) all Registrable Securities of each Holder with respect to which the Company has received a written request for inclusion therein within 5 days after delivery of the Company’s notice.</w:t>
      </w:r>
    </w:p>
    <w:p>
      <w:pPr>
        <w:spacing w:after="0" w:line="181" w:lineRule="exact"/>
        <w:rPr>
          <w:sz w:val="20"/>
          <w:szCs w:val="20"/>
          <w:color w:val="auto"/>
        </w:rPr>
      </w:pPr>
    </w:p>
    <w:p>
      <w:pPr>
        <w:ind w:right="580" w:firstLine="885"/>
        <w:spacing w:after="0" w:line="277" w:lineRule="auto"/>
        <w:tabs>
          <w:tab w:leader="none" w:pos="173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Piggyback Expenses</w:t>
      </w:r>
      <w:r>
        <w:rPr>
          <w:rFonts w:ascii="Arial" w:cs="Arial" w:eastAsia="Arial" w:hAnsi="Arial"/>
          <w:sz w:val="18"/>
          <w:szCs w:val="18"/>
          <w:color w:val="auto"/>
        </w:rPr>
        <w:t>. The Registration Expenses of the Holders shall be paid by the Company in all Piggyback Registrations, whether or not any such registration became effective.</w:t>
      </w:r>
    </w:p>
    <w:p>
      <w:pPr>
        <w:spacing w:after="0" w:line="170" w:lineRule="exact"/>
        <w:rPr>
          <w:rFonts w:ascii="Arial" w:cs="Arial" w:eastAsia="Arial" w:hAnsi="Arial"/>
          <w:sz w:val="18"/>
          <w:szCs w:val="18"/>
          <w:color w:val="auto"/>
        </w:rPr>
      </w:pPr>
    </w:p>
    <w:p>
      <w:pPr>
        <w:ind w:right="80" w:firstLine="885"/>
        <w:spacing w:after="0" w:line="254" w:lineRule="auto"/>
        <w:tabs>
          <w:tab w:leader="none" w:pos="172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Priority on Registrations</w:t>
      </w:r>
      <w:r>
        <w:rPr>
          <w:rFonts w:ascii="Arial" w:cs="Arial" w:eastAsia="Arial" w:hAnsi="Arial"/>
          <w:sz w:val="18"/>
          <w:szCs w:val="18"/>
          <w:color w:val="auto"/>
        </w:rPr>
        <w:t>. If a Piggyback Registration is an underwritten primary registration on behalf of the Company, and the managing underwriters advise the Company in writing that in their opinion the number of securities requested to be included in such registration exceeds the number which can be sold in such offering without adversely affecting the marketability, proposed offering price, timing or method of distribution of the offering, the Company shall include in such registration (i) first, the securities the Company proposes to sell, (ii) second, the Registrable Securities requested to be included in such registration which, in the opinion of the underwriters, can be sold without any such adverse effect, pro rata among the Holders on the basis of the number of Registrable Securities then owned by each such Holder that such Holder of Registrable Securities shall have requested to be included therein, and (iii) third, other securities requested to be included in such registration which, in the opinion of the underwriters, can be sold without any such adverse effect.</w:t>
      </w:r>
    </w:p>
    <w:p>
      <w:pPr>
        <w:spacing w:after="0" w:line="192" w:lineRule="exact"/>
        <w:rPr>
          <w:rFonts w:ascii="Arial" w:cs="Arial" w:eastAsia="Arial" w:hAnsi="Arial"/>
          <w:sz w:val="18"/>
          <w:szCs w:val="18"/>
          <w:color w:val="auto"/>
        </w:rPr>
      </w:pPr>
    </w:p>
    <w:p>
      <w:pPr>
        <w:ind w:firstLine="885"/>
        <w:spacing w:after="0" w:line="259" w:lineRule="auto"/>
        <w:tabs>
          <w:tab w:leader="none" w:pos="173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Selection of Underwriters</w:t>
      </w:r>
      <w:r>
        <w:rPr>
          <w:rFonts w:ascii="Arial" w:cs="Arial" w:eastAsia="Arial" w:hAnsi="Arial"/>
          <w:sz w:val="18"/>
          <w:szCs w:val="18"/>
          <w:color w:val="auto"/>
        </w:rPr>
        <w:t xml:space="preserve">. If any Piggyback Registration is an underwritten offering, the selection of investment banker(s) and manager(s) for the offering shall be at the election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representing a majority of the Registrable Securities included in such Piggyback Registration may request that one or more investment banker(s) or manager(s) be included in such offering (such request not to be binding on the Company or such other initiating holders of Company securities).</w:t>
      </w:r>
    </w:p>
    <w:p>
      <w:pPr>
        <w:spacing w:after="0" w:line="186" w:lineRule="exact"/>
        <w:rPr>
          <w:rFonts w:ascii="Arial" w:cs="Arial" w:eastAsia="Arial" w:hAnsi="Arial"/>
          <w:sz w:val="18"/>
          <w:szCs w:val="18"/>
          <w:color w:val="auto"/>
        </w:rPr>
      </w:pPr>
    </w:p>
    <w:p>
      <w:pPr>
        <w:ind w:right="20" w:firstLine="885"/>
        <w:spacing w:after="0" w:line="264" w:lineRule="auto"/>
        <w:tabs>
          <w:tab w:leader="none" w:pos="172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Right to Terminate Registration</w:t>
      </w:r>
      <w:r>
        <w:rPr>
          <w:rFonts w:ascii="Arial" w:cs="Arial" w:eastAsia="Arial" w:hAnsi="Arial"/>
          <w:sz w:val="18"/>
          <w:szCs w:val="18"/>
          <w:color w:val="auto"/>
        </w:rPr>
        <w:t xml:space="preserve">. The Company shall have the right to terminate or withdraw any registration initiated by it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whether or not any Holder has elected to include securities in such registration. The Registration Expenses of such withdrawn registration shall be borne by the Company in accordance with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181" w:lineRule="exact"/>
        <w:rPr>
          <w:sz w:val="20"/>
          <w:szCs w:val="20"/>
          <w:color w:val="auto"/>
        </w:rPr>
      </w:pPr>
    </w:p>
    <w:p>
      <w:pPr>
        <w:ind w:left="880"/>
        <w:spacing w:after="0"/>
        <w:tabs>
          <w:tab w:leader="none" w:pos="22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Holdback Agreements</w:t>
      </w:r>
      <w:r>
        <w:rPr>
          <w:rFonts w:ascii="Arial" w:cs="Arial" w:eastAsia="Arial" w:hAnsi="Arial"/>
          <w:sz w:val="16"/>
          <w:szCs w:val="16"/>
          <w:color w:val="auto"/>
        </w:rPr>
        <w:t>.</w:t>
      </w:r>
    </w:p>
    <w:p>
      <w:pPr>
        <w:spacing w:after="0" w:line="225" w:lineRule="exact"/>
        <w:rPr>
          <w:sz w:val="20"/>
          <w:szCs w:val="20"/>
          <w:color w:val="auto"/>
        </w:rPr>
      </w:pPr>
    </w:p>
    <w:p>
      <w:pPr>
        <w:ind w:right="40" w:firstLine="885"/>
        <w:spacing w:after="0" w:line="287" w:lineRule="auto"/>
        <w:tabs>
          <w:tab w:leader="none" w:pos="1725"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Holders of Registrable Securities</w:t>
      </w:r>
      <w:r>
        <w:rPr>
          <w:rFonts w:ascii="Arial" w:cs="Arial" w:eastAsia="Arial" w:hAnsi="Arial"/>
          <w:sz w:val="16"/>
          <w:szCs w:val="16"/>
          <w:color w:val="auto"/>
        </w:rPr>
        <w:t xml:space="preserve">. If requested by the managing underwriter(s), each Holder participating in an underwritten Public Offering shall enter into customary lock-up agreements, substantially consistent with the lock-up agreements entered into by such Holders in connection with the IPO, with the managing underwriter(s) of such Public Offering. Each Holder not participating in an offering pursuant to this Agreement agrees to be bound by the terms of such customary lock-up agreement entered into by the participating Holders in connection therewith as if such Holder had been a party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terms of the customary lock-up agreement entered into by the participating Holders, non-participating Holders shall not be prohibited from (i) establishing any contract, instruction or plan (a “</w:t>
      </w:r>
      <w:r>
        <w:rPr>
          <w:rFonts w:ascii="Arial" w:cs="Arial" w:eastAsia="Arial" w:hAnsi="Arial"/>
          <w:sz w:val="16"/>
          <w:szCs w:val="16"/>
          <w:u w:val="single" w:color="auto"/>
          <w:color w:val="auto"/>
        </w:rPr>
        <w:t>Plan</w:t>
      </w:r>
      <w:r>
        <w:rPr>
          <w:rFonts w:ascii="Arial" w:cs="Arial" w:eastAsia="Arial" w:hAnsi="Arial"/>
          <w:sz w:val="16"/>
          <w:szCs w:val="16"/>
          <w:color w:val="auto"/>
        </w:rPr>
        <w:t>”) that satisfies all of the requirements of Rule 10b5-1(c)(1) under the Exchange Act during the lock-up period set forth in such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sales may be made pursuant to such a Plan prior to the expiration of the lock-up period set forth in such agreements and no public announcement of the establishment or existence of a Plan or filing in respect thereof is required or made voluntarily prior to the expiration of the lock-up period set forth in such agreements) or (ii) making sales pursuant to a Plan that exists on the date of the customary lock-up agreement entered into by the participating Holders. The Company may impose stop-transfer instructions with respect to the Shares (or other securities) subject to the restrictions set forth in this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until the end of the lock-up period set forth in such agreements, including any extension thereof as may be required to comply with FINRA Rule 2711(f)(4).</w:t>
      </w:r>
    </w:p>
    <w:p>
      <w:pPr>
        <w:spacing w:after="0" w:line="168" w:lineRule="exact"/>
        <w:rPr>
          <w:rFonts w:ascii="Arial" w:cs="Arial" w:eastAsia="Arial" w:hAnsi="Arial"/>
          <w:sz w:val="16"/>
          <w:szCs w:val="16"/>
          <w:color w:val="auto"/>
        </w:rPr>
      </w:pPr>
    </w:p>
    <w:p>
      <w:pPr>
        <w:ind w:right="40" w:firstLine="885"/>
        <w:spacing w:after="0" w:line="264" w:lineRule="auto"/>
        <w:tabs>
          <w:tab w:leader="none" w:pos="173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Exceptions</w:t>
      </w:r>
      <w:r>
        <w:rPr>
          <w:rFonts w:ascii="Arial" w:cs="Arial" w:eastAsia="Arial" w:hAnsi="Arial"/>
          <w:sz w:val="18"/>
          <w:szCs w:val="18"/>
          <w:color w:val="auto"/>
        </w:rPr>
        <w:t xml:space="preserve">. The foregoing holdback agreements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shall not apply to a registration on Form S-8 or any successor or similar form or otherwise in connection with an employee benefit plan or in connection with any registration on Form S-4 or any successor or similar form in connection with any type of acquisition transaction or exchange offer.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96" w:name="page97"/>
    <w:bookmarkEnd w:id="96"/>
    <w:p>
      <w:pPr>
        <w:ind w:left="840"/>
        <w:spacing w:after="0"/>
        <w:tabs>
          <w:tab w:leader="none" w:pos="22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u w:val="single" w:color="auto"/>
          <w:color w:val="auto"/>
        </w:rPr>
        <w:t>Registration Procedures</w:t>
      </w:r>
      <w:r>
        <w:rPr>
          <w:rFonts w:ascii="Arial" w:cs="Arial" w:eastAsia="Arial" w:hAnsi="Arial"/>
          <w:sz w:val="15"/>
          <w:szCs w:val="15"/>
          <w:color w:val="auto"/>
        </w:rPr>
        <w:t>.</w:t>
      </w:r>
    </w:p>
    <w:p>
      <w:pPr>
        <w:spacing w:after="0" w:line="225" w:lineRule="exact"/>
        <w:rPr>
          <w:sz w:val="20"/>
          <w:szCs w:val="20"/>
          <w:color w:val="auto"/>
        </w:rPr>
      </w:pPr>
    </w:p>
    <w:p>
      <w:pPr>
        <w:ind w:left="-40" w:right="240" w:firstLine="885"/>
        <w:spacing w:after="0" w:line="286" w:lineRule="auto"/>
        <w:tabs>
          <w:tab w:leader="none" w:pos="1685" w:val="left"/>
        </w:tabs>
        <w:numPr>
          <w:ilvl w:val="0"/>
          <w:numId w:val="73"/>
        </w:numPr>
        <w:rPr>
          <w:rFonts w:ascii="Arial" w:cs="Arial" w:eastAsia="Arial" w:hAnsi="Arial"/>
          <w:sz w:val="17"/>
          <w:szCs w:val="17"/>
          <w:color w:val="auto"/>
        </w:rPr>
      </w:pPr>
      <w:r>
        <w:rPr>
          <w:rFonts w:ascii="Arial" w:cs="Arial" w:eastAsia="Arial" w:hAnsi="Arial"/>
          <w:sz w:val="17"/>
          <w:szCs w:val="17"/>
          <w:color w:val="auto"/>
        </w:rPr>
        <w:t>Whenever the Holders have requested that any Registrable Securities be registered pursuant to this Agreement or have initiated a Shelf Offering, the Company shall use its reasonable best efforts to effect the registration and the sale of such Registrable Securities in accordance with the intended method of disposition thereof, and pursuant thereto the Company shall as expeditiously as possible:</w:t>
      </w:r>
    </w:p>
    <w:p>
      <w:pPr>
        <w:spacing w:after="0" w:line="192" w:lineRule="exact"/>
        <w:rPr>
          <w:rFonts w:ascii="Arial" w:cs="Arial" w:eastAsia="Arial" w:hAnsi="Arial"/>
          <w:sz w:val="17"/>
          <w:szCs w:val="17"/>
          <w:color w:val="auto"/>
        </w:rPr>
      </w:pPr>
    </w:p>
    <w:p>
      <w:pPr>
        <w:ind w:left="840" w:right="140" w:firstLine="816"/>
        <w:spacing w:after="0" w:line="245" w:lineRule="auto"/>
        <w:tabs>
          <w:tab w:leader="none" w:pos="2502" w:val="left"/>
        </w:tabs>
        <w:numPr>
          <w:ilvl w:val="1"/>
          <w:numId w:val="73"/>
        </w:numPr>
        <w:rPr>
          <w:rFonts w:ascii="Arial" w:cs="Arial" w:eastAsia="Arial" w:hAnsi="Arial"/>
          <w:sz w:val="22"/>
          <w:szCs w:val="22"/>
          <w:color w:val="auto"/>
        </w:rPr>
      </w:pPr>
      <w:r>
        <w:rPr>
          <w:rFonts w:ascii="Arial" w:cs="Arial" w:eastAsia="Arial" w:hAnsi="Arial"/>
          <w:sz w:val="18"/>
          <w:szCs w:val="18"/>
          <w:color w:val="auto"/>
        </w:rPr>
        <w:t>in accordance with the Securities Act and all applicable rules and regulations promulgated thereunder, prepare and file with the Securities and Exchange Commission a registration statement, and all amendments and supplements thereto and related prospectuses with respect to such Registrable Securities and use its reasonable best efforts to cause such registration statement to become effective (provided that before filing a registration statement or prospectus or any amendments or supplements thereto, the Company shall furnish to the counsel selected by the Holders copies of all such documents proposed to be filed, which documents shall be subject to the review and comment of such counsel);</w:t>
      </w:r>
    </w:p>
    <w:p>
      <w:pPr>
        <w:spacing w:after="0" w:line="224" w:lineRule="exact"/>
        <w:rPr>
          <w:rFonts w:ascii="Arial" w:cs="Arial" w:eastAsia="Arial" w:hAnsi="Arial"/>
          <w:sz w:val="22"/>
          <w:szCs w:val="22"/>
          <w:color w:val="auto"/>
        </w:rPr>
      </w:pPr>
    </w:p>
    <w:p>
      <w:pPr>
        <w:ind w:left="840" w:right="160" w:firstLine="816"/>
        <w:spacing w:after="0" w:line="259" w:lineRule="auto"/>
        <w:tabs>
          <w:tab w:leader="none" w:pos="2562" w:val="left"/>
        </w:tabs>
        <w:numPr>
          <w:ilvl w:val="1"/>
          <w:numId w:val="73"/>
        </w:numPr>
        <w:rPr>
          <w:rFonts w:ascii="Arial" w:cs="Arial" w:eastAsia="Arial" w:hAnsi="Arial"/>
          <w:sz w:val="21"/>
          <w:szCs w:val="21"/>
          <w:color w:val="auto"/>
        </w:rPr>
      </w:pPr>
      <w:r>
        <w:rPr>
          <w:rFonts w:ascii="Arial" w:cs="Arial" w:eastAsia="Arial" w:hAnsi="Arial"/>
          <w:sz w:val="17"/>
          <w:szCs w:val="17"/>
          <w:color w:val="auto"/>
        </w:rPr>
        <w:t>notify each Holder of (A) the issuance by the Securities and Exchange Commission of any stop order suspending the effectiveness of any registration statement or the initiation of any proceedings for that purpose, (B) the receipt by the Company or its counsel of any notification with respect to the suspension of the qualification of the Registrable Securities for sale in any jurisdiction or the initiation or threatening of any proceeding for such purpose and (C) the effectiveness of each registration statement filed hereunder;</w:t>
      </w:r>
    </w:p>
    <w:p>
      <w:pPr>
        <w:spacing w:after="0" w:line="213" w:lineRule="exact"/>
        <w:rPr>
          <w:rFonts w:ascii="Arial" w:cs="Arial" w:eastAsia="Arial" w:hAnsi="Arial"/>
          <w:sz w:val="21"/>
          <w:szCs w:val="21"/>
          <w:color w:val="auto"/>
        </w:rPr>
      </w:pPr>
    </w:p>
    <w:p>
      <w:pPr>
        <w:ind w:left="840" w:right="120" w:firstLine="816"/>
        <w:spacing w:after="0" w:line="282" w:lineRule="auto"/>
        <w:tabs>
          <w:tab w:leader="none" w:pos="2622" w:val="left"/>
        </w:tabs>
        <w:numPr>
          <w:ilvl w:val="1"/>
          <w:numId w:val="73"/>
        </w:numPr>
        <w:rPr>
          <w:rFonts w:ascii="Arial" w:cs="Arial" w:eastAsia="Arial" w:hAnsi="Arial"/>
          <w:sz w:val="19"/>
          <w:szCs w:val="19"/>
          <w:color w:val="auto"/>
        </w:rPr>
      </w:pPr>
      <w:r>
        <w:rPr>
          <w:rFonts w:ascii="Arial" w:cs="Arial" w:eastAsia="Arial" w:hAnsi="Arial"/>
          <w:sz w:val="16"/>
          <w:szCs w:val="16"/>
          <w:color w:val="auto"/>
        </w:rPr>
        <w:t>prepare and file with the Securities and Exchange Commission such amendments and supplements to such registration statement and the prospectus used in connection therewith as may be necessary to keep such registration statement effective for a period ending when all of the securities covered by such registration statement have been disposed of in accordance with the intended methods of distribution by the sellers thereof set forth in such registration statement (but in any event not before the expiration of any longer period required under the Securities Act or, if such registration statement relates to an underwritten Public Offering, such longer period as in the opinion of counsel for the underwriters a prospectus is required by law to be delivered in connection with sale of Registrable Securities by an underwriter or dealer)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201" w:lineRule="exact"/>
        <w:rPr>
          <w:rFonts w:ascii="Arial" w:cs="Arial" w:eastAsia="Arial" w:hAnsi="Arial"/>
          <w:sz w:val="19"/>
          <w:szCs w:val="19"/>
          <w:color w:val="auto"/>
        </w:rPr>
      </w:pPr>
    </w:p>
    <w:p>
      <w:pPr>
        <w:jc w:val="both"/>
        <w:ind w:left="840" w:right="300" w:firstLine="816"/>
        <w:spacing w:after="0" w:line="241" w:lineRule="auto"/>
        <w:tabs>
          <w:tab w:leader="none" w:pos="2610" w:val="left"/>
        </w:tabs>
        <w:numPr>
          <w:ilvl w:val="1"/>
          <w:numId w:val="73"/>
        </w:numPr>
        <w:rPr>
          <w:rFonts w:ascii="Arial" w:cs="Arial" w:eastAsia="Arial" w:hAnsi="Arial"/>
          <w:sz w:val="22"/>
          <w:szCs w:val="22"/>
          <w:color w:val="auto"/>
        </w:rPr>
      </w:pPr>
      <w:r>
        <w:rPr>
          <w:rFonts w:ascii="Arial" w:cs="Arial" w:eastAsia="Arial" w:hAnsi="Arial"/>
          <w:sz w:val="18"/>
          <w:szCs w:val="18"/>
          <w:color w:val="auto"/>
        </w:rPr>
        <w:t>furnish to each seller of Registrable Securities thereunder such number of copies of such registration statement, each amendment and supplement thereto, the prospectus included in such registration statement (including each preliminary prospectus), each Free Writing Prospectus and such other documents as such seller may reasonably request in order to facilitate the disposition of the Registrable Securities owned by such seller;</w:t>
      </w:r>
    </w:p>
    <w:p>
      <w:pPr>
        <w:spacing w:after="0" w:line="229" w:lineRule="exact"/>
        <w:rPr>
          <w:rFonts w:ascii="Arial" w:cs="Arial" w:eastAsia="Arial" w:hAnsi="Arial"/>
          <w:sz w:val="22"/>
          <w:szCs w:val="22"/>
          <w:color w:val="auto"/>
        </w:rPr>
      </w:pPr>
    </w:p>
    <w:p>
      <w:pPr>
        <w:ind w:left="840" w:firstLine="816"/>
        <w:spacing w:after="0" w:line="260" w:lineRule="auto"/>
        <w:tabs>
          <w:tab w:leader="none" w:pos="2550" w:val="left"/>
        </w:tabs>
        <w:numPr>
          <w:ilvl w:val="1"/>
          <w:numId w:val="73"/>
        </w:numPr>
        <w:rPr>
          <w:rFonts w:ascii="Arial" w:cs="Arial" w:eastAsia="Arial" w:hAnsi="Arial"/>
          <w:sz w:val="21"/>
          <w:szCs w:val="21"/>
          <w:color w:val="auto"/>
        </w:rPr>
      </w:pPr>
      <w:r>
        <w:rPr>
          <w:rFonts w:ascii="Arial" w:cs="Arial" w:eastAsia="Arial" w:hAnsi="Arial"/>
          <w:sz w:val="17"/>
          <w:szCs w:val="17"/>
          <w:color w:val="auto"/>
        </w:rPr>
        <w:t>use reasonable best efforts to register or qualify such Registrable Securities under such other securities or blue sky laws of such jurisdictions as any seller reasonably requests and do any and all other acts and things which may be reasonably necessary or advisable to enable such seller to consummate the disposition in such jurisdictions of the Registrable Securities owned by such seller (provided that the Company shall not be required to (A) qualify generally to do business in any jurisdiction where it would not otherwise be required to qualify but for this subparagraph or (B) subject itself to taxation in any such jurisdiction);</w:t>
      </w:r>
    </w:p>
    <w:p>
      <w:pPr>
        <w:spacing w:after="0" w:line="214" w:lineRule="exact"/>
        <w:rPr>
          <w:rFonts w:ascii="Arial" w:cs="Arial" w:eastAsia="Arial" w:hAnsi="Arial"/>
          <w:sz w:val="21"/>
          <w:szCs w:val="21"/>
          <w:color w:val="auto"/>
        </w:rPr>
      </w:pPr>
    </w:p>
    <w:p>
      <w:pPr>
        <w:ind w:left="840" w:right="160" w:firstLine="816"/>
        <w:spacing w:after="0" w:line="243" w:lineRule="auto"/>
        <w:tabs>
          <w:tab w:leader="none" w:pos="2610" w:val="left"/>
        </w:tabs>
        <w:numPr>
          <w:ilvl w:val="1"/>
          <w:numId w:val="73"/>
        </w:numPr>
        <w:rPr>
          <w:rFonts w:ascii="Arial" w:cs="Arial" w:eastAsia="Arial" w:hAnsi="Arial"/>
          <w:sz w:val="22"/>
          <w:szCs w:val="22"/>
          <w:color w:val="auto"/>
        </w:rPr>
      </w:pPr>
      <w:r>
        <w:rPr>
          <w:rFonts w:ascii="Arial" w:cs="Arial" w:eastAsia="Arial" w:hAnsi="Arial"/>
          <w:sz w:val="18"/>
          <w:szCs w:val="18"/>
          <w:color w:val="auto"/>
        </w:rPr>
        <w:t>notify each seller of such Registrable Securities (A) promptly after it receives notice thereof, of the date and time when such registration statement and each post-effective amendment thereto has become effective or a prospectus or supplement to any prospectus relating to a registration statement has been filed and when any registration or qualification has become effective under a state securities or blue sky law or any exemption thereunder has been obtained, (B) promptly after receipt thereof, of any written comments by the Securities and Exchange Commission, or any request by the Securities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80" w:top="355" w:right="259" w:bottom="1440" w:gutter="0" w:footer="0" w:header="0"/>
        </w:sectPr>
      </w:pPr>
    </w:p>
    <w:bookmarkStart w:id="97" w:name="page98"/>
    <w:bookmarkEnd w:id="97"/>
    <w:p>
      <w:pPr>
        <w:ind w:right="60"/>
        <w:spacing w:after="0" w:line="271" w:lineRule="auto"/>
        <w:rPr>
          <w:sz w:val="20"/>
          <w:szCs w:val="20"/>
          <w:color w:val="auto"/>
        </w:rPr>
      </w:pPr>
      <w:r>
        <w:rPr>
          <w:rFonts w:ascii="Arial" w:cs="Arial" w:eastAsia="Arial" w:hAnsi="Arial"/>
          <w:sz w:val="17"/>
          <w:szCs w:val="17"/>
          <w:color w:val="auto"/>
        </w:rPr>
        <w:t xml:space="preserve">Exchange Commission or other federal or state governmental authority for amendments or supplements to such registration statement or such prospectus, or for additional information (whether before or after the effective date of the registration statement) or any other correspondence with the Securities and Exchange Commission relating to, or which may affect, the registration and (C) at any time when a prospectus relating thereto is required to be delivered under the Securities Act, of the happening of any event as a result of which the prospectus included in such registration statement contains an untrue statement of a material fact or omits any fact necessary to make the statements therein not misleading, and, subject to </w:t>
      </w:r>
      <w:r>
        <w:rPr>
          <w:rFonts w:ascii="Arial" w:cs="Arial" w:eastAsia="Arial" w:hAnsi="Arial"/>
          <w:sz w:val="17"/>
          <w:szCs w:val="17"/>
          <w:u w:val="single" w:color="auto"/>
          <w:color w:val="auto"/>
        </w:rPr>
        <w:t>Section 2(d)</w:t>
      </w:r>
      <w:r>
        <w:rPr>
          <w:rFonts w:ascii="Arial" w:cs="Arial" w:eastAsia="Arial" w:hAnsi="Arial"/>
          <w:sz w:val="17"/>
          <w:szCs w:val="17"/>
          <w:color w:val="auto"/>
        </w:rPr>
        <w:t>, at the request of any such seller, the Company shall prepare a supplement or amendment to such prospectus so that, as thereafter delivered to the purchasers of such Registrable Securities, such prospectus shall not contain an untrue statement of a material fact or omit to state any fact necessary to make the statements therein not misleading;</w:t>
      </w:r>
    </w:p>
    <w:p>
      <w:pPr>
        <w:spacing w:after="0" w:line="206" w:lineRule="exact"/>
        <w:rPr>
          <w:sz w:val="20"/>
          <w:szCs w:val="20"/>
          <w:color w:val="auto"/>
        </w:rPr>
      </w:pPr>
    </w:p>
    <w:p>
      <w:pPr>
        <w:ind w:firstLine="816"/>
        <w:spacing w:after="0" w:line="232" w:lineRule="auto"/>
        <w:tabs>
          <w:tab w:leader="none" w:pos="1821" w:val="left"/>
        </w:tabs>
        <w:numPr>
          <w:ilvl w:val="0"/>
          <w:numId w:val="74"/>
        </w:numPr>
        <w:rPr>
          <w:rFonts w:ascii="Arial" w:cs="Arial" w:eastAsia="Arial" w:hAnsi="Arial"/>
          <w:sz w:val="22"/>
          <w:szCs w:val="22"/>
          <w:color w:val="auto"/>
        </w:rPr>
      </w:pPr>
      <w:r>
        <w:rPr>
          <w:rFonts w:ascii="Arial" w:cs="Arial" w:eastAsia="Arial" w:hAnsi="Arial"/>
          <w:sz w:val="18"/>
          <w:szCs w:val="18"/>
          <w:color w:val="auto"/>
        </w:rPr>
        <w:t>use reasonable best efforts to cause all such Registrable Securities to be listed on each securities exchange on which similar securities issued by the Company are then listed and, if not so listed, to be listed on a securities exchange;</w:t>
      </w:r>
    </w:p>
    <w:p>
      <w:pPr>
        <w:spacing w:after="0" w:line="230" w:lineRule="exact"/>
        <w:rPr>
          <w:rFonts w:ascii="Arial" w:cs="Arial" w:eastAsia="Arial" w:hAnsi="Arial"/>
          <w:sz w:val="22"/>
          <w:szCs w:val="22"/>
          <w:color w:val="auto"/>
        </w:rPr>
      </w:pPr>
    </w:p>
    <w:p>
      <w:pPr>
        <w:ind w:right="100" w:firstLine="816"/>
        <w:spacing w:after="0" w:line="232" w:lineRule="auto"/>
        <w:tabs>
          <w:tab w:leader="none" w:pos="1880" w:val="left"/>
        </w:tabs>
        <w:numPr>
          <w:ilvl w:val="0"/>
          <w:numId w:val="74"/>
        </w:numPr>
        <w:rPr>
          <w:rFonts w:ascii="Arial" w:cs="Arial" w:eastAsia="Arial" w:hAnsi="Arial"/>
          <w:sz w:val="22"/>
          <w:szCs w:val="22"/>
          <w:color w:val="auto"/>
        </w:rPr>
      </w:pPr>
      <w:r>
        <w:rPr>
          <w:rFonts w:ascii="Arial" w:cs="Arial" w:eastAsia="Arial" w:hAnsi="Arial"/>
          <w:sz w:val="18"/>
          <w:szCs w:val="18"/>
          <w:color w:val="auto"/>
        </w:rPr>
        <w:t>use reasonable best efforts to provide a transfer agent, registrar and CUSIP number for all such Registrable Securities not later than the effective date of such registration statement;</w:t>
      </w:r>
    </w:p>
    <w:p>
      <w:pPr>
        <w:spacing w:after="0" w:line="230" w:lineRule="exact"/>
        <w:rPr>
          <w:rFonts w:ascii="Arial" w:cs="Arial" w:eastAsia="Arial" w:hAnsi="Arial"/>
          <w:sz w:val="22"/>
          <w:szCs w:val="22"/>
          <w:color w:val="auto"/>
        </w:rPr>
      </w:pPr>
    </w:p>
    <w:p>
      <w:pPr>
        <w:ind w:right="20" w:firstLine="816"/>
        <w:spacing w:after="0" w:line="245" w:lineRule="auto"/>
        <w:tabs>
          <w:tab w:leader="none" w:pos="1770" w:val="left"/>
        </w:tabs>
        <w:numPr>
          <w:ilvl w:val="0"/>
          <w:numId w:val="74"/>
        </w:numPr>
        <w:rPr>
          <w:rFonts w:ascii="Arial" w:cs="Arial" w:eastAsia="Arial" w:hAnsi="Arial"/>
          <w:sz w:val="22"/>
          <w:szCs w:val="22"/>
          <w:color w:val="auto"/>
        </w:rPr>
      </w:pPr>
      <w:r>
        <w:rPr>
          <w:rFonts w:ascii="Arial" w:cs="Arial" w:eastAsia="Arial" w:hAnsi="Arial"/>
          <w:sz w:val="18"/>
          <w:szCs w:val="18"/>
          <w:color w:val="auto"/>
        </w:rPr>
        <w:t xml:space="preserve">enter into and perform such customary agreements (including underwriting agreements in customary form), which may include indemnification provisions in favor of underwriters and other Persons in addition to the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make such representations and warranties to the Holders registering securities and the underwriters or agents, if any, in form, substance and scope as are customarily made by issuers in public offerings similar to the offering then being undertaken, and take all such other actions as the Holders of the Registrable Securities being sold or the underwriters, if any, reasonably request in order to expedite or facilitate the disposition of such Registrable Securities;</w:t>
      </w:r>
    </w:p>
    <w:p>
      <w:pPr>
        <w:spacing w:after="0" w:line="224" w:lineRule="exact"/>
        <w:rPr>
          <w:rFonts w:ascii="Arial" w:cs="Arial" w:eastAsia="Arial" w:hAnsi="Arial"/>
          <w:sz w:val="22"/>
          <w:szCs w:val="22"/>
          <w:color w:val="auto"/>
        </w:rPr>
      </w:pPr>
    </w:p>
    <w:p>
      <w:pPr>
        <w:ind w:right="200" w:firstLine="816"/>
        <w:spacing w:after="0" w:line="283" w:lineRule="auto"/>
        <w:tabs>
          <w:tab w:leader="none" w:pos="1710" w:val="left"/>
        </w:tabs>
        <w:numPr>
          <w:ilvl w:val="0"/>
          <w:numId w:val="74"/>
        </w:numPr>
        <w:rPr>
          <w:rFonts w:ascii="Arial" w:cs="Arial" w:eastAsia="Arial" w:hAnsi="Arial"/>
          <w:sz w:val="19"/>
          <w:szCs w:val="19"/>
          <w:color w:val="auto"/>
        </w:rPr>
      </w:pPr>
      <w:r>
        <w:rPr>
          <w:rFonts w:ascii="Arial" w:cs="Arial" w:eastAsia="Arial" w:hAnsi="Arial"/>
          <w:sz w:val="16"/>
          <w:szCs w:val="16"/>
          <w:color w:val="auto"/>
        </w:rPr>
        <w:t>make available for inspection by any seller of Registrable Securities, any underwriter participating in any disposition pursuant to such registration statement and any attorney, accountant or other agent retained by any such seller or underwriter, all financial and other records, pertinent corporate and business documents and properties of the Company as shall be necessary to enable them to exercise their due diligence responsibility, and cause the Company’s officers, directors, employees, agents, representatives and independent accountants to make themselves available to discuss the business of the Company and to supply all information reasonably requested by any such seller, underwriter, attorney, accountant or agent in connection with such registration statement;</w:t>
      </w:r>
    </w:p>
    <w:p>
      <w:pPr>
        <w:spacing w:after="0" w:line="197" w:lineRule="exact"/>
        <w:rPr>
          <w:rFonts w:ascii="Arial" w:cs="Arial" w:eastAsia="Arial" w:hAnsi="Arial"/>
          <w:sz w:val="19"/>
          <w:szCs w:val="19"/>
          <w:color w:val="auto"/>
        </w:rPr>
      </w:pPr>
    </w:p>
    <w:p>
      <w:pPr>
        <w:ind w:firstLine="816"/>
        <w:spacing w:after="0" w:line="260" w:lineRule="auto"/>
        <w:tabs>
          <w:tab w:leader="none" w:pos="1770" w:val="left"/>
        </w:tabs>
        <w:numPr>
          <w:ilvl w:val="0"/>
          <w:numId w:val="74"/>
        </w:numPr>
        <w:rPr>
          <w:rFonts w:ascii="Arial" w:cs="Arial" w:eastAsia="Arial" w:hAnsi="Arial"/>
          <w:sz w:val="21"/>
          <w:szCs w:val="21"/>
          <w:color w:val="auto"/>
        </w:rPr>
      </w:pPr>
      <w:r>
        <w:rPr>
          <w:rFonts w:ascii="Arial" w:cs="Arial" w:eastAsia="Arial" w:hAnsi="Arial"/>
          <w:sz w:val="17"/>
          <w:szCs w:val="17"/>
          <w:color w:val="auto"/>
        </w:rPr>
        <w:t>use reasonable best efforts to ensure that any Free Writing Prospectus utilized in connection with any Demand Registration or Piggyback Registration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shall not contain any untrue statement of a material fact or omit to state a material fact necessary to make the statements therein, in light of the circumstances under which they were made, not misleading;</w:t>
      </w:r>
    </w:p>
    <w:p>
      <w:pPr>
        <w:spacing w:after="0" w:line="214" w:lineRule="exact"/>
        <w:rPr>
          <w:rFonts w:ascii="Arial" w:cs="Arial" w:eastAsia="Arial" w:hAnsi="Arial"/>
          <w:sz w:val="21"/>
          <w:szCs w:val="21"/>
          <w:color w:val="auto"/>
        </w:rPr>
      </w:pPr>
    </w:p>
    <w:p>
      <w:pPr>
        <w:ind w:firstLine="816"/>
        <w:spacing w:after="0" w:line="259" w:lineRule="auto"/>
        <w:tabs>
          <w:tab w:leader="none" w:pos="1830" w:val="left"/>
        </w:tabs>
        <w:numPr>
          <w:ilvl w:val="0"/>
          <w:numId w:val="74"/>
        </w:numPr>
        <w:rPr>
          <w:rFonts w:ascii="Arial" w:cs="Arial" w:eastAsia="Arial" w:hAnsi="Arial"/>
          <w:sz w:val="21"/>
          <w:szCs w:val="21"/>
          <w:color w:val="auto"/>
        </w:rPr>
      </w:pPr>
      <w:r>
        <w:rPr>
          <w:rFonts w:ascii="Arial" w:cs="Arial" w:eastAsia="Arial" w:hAnsi="Arial"/>
          <w:sz w:val="17"/>
          <w:szCs w:val="17"/>
          <w:color w:val="auto"/>
        </w:rPr>
        <w:t>otherwise use reasonable best efforts to comply with all applicable rules and regulations of the Securities and Exchange Commission, and make available to its security holders, as soon as reasonably practicable, an earnings statement covering the period of at least twelve months beginning with the first day of the Company’s first full calendar quarter after the effective date of the registration statement, which earnings statement shall satisfy the provisions of Section 11(a) of the Securities Act and Rule 158;</w:t>
      </w:r>
    </w:p>
    <w:p>
      <w:pPr>
        <w:spacing w:after="0" w:line="213" w:lineRule="exact"/>
        <w:rPr>
          <w:rFonts w:ascii="Arial" w:cs="Arial" w:eastAsia="Arial" w:hAnsi="Arial"/>
          <w:sz w:val="21"/>
          <w:szCs w:val="21"/>
          <w:color w:val="auto"/>
        </w:rPr>
      </w:pPr>
    </w:p>
    <w:p>
      <w:pPr>
        <w:ind w:firstLine="816"/>
        <w:spacing w:after="0" w:line="238" w:lineRule="auto"/>
        <w:tabs>
          <w:tab w:leader="none" w:pos="1890" w:val="left"/>
        </w:tabs>
        <w:numPr>
          <w:ilvl w:val="0"/>
          <w:numId w:val="74"/>
        </w:numPr>
        <w:rPr>
          <w:rFonts w:ascii="Arial" w:cs="Arial" w:eastAsia="Arial" w:hAnsi="Arial"/>
          <w:sz w:val="22"/>
          <w:szCs w:val="22"/>
          <w:color w:val="auto"/>
        </w:rPr>
      </w:pPr>
      <w:r>
        <w:rPr>
          <w:rFonts w:ascii="Arial" w:cs="Arial" w:eastAsia="Arial" w:hAnsi="Arial"/>
          <w:sz w:val="18"/>
          <w:szCs w:val="18"/>
          <w:color w:val="auto"/>
        </w:rPr>
        <w:t>to the extent that a Holder, in its sole and exclusive judgment, might be deemed to be an underwriter of any Registrable Securities or a controlling person of the Company, permit such Holder to participate in the preparation of such registration or comparable statement and allow such Holder to provide</w:t>
      </w:r>
    </w:p>
    <w:p>
      <w:pPr>
        <w:spacing w:after="0" w:line="20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20" w:top="355" w:right="279" w:bottom="1440" w:gutter="0" w:footer="0" w:header="0"/>
        </w:sectPr>
      </w:pPr>
    </w:p>
    <w:bookmarkStart w:id="98" w:name="page99"/>
    <w:bookmarkEnd w:id="98"/>
    <w:p>
      <w:pPr>
        <w:ind w:right="500"/>
        <w:spacing w:after="0" w:line="277" w:lineRule="auto"/>
        <w:rPr>
          <w:sz w:val="20"/>
          <w:szCs w:val="20"/>
          <w:color w:val="auto"/>
        </w:rPr>
      </w:pPr>
      <w:r>
        <w:rPr>
          <w:rFonts w:ascii="Arial" w:cs="Arial" w:eastAsia="Arial" w:hAnsi="Arial"/>
          <w:sz w:val="18"/>
          <w:szCs w:val="18"/>
          <w:color w:val="auto"/>
        </w:rPr>
        <w:t>language for insertion therein, in form and substance satisfactory to the Company, which in the reasonable judgment of such Holder and its counsel should be included;</w:t>
      </w:r>
    </w:p>
    <w:p>
      <w:pPr>
        <w:spacing w:after="0" w:line="197" w:lineRule="exact"/>
        <w:rPr>
          <w:sz w:val="20"/>
          <w:szCs w:val="20"/>
          <w:color w:val="auto"/>
        </w:rPr>
      </w:pPr>
    </w:p>
    <w:p>
      <w:pPr>
        <w:ind w:right="40" w:firstLine="816"/>
        <w:spacing w:after="0" w:line="285" w:lineRule="auto"/>
        <w:tabs>
          <w:tab w:leader="none" w:pos="1878" w:val="left"/>
        </w:tabs>
        <w:numPr>
          <w:ilvl w:val="0"/>
          <w:numId w:val="75"/>
        </w:numPr>
        <w:rPr>
          <w:rFonts w:ascii="Arial" w:cs="Arial" w:eastAsia="Arial" w:hAnsi="Arial"/>
          <w:sz w:val="19"/>
          <w:szCs w:val="19"/>
          <w:color w:val="auto"/>
        </w:rPr>
      </w:pPr>
      <w:r>
        <w:rPr>
          <w:rFonts w:ascii="Arial" w:cs="Arial" w:eastAsia="Arial" w:hAnsi="Arial"/>
          <w:sz w:val="16"/>
          <w:szCs w:val="16"/>
          <w:color w:val="auto"/>
        </w:rPr>
        <w:t>in the event of the issuance of any stop order suspending the effectiveness of a registration statement, or the issuance of any order suspending or preventing the use of any related prospectus or suspending the qualification of any Common Stock included in such registration statement for sale in any jurisdiction, use reasonable best efforts promptly to obtain the withdrawal of such order;</w:t>
      </w:r>
    </w:p>
    <w:p>
      <w:pPr>
        <w:spacing w:after="0" w:line="194" w:lineRule="exact"/>
        <w:rPr>
          <w:rFonts w:ascii="Arial" w:cs="Arial" w:eastAsia="Arial" w:hAnsi="Arial"/>
          <w:sz w:val="19"/>
          <w:szCs w:val="19"/>
          <w:color w:val="auto"/>
        </w:rPr>
      </w:pPr>
    </w:p>
    <w:p>
      <w:pPr>
        <w:ind w:right="200" w:firstLine="816"/>
        <w:spacing w:after="0" w:line="238" w:lineRule="auto"/>
        <w:tabs>
          <w:tab w:leader="none" w:pos="1818" w:val="left"/>
        </w:tabs>
        <w:numPr>
          <w:ilvl w:val="0"/>
          <w:numId w:val="75"/>
        </w:numPr>
        <w:rPr>
          <w:rFonts w:ascii="Arial" w:cs="Arial" w:eastAsia="Arial" w:hAnsi="Arial"/>
          <w:sz w:val="22"/>
          <w:szCs w:val="22"/>
          <w:color w:val="auto"/>
        </w:rPr>
      </w:pPr>
      <w:r>
        <w:rPr>
          <w:rFonts w:ascii="Arial" w:cs="Arial" w:eastAsia="Arial" w:hAnsi="Arial"/>
          <w:sz w:val="18"/>
          <w:szCs w:val="18"/>
          <w:color w:val="auto"/>
        </w:rPr>
        <w:t>use reasonable best efforts to cause such Registrable Securities covered by such registration statement to be registered with or approved by such other governmental agencies or authorities as may be necessary to enable the sellers thereof to consummate the disposition of such Registrable Securities;</w:t>
      </w:r>
    </w:p>
    <w:p>
      <w:pPr>
        <w:spacing w:after="0" w:line="229" w:lineRule="exact"/>
        <w:rPr>
          <w:rFonts w:ascii="Arial" w:cs="Arial" w:eastAsia="Arial" w:hAnsi="Arial"/>
          <w:sz w:val="22"/>
          <w:szCs w:val="22"/>
          <w:color w:val="auto"/>
        </w:rPr>
      </w:pPr>
    </w:p>
    <w:p>
      <w:pPr>
        <w:ind w:right="200" w:firstLine="816"/>
        <w:spacing w:after="0" w:line="259" w:lineRule="auto"/>
        <w:tabs>
          <w:tab w:leader="none" w:pos="1878" w:val="left"/>
        </w:tabs>
        <w:numPr>
          <w:ilvl w:val="0"/>
          <w:numId w:val="75"/>
        </w:numPr>
        <w:rPr>
          <w:rFonts w:ascii="Arial" w:cs="Arial" w:eastAsia="Arial" w:hAnsi="Arial"/>
          <w:sz w:val="21"/>
          <w:szCs w:val="21"/>
          <w:color w:val="auto"/>
        </w:rPr>
      </w:pPr>
      <w:r>
        <w:rPr>
          <w:rFonts w:ascii="Arial" w:cs="Arial" w:eastAsia="Arial" w:hAnsi="Arial"/>
          <w:sz w:val="17"/>
          <w:szCs w:val="17"/>
          <w:color w:val="auto"/>
        </w:rPr>
        <w:t>cooperate with the Holders of Registrable Securities covered by such registration statement and the managing underwriter or agent, if any, to facilitate the timely preparation and delivery of certificates (not bearing any restrictive legends) representing the Registrable Securities to be sold under the registration statement and enable such Registrable Securities to be in such denominations and registered in such names as the managing underwriter, or agent, if any, or such Holders may request;</w:t>
      </w:r>
    </w:p>
    <w:p>
      <w:pPr>
        <w:spacing w:after="0" w:line="213" w:lineRule="exact"/>
        <w:rPr>
          <w:rFonts w:ascii="Arial" w:cs="Arial" w:eastAsia="Arial" w:hAnsi="Arial"/>
          <w:sz w:val="21"/>
          <w:szCs w:val="21"/>
          <w:color w:val="auto"/>
        </w:rPr>
      </w:pPr>
    </w:p>
    <w:p>
      <w:pPr>
        <w:ind w:right="200" w:firstLine="816"/>
        <w:spacing w:after="0" w:line="238" w:lineRule="auto"/>
        <w:tabs>
          <w:tab w:leader="none" w:pos="1938" w:val="left"/>
        </w:tabs>
        <w:numPr>
          <w:ilvl w:val="0"/>
          <w:numId w:val="75"/>
        </w:numPr>
        <w:rPr>
          <w:rFonts w:ascii="Arial" w:cs="Arial" w:eastAsia="Arial" w:hAnsi="Arial"/>
          <w:sz w:val="22"/>
          <w:szCs w:val="22"/>
          <w:color w:val="auto"/>
        </w:rPr>
      </w:pPr>
      <w:r>
        <w:rPr>
          <w:rFonts w:ascii="Arial" w:cs="Arial" w:eastAsia="Arial" w:hAnsi="Arial"/>
          <w:sz w:val="18"/>
          <w:szCs w:val="18"/>
          <w:color w:val="auto"/>
        </w:rPr>
        <w:t>cooperate with each Holder of Registrable Securities covered by such registration statement and each underwriter or agent participating in the disposition of such Registrable Securities and their respective counsel in connection with any filings required to be made with FINRA;</w:t>
      </w:r>
    </w:p>
    <w:p>
      <w:pPr>
        <w:spacing w:after="0" w:line="229" w:lineRule="exact"/>
        <w:rPr>
          <w:rFonts w:ascii="Arial" w:cs="Arial" w:eastAsia="Arial" w:hAnsi="Arial"/>
          <w:sz w:val="22"/>
          <w:szCs w:val="22"/>
          <w:color w:val="auto"/>
        </w:rPr>
      </w:pPr>
    </w:p>
    <w:p>
      <w:pPr>
        <w:ind w:right="80" w:firstLine="816"/>
        <w:spacing w:after="0" w:line="256" w:lineRule="auto"/>
        <w:tabs>
          <w:tab w:leader="none" w:pos="1998" w:val="left"/>
        </w:tabs>
        <w:numPr>
          <w:ilvl w:val="0"/>
          <w:numId w:val="75"/>
        </w:numPr>
        <w:rPr>
          <w:rFonts w:ascii="Arial" w:cs="Arial" w:eastAsia="Arial" w:hAnsi="Arial"/>
          <w:sz w:val="21"/>
          <w:szCs w:val="21"/>
          <w:color w:val="auto"/>
        </w:rPr>
      </w:pPr>
      <w:r>
        <w:rPr>
          <w:rFonts w:ascii="Arial" w:cs="Arial" w:eastAsia="Arial" w:hAnsi="Arial"/>
          <w:sz w:val="17"/>
          <w:szCs w:val="17"/>
          <w:color w:val="auto"/>
        </w:rPr>
        <w:t>use reasonable best efforts to make available the executive officers of the Company to participate with the Holders of Registrable Securities covered by such registration statement and any underwriters in any “road shows” or other selling efforts that may be reasonably requested by the Holders in connection with the methods of distribution for the Registrable Securities;</w:t>
      </w:r>
    </w:p>
    <w:p>
      <w:pPr>
        <w:spacing w:after="0" w:line="216" w:lineRule="exact"/>
        <w:rPr>
          <w:rFonts w:ascii="Arial" w:cs="Arial" w:eastAsia="Arial" w:hAnsi="Arial"/>
          <w:sz w:val="21"/>
          <w:szCs w:val="21"/>
          <w:color w:val="auto"/>
        </w:rPr>
      </w:pPr>
    </w:p>
    <w:p>
      <w:pPr>
        <w:ind w:firstLine="816"/>
        <w:spacing w:after="0" w:line="260" w:lineRule="auto"/>
        <w:tabs>
          <w:tab w:leader="none" w:pos="1878" w:val="left"/>
        </w:tabs>
        <w:numPr>
          <w:ilvl w:val="0"/>
          <w:numId w:val="75"/>
        </w:numPr>
        <w:rPr>
          <w:rFonts w:ascii="Arial" w:cs="Arial" w:eastAsia="Arial" w:hAnsi="Arial"/>
          <w:sz w:val="21"/>
          <w:szCs w:val="21"/>
          <w:color w:val="auto"/>
        </w:rPr>
      </w:pPr>
      <w:r>
        <w:rPr>
          <w:rFonts w:ascii="Arial" w:cs="Arial" w:eastAsia="Arial" w:hAnsi="Arial"/>
          <w:sz w:val="17"/>
          <w:szCs w:val="17"/>
          <w:color w:val="auto"/>
        </w:rPr>
        <w:t>in the case of any underwritten Public Offering, use its reasonable best efforts to obtain one or more cold comfort letters from the Company’s independent certified public accountants (and, if necessary, any other independent certified public accountants or independent auditors of any Subsidiary of the Company or any business acquired by the Company for which financial statements and financial data are, or are required to be, included in the registration statement) in customary form and covering such matters of the type customarily covered by cold comfort letters as the Holders of the Registrable Securities being sold reasonably request;</w:t>
      </w:r>
    </w:p>
    <w:p>
      <w:pPr>
        <w:spacing w:after="0" w:line="214" w:lineRule="exact"/>
        <w:rPr>
          <w:rFonts w:ascii="Arial" w:cs="Arial" w:eastAsia="Arial" w:hAnsi="Arial"/>
          <w:sz w:val="21"/>
          <w:szCs w:val="21"/>
          <w:color w:val="auto"/>
        </w:rPr>
      </w:pPr>
    </w:p>
    <w:p>
      <w:pPr>
        <w:ind w:right="100" w:firstLine="816"/>
        <w:spacing w:after="0" w:line="282" w:lineRule="auto"/>
        <w:tabs>
          <w:tab w:leader="none" w:pos="1818" w:val="left"/>
        </w:tabs>
        <w:numPr>
          <w:ilvl w:val="0"/>
          <w:numId w:val="75"/>
        </w:numPr>
        <w:rPr>
          <w:rFonts w:ascii="Arial" w:cs="Arial" w:eastAsia="Arial" w:hAnsi="Arial"/>
          <w:sz w:val="19"/>
          <w:szCs w:val="19"/>
          <w:color w:val="auto"/>
        </w:rPr>
      </w:pPr>
      <w:r>
        <w:rPr>
          <w:rFonts w:ascii="Arial" w:cs="Arial" w:eastAsia="Arial" w:hAnsi="Arial"/>
          <w:sz w:val="16"/>
          <w:szCs w:val="16"/>
          <w:color w:val="auto"/>
        </w:rPr>
        <w:t>in the case of any underwritten Public Offering, use its reasonable best efforts to provide (i) a legal opinion of the Company’s outside counsel, dated the effective date of such registration statement and the date of the closing under the underwriting agreement,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 which opinion shall be addressed to the underwriters and the Holders of such Registrable Securities being sold and (ii) a legal opinion of the Company’s general counsel, dated the date of the closing under the underwriting agreement,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 which opinion shall be addressed to the underwriters and the Holders of such Registrable Securities being sold;</w:t>
      </w:r>
    </w:p>
    <w:p>
      <w:pPr>
        <w:spacing w:after="0" w:line="201" w:lineRule="exact"/>
        <w:rPr>
          <w:rFonts w:ascii="Arial" w:cs="Arial" w:eastAsia="Arial" w:hAnsi="Arial"/>
          <w:sz w:val="19"/>
          <w:szCs w:val="19"/>
          <w:color w:val="auto"/>
        </w:rPr>
      </w:pPr>
    </w:p>
    <w:p>
      <w:pPr>
        <w:ind w:right="60" w:firstLine="816"/>
        <w:spacing w:after="0" w:line="238" w:lineRule="auto"/>
        <w:tabs>
          <w:tab w:leader="none" w:pos="1878" w:val="left"/>
        </w:tabs>
        <w:numPr>
          <w:ilvl w:val="0"/>
          <w:numId w:val="75"/>
        </w:numPr>
        <w:rPr>
          <w:rFonts w:ascii="Arial" w:cs="Arial" w:eastAsia="Arial" w:hAnsi="Arial"/>
          <w:sz w:val="22"/>
          <w:szCs w:val="22"/>
          <w:color w:val="auto"/>
        </w:rPr>
      </w:pPr>
      <w:r>
        <w:rPr>
          <w:rFonts w:ascii="Arial" w:cs="Arial" w:eastAsia="Arial" w:hAnsi="Arial"/>
          <w:sz w:val="18"/>
          <w:szCs w:val="18"/>
          <w:color w:val="auto"/>
        </w:rPr>
        <w:t>if the Company files an Automatic Shelf Registration Statement covering any Registrable Securities, use its reasonable best efforts to remain a WKSI (and not become an ineligible issuer (as defined in Rule 405 under the Securities Act)) during the period during which such Automatic Shelf Registration Statement is required to remain effective;</w:t>
      </w:r>
    </w:p>
    <w:p>
      <w:pPr>
        <w:spacing w:after="0" w:line="20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1120" w:top="355" w:right="259" w:bottom="1440" w:gutter="0" w:footer="0" w:header="0"/>
        </w:sectPr>
      </w:pPr>
    </w:p>
    <w:bookmarkStart w:id="99" w:name="page100"/>
    <w:bookmarkEnd w:id="99"/>
    <w:p>
      <w:pPr>
        <w:ind w:left="860" w:right="740" w:firstLine="816"/>
        <w:spacing w:after="0" w:line="251" w:lineRule="auto"/>
        <w:tabs>
          <w:tab w:leader="none" w:pos="2798" w:val="left"/>
        </w:tabs>
        <w:numPr>
          <w:ilvl w:val="1"/>
          <w:numId w:val="76"/>
        </w:numPr>
        <w:rPr>
          <w:rFonts w:ascii="Arial" w:cs="Arial" w:eastAsia="Arial" w:hAnsi="Arial"/>
          <w:sz w:val="21"/>
          <w:szCs w:val="21"/>
          <w:color w:val="auto"/>
        </w:rPr>
      </w:pPr>
      <w:r>
        <w:rPr>
          <w:rFonts w:ascii="Arial" w:cs="Arial" w:eastAsia="Arial" w:hAnsi="Arial"/>
          <w:sz w:val="17"/>
          <w:szCs w:val="17"/>
          <w:color w:val="auto"/>
        </w:rPr>
        <w:t>if the Company does not pay the filing fee covering the Registrable Securities at the time an Automatic Shelf Registration Statement is filed, pay such fee at such time or times as the Registrable Securities are to be sold;</w:t>
      </w:r>
    </w:p>
    <w:p>
      <w:pPr>
        <w:spacing w:after="0" w:line="218" w:lineRule="exact"/>
        <w:rPr>
          <w:rFonts w:ascii="Arial" w:cs="Arial" w:eastAsia="Arial" w:hAnsi="Arial"/>
          <w:sz w:val="21"/>
          <w:szCs w:val="21"/>
          <w:color w:val="auto"/>
        </w:rPr>
      </w:pPr>
    </w:p>
    <w:p>
      <w:pPr>
        <w:ind w:left="860" w:right="60" w:firstLine="816"/>
        <w:spacing w:after="0" w:line="243" w:lineRule="auto"/>
        <w:tabs>
          <w:tab w:leader="none" w:pos="2858" w:val="left"/>
        </w:tabs>
        <w:numPr>
          <w:ilvl w:val="1"/>
          <w:numId w:val="76"/>
        </w:numPr>
        <w:rPr>
          <w:rFonts w:ascii="Arial" w:cs="Arial" w:eastAsia="Arial" w:hAnsi="Arial"/>
          <w:sz w:val="22"/>
          <w:szCs w:val="22"/>
          <w:color w:val="auto"/>
        </w:rPr>
      </w:pPr>
      <w:r>
        <w:rPr>
          <w:rFonts w:ascii="Arial" w:cs="Arial" w:eastAsia="Arial" w:hAnsi="Arial"/>
          <w:sz w:val="18"/>
          <w:szCs w:val="18"/>
          <w:color w:val="auto"/>
        </w:rPr>
        <w:t>if an Automatic Shelf Registration Statement has been outstanding for at least three (3) years, at the end of the third year, file a new Automatic Shelf Registration Statement covering the Registrable Securities, and, if at any time when the Company is required to re-evaluate its WKSI status the Company determines that it is not a WKSI, use its reasonable best efforts to refile the Shelf Registration Statement on Form S-3 and, if such form is not available, Form S-1 and keep such registration statement effective during the period during which such registration statement is required to be kept effective;</w:t>
      </w:r>
    </w:p>
    <w:p>
      <w:pPr>
        <w:spacing w:after="0" w:line="229" w:lineRule="exact"/>
        <w:rPr>
          <w:rFonts w:ascii="Arial" w:cs="Arial" w:eastAsia="Arial" w:hAnsi="Arial"/>
          <w:sz w:val="22"/>
          <w:szCs w:val="22"/>
          <w:color w:val="auto"/>
        </w:rPr>
      </w:pPr>
    </w:p>
    <w:p>
      <w:pPr>
        <w:ind w:left="860" w:right="380" w:firstLine="816"/>
        <w:spacing w:after="0" w:line="232" w:lineRule="auto"/>
        <w:tabs>
          <w:tab w:leader="none" w:pos="2846" w:val="left"/>
        </w:tabs>
        <w:numPr>
          <w:ilvl w:val="1"/>
          <w:numId w:val="76"/>
        </w:numPr>
        <w:rPr>
          <w:rFonts w:ascii="Arial" w:cs="Arial" w:eastAsia="Arial" w:hAnsi="Arial"/>
          <w:sz w:val="22"/>
          <w:szCs w:val="22"/>
          <w:color w:val="auto"/>
        </w:rPr>
      </w:pPr>
      <w:r>
        <w:rPr>
          <w:rFonts w:ascii="Arial" w:cs="Arial" w:eastAsia="Arial" w:hAnsi="Arial"/>
          <w:sz w:val="18"/>
          <w:szCs w:val="18"/>
          <w:color w:val="auto"/>
        </w:rPr>
        <w:t>provide all such other certificates, letters, opinions and other requested documents customarily provided in public offerings similar to the offering then being undertaken; and</w:t>
      </w:r>
    </w:p>
    <w:p>
      <w:pPr>
        <w:spacing w:after="0" w:line="230" w:lineRule="exact"/>
        <w:rPr>
          <w:rFonts w:ascii="Arial" w:cs="Arial" w:eastAsia="Arial" w:hAnsi="Arial"/>
          <w:sz w:val="22"/>
          <w:szCs w:val="22"/>
          <w:color w:val="auto"/>
        </w:rPr>
      </w:pPr>
    </w:p>
    <w:p>
      <w:pPr>
        <w:ind w:left="860" w:right="180" w:firstLine="816"/>
        <w:spacing w:after="0" w:line="232" w:lineRule="auto"/>
        <w:tabs>
          <w:tab w:leader="none" w:pos="2786" w:val="left"/>
        </w:tabs>
        <w:numPr>
          <w:ilvl w:val="1"/>
          <w:numId w:val="76"/>
        </w:numPr>
        <w:rPr>
          <w:rFonts w:ascii="Arial" w:cs="Arial" w:eastAsia="Arial" w:hAnsi="Arial"/>
          <w:sz w:val="22"/>
          <w:szCs w:val="22"/>
          <w:color w:val="auto"/>
        </w:rPr>
      </w:pPr>
      <w:r>
        <w:rPr>
          <w:rFonts w:ascii="Arial" w:cs="Arial" w:eastAsia="Arial" w:hAnsi="Arial"/>
          <w:sz w:val="18"/>
          <w:szCs w:val="18"/>
          <w:color w:val="auto"/>
        </w:rPr>
        <w:t>take all such other reasonable actions as are necessary or advisable in order to expedite or facilitate the disposition of such Registrable Securities in accordance with the terms of this Agreement.</w:t>
      </w:r>
    </w:p>
    <w:p>
      <w:pPr>
        <w:spacing w:after="0" w:line="203" w:lineRule="exact"/>
        <w:rPr>
          <w:rFonts w:ascii="Arial" w:cs="Arial" w:eastAsia="Arial" w:hAnsi="Arial"/>
          <w:sz w:val="22"/>
          <w:szCs w:val="22"/>
          <w:color w:val="auto"/>
        </w:rPr>
      </w:pPr>
    </w:p>
    <w:p>
      <w:pPr>
        <w:ind w:left="-20" w:right="120" w:firstLine="885"/>
        <w:spacing w:after="0" w:line="259" w:lineRule="auto"/>
        <w:tabs>
          <w:tab w:leader="none" w:pos="17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officer of the Company who is a Holder agrees that if and for so long as he or she is employed by the Company or any Subsidiary thereof, he or she shall participate fully in the sale process in a manner customary and reasonable for persons in like positions and consistent with his or her other duties with the Company and in accordance with applicable law, including the preparation of the registration statement and the preparation and presentation of any road shows.</w:t>
      </w:r>
    </w:p>
    <w:p>
      <w:pPr>
        <w:spacing w:after="0" w:line="186" w:lineRule="exact"/>
        <w:rPr>
          <w:rFonts w:ascii="Arial" w:cs="Arial" w:eastAsia="Arial" w:hAnsi="Arial"/>
          <w:sz w:val="18"/>
          <w:szCs w:val="18"/>
          <w:color w:val="auto"/>
        </w:rPr>
      </w:pPr>
    </w:p>
    <w:p>
      <w:pPr>
        <w:ind w:left="-20" w:right="160" w:firstLine="885"/>
        <w:spacing w:after="0" w:line="264" w:lineRule="auto"/>
        <w:tabs>
          <w:tab w:leader="none" w:pos="17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may require each Holder requesting, or electing to participate in, any registration or filing pursuant to this Agreement to furnish the Company such information regarding such Holder and the distribution of such Registrable Securities as the Company may from time to time reasonably request in writing.</w:t>
      </w:r>
    </w:p>
    <w:p>
      <w:pPr>
        <w:spacing w:after="0" w:line="181" w:lineRule="exact"/>
        <w:rPr>
          <w:rFonts w:ascii="Arial" w:cs="Arial" w:eastAsia="Arial" w:hAnsi="Arial"/>
          <w:sz w:val="18"/>
          <w:szCs w:val="18"/>
          <w:color w:val="auto"/>
        </w:rPr>
      </w:pPr>
    </w:p>
    <w:p>
      <w:pPr>
        <w:ind w:left="-20" w:firstLine="885"/>
        <w:spacing w:after="0" w:line="264" w:lineRule="auto"/>
        <w:tabs>
          <w:tab w:leader="none" w:pos="17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Holders or any of their respective Affiliates seek to effectuate an in-kind distribution of all or part of their respective Registrable Securities to their respective direct or indirect equityholders, the Company shall, subject to any applicable lock-ups, use reasonable best efforts to facilitate such in-kind distribution in the manner reasonably requested.</w:t>
      </w:r>
    </w:p>
    <w:p>
      <w:pPr>
        <w:spacing w:after="0" w:line="181" w:lineRule="exact"/>
        <w:rPr>
          <w:sz w:val="20"/>
          <w:szCs w:val="20"/>
          <w:color w:val="auto"/>
        </w:rPr>
      </w:pPr>
    </w:p>
    <w:p>
      <w:pPr>
        <w:ind w:left="860"/>
        <w:spacing w:after="0"/>
        <w:tabs>
          <w:tab w:leader="none" w:pos="222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5"/>
          <w:szCs w:val="15"/>
          <w:u w:val="single" w:color="auto"/>
          <w:color w:val="auto"/>
        </w:rPr>
        <w:t>Registration Expenses</w:t>
      </w:r>
      <w:r>
        <w:rPr>
          <w:rFonts w:ascii="Arial" w:cs="Arial" w:eastAsia="Arial" w:hAnsi="Arial"/>
          <w:sz w:val="15"/>
          <w:szCs w:val="15"/>
          <w:color w:val="auto"/>
        </w:rPr>
        <w:t>.</w:t>
      </w:r>
    </w:p>
    <w:p>
      <w:pPr>
        <w:spacing w:after="0" w:line="225" w:lineRule="exact"/>
        <w:rPr>
          <w:sz w:val="20"/>
          <w:szCs w:val="20"/>
          <w:color w:val="auto"/>
        </w:rPr>
      </w:pPr>
    </w:p>
    <w:p>
      <w:pPr>
        <w:ind w:left="-20" w:right="20" w:firstLine="885"/>
        <w:spacing w:after="0" w:line="285" w:lineRule="auto"/>
        <w:tabs>
          <w:tab w:leader="none" w:pos="1705"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The Company’s Obligation</w:t>
      </w:r>
      <w:r>
        <w:rPr>
          <w:rFonts w:ascii="Arial" w:cs="Arial" w:eastAsia="Arial" w:hAnsi="Arial"/>
          <w:sz w:val="16"/>
          <w:szCs w:val="16"/>
          <w:color w:val="auto"/>
        </w:rPr>
        <w:t>. All expenses incident to the Company’s performance of or compliance with this Agreement (including, without limitation, (i) all registration, qualification and filing fees (including filings with FINRA and the reasonable fees and disbursements of counsel for the underwriters in connection with FINRA qualification of the Registrable Securities), (ii) fees and expenses of compliance with securities or blue sky laws (including reasonable fees and disbursements of counsel for the underwriters in connection with blue sky qualification of the Registrable Securities), (iii) printing expenses (including expenses of printing certificates for Registrable Securities in a form eligible for deposit with The Depositary Trust Company and of printing prospectuses if the printing of prospectuses is requested by the managing underwriters or by the Holders of the Registrable Securities included in such registration), (iv) messenger, telephone and delivery expenses, (v) fees and disbursements of custodians, (vi) any other reasonable fees and disbursements of underwriters customarily paid by issuers or sellers of securities, (vii) all expenses related to the “road show” for any underwritten Public Offering, including the cost of any aircraft chartered for such purpose, (viii) fees and expenses of the transfer agent and registrar of the Company’s Common Stock and (ix) fees and disbursements of counsel for the Company and all independent certified public accountants (including the expenses of any special audit and comfort letters required by or incident to such performance), the underwriters (excluding underwriting discounts and commissions) and other Persons retained by the Company) (all such expenses being herein called “</w:t>
      </w:r>
      <w:r>
        <w:rPr>
          <w:rFonts w:ascii="Arial" w:cs="Arial" w:eastAsia="Arial" w:hAnsi="Arial"/>
          <w:sz w:val="16"/>
          <w:szCs w:val="16"/>
          <w:b w:val="1"/>
          <w:bCs w:val="1"/>
          <w:i w:val="1"/>
          <w:iCs w:val="1"/>
          <w:color w:val="auto"/>
        </w:rPr>
        <w:t>Registration Expenses</w:t>
      </w:r>
      <w:r>
        <w:rPr>
          <w:rFonts w:ascii="Arial" w:cs="Arial" w:eastAsia="Arial" w:hAnsi="Arial"/>
          <w:sz w:val="16"/>
          <w:szCs w:val="16"/>
          <w:color w:val="auto"/>
        </w:rPr>
        <w:t>”), shall be borne as provided in this Agreement, except that the Company shall, in any event, pay its internal expenses (including, without limitation, all salaries and expenses of its officers and employees performing legal or accounting duties), the expense of any annual audit or quarterly review, the expense of any liability insurance and the expenses and fees for listing the securities to be registered on each securities exchange on which similar securities issued by the Company are then listed or quotation of the Registrable Securities on any inter-dealer quotation system. Each Person that sells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382" w:right="239" w:bottom="1440" w:gutter="0" w:footer="0" w:header="0"/>
        </w:sectPr>
      </w:pPr>
    </w:p>
    <w:bookmarkStart w:id="100" w:name="page101"/>
    <w:bookmarkEnd w:id="100"/>
    <w:p>
      <w:pPr>
        <w:ind w:right="120"/>
        <w:spacing w:after="0" w:line="277" w:lineRule="auto"/>
        <w:rPr>
          <w:sz w:val="20"/>
          <w:szCs w:val="20"/>
          <w:color w:val="auto"/>
        </w:rPr>
      </w:pPr>
      <w:r>
        <w:rPr>
          <w:rFonts w:ascii="Arial" w:cs="Arial" w:eastAsia="Arial" w:hAnsi="Arial"/>
          <w:sz w:val="18"/>
          <w:szCs w:val="18"/>
          <w:color w:val="auto"/>
        </w:rPr>
        <w:t>securities pursuant to a Demand Registration or Piggyback Registration hereunder shall bear and pay all underwriting discounts and commissions applicable to the securities sold for such Person’s account.</w:t>
      </w:r>
    </w:p>
    <w:p>
      <w:pPr>
        <w:spacing w:after="0" w:line="170" w:lineRule="exact"/>
        <w:rPr>
          <w:sz w:val="20"/>
          <w:szCs w:val="20"/>
          <w:color w:val="auto"/>
        </w:rPr>
      </w:pPr>
    </w:p>
    <w:p>
      <w:pPr>
        <w:ind w:right="60" w:firstLine="885"/>
        <w:spacing w:after="0" w:line="273" w:lineRule="auto"/>
        <w:tabs>
          <w:tab w:leader="none" w:pos="1735"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Counsel Fees and Disbursements</w:t>
      </w:r>
      <w:r>
        <w:rPr>
          <w:rFonts w:ascii="Arial" w:cs="Arial" w:eastAsia="Arial" w:hAnsi="Arial"/>
          <w:sz w:val="17"/>
          <w:szCs w:val="17"/>
          <w:color w:val="auto"/>
        </w:rPr>
        <w:t>. In connection with each Demand Registration, each Piggyback Registration and each Shelf Offering that is an underwritten Public Offering, the Company shall reimburse the Holders of Registrable Securities included in such registration for the reasonable fees and disbursements of (i) one counsel chosen by the Holders representing a majority of the Registrable Securities included in such registration or participating in such Shelf Offering, and (ii) each additional counsel retained by any Holder for the purpose of rendering an opinion on behalf of such Holder in connection with any Demand Registration, Piggyback Registration or Shelf Offering that is an underwritten Public Offering, where the counsel referred to in clause (i) is unable or unwilling to render an opinion on behalf of such Holder.</w:t>
      </w:r>
    </w:p>
    <w:p>
      <w:pPr>
        <w:spacing w:after="0" w:line="178" w:lineRule="exact"/>
        <w:rPr>
          <w:sz w:val="20"/>
          <w:szCs w:val="20"/>
          <w:color w:val="auto"/>
        </w:rPr>
      </w:pPr>
    </w:p>
    <w:p>
      <w:pPr>
        <w:ind w:left="880"/>
        <w:spacing w:after="0"/>
        <w:tabs>
          <w:tab w:leader="none" w:pos="22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w:t>
      </w:r>
    </w:p>
    <w:p>
      <w:pPr>
        <w:spacing w:after="0" w:line="225" w:lineRule="exact"/>
        <w:rPr>
          <w:sz w:val="20"/>
          <w:szCs w:val="20"/>
          <w:color w:val="auto"/>
        </w:rPr>
      </w:pPr>
    </w:p>
    <w:p>
      <w:pPr>
        <w:ind w:firstLine="885"/>
        <w:spacing w:after="0" w:line="284" w:lineRule="auto"/>
        <w:tabs>
          <w:tab w:leader="none" w:pos="172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By the Company</w:t>
      </w:r>
      <w:r>
        <w:rPr>
          <w:rFonts w:ascii="Arial" w:cs="Arial" w:eastAsia="Arial" w:hAnsi="Arial"/>
          <w:sz w:val="16"/>
          <w:szCs w:val="16"/>
          <w:color w:val="auto"/>
        </w:rPr>
        <w:t>. The Company shall indemnify and hold harmless, to the extent permitted by law, each Holder, such Holder’s officers, directors, managers, employees, agents and representatives, and each Person who controls such Holder (within the meaning of the Securities Act) (the “</w:t>
      </w:r>
      <w:r>
        <w:rPr>
          <w:rFonts w:ascii="Arial" w:cs="Arial" w:eastAsia="Arial" w:hAnsi="Arial"/>
          <w:sz w:val="16"/>
          <w:szCs w:val="16"/>
          <w:b w:val="1"/>
          <w:bCs w:val="1"/>
          <w:i w:val="1"/>
          <w:iCs w:val="1"/>
          <w:color w:val="auto"/>
        </w:rPr>
        <w:t>Holder Indemnified Parties</w:t>
      </w:r>
      <w:r>
        <w:rPr>
          <w:rFonts w:ascii="Arial" w:cs="Arial" w:eastAsia="Arial" w:hAnsi="Arial"/>
          <w:sz w:val="16"/>
          <w:szCs w:val="16"/>
          <w:color w:val="auto"/>
        </w:rPr>
        <w:t>”) against all losses, claims, actions, damages, liabilities and expenses (including with respect to actions or proceedings, whether commenced or threatened, and including reasonable attorney fees and expenses) caused by, resulting from, arising out of, based upon or related to any of the following statements, omissions or violations (each a “</w:t>
      </w:r>
      <w:r>
        <w:rPr>
          <w:rFonts w:ascii="Arial" w:cs="Arial" w:eastAsia="Arial" w:hAnsi="Arial"/>
          <w:sz w:val="16"/>
          <w:szCs w:val="16"/>
          <w:b w:val="1"/>
          <w:bCs w:val="1"/>
          <w:i w:val="1"/>
          <w:iCs w:val="1"/>
          <w:color w:val="auto"/>
        </w:rPr>
        <w:t>Violation</w:t>
      </w:r>
      <w:r>
        <w:rPr>
          <w:rFonts w:ascii="Arial" w:cs="Arial" w:eastAsia="Arial" w:hAnsi="Arial"/>
          <w:sz w:val="16"/>
          <w:szCs w:val="16"/>
          <w:color w:val="auto"/>
        </w:rPr>
        <w:t xml:space="preserve">”) by the Company: (i) any untrue or alleged untrue statement of material fact contained in (A) any registration statement, prospectus, preliminary prospectus or Free Writing Prospectus, or any amendment thereof or supplement thereto or (B) any application or other document or communication (in this </w:t>
      </w:r>
      <w:r>
        <w:rPr>
          <w:rFonts w:ascii="Arial" w:cs="Arial" w:eastAsia="Arial" w:hAnsi="Arial"/>
          <w:sz w:val="16"/>
          <w:szCs w:val="16"/>
          <w:u w:val="single" w:color="auto"/>
          <w:color w:val="auto"/>
        </w:rPr>
        <w:t>Section 7</w:t>
      </w:r>
      <w:r>
        <w:rPr>
          <w:rFonts w:ascii="Arial" w:cs="Arial" w:eastAsia="Arial" w:hAnsi="Arial"/>
          <w:sz w:val="16"/>
          <w:szCs w:val="16"/>
          <w:color w:val="auto"/>
        </w:rPr>
        <w:t>, collectively called an “</w:t>
      </w:r>
      <w:r>
        <w:rPr>
          <w:rFonts w:ascii="Arial" w:cs="Arial" w:eastAsia="Arial" w:hAnsi="Arial"/>
          <w:sz w:val="16"/>
          <w:szCs w:val="16"/>
          <w:b w:val="1"/>
          <w:bCs w:val="1"/>
          <w:i w:val="1"/>
          <w:iCs w:val="1"/>
          <w:color w:val="auto"/>
        </w:rPr>
        <w:t>application</w:t>
      </w:r>
      <w:r>
        <w:rPr>
          <w:rFonts w:ascii="Arial" w:cs="Arial" w:eastAsia="Arial" w:hAnsi="Arial"/>
          <w:sz w:val="16"/>
          <w:szCs w:val="16"/>
          <w:color w:val="auto"/>
        </w:rPr>
        <w:t>”) executed by or on behalf of the Company or based upon written information furnished by or on behalf of the Company filed in any jurisdiction in order to qualify any securities covered by such registration under the securities laws thereof, (ii) any omission or alleged omission of a material fact required to be stated therein or necessary to make the statements therein not misleading or (iii) any violation or alleged violation by the Company of the Securities Act or any other similar federal or state securities laws or any rule or regulation promulgated thereunder applicable to the Company and relating to action or inaction required of the Company in connection with any such registration, qualification or compliance. In addition, the Company will reimburse such Holder Indemnified Party for any legal or any other expenses reasonably incurred by them in connection with investigating or defending any such losses. Notwithstanding the foregoing, the Company shall not be liable in any such case to the extent that any such losses result from, arise out of, are based upon, or relate to an untrue statement or alleged untrue statement, or omission or alleged omission, made in such registration statement, any such prospectus, preliminary prospectus or Free Writing Prospectus or any amendment or supplement thereto, or in any application, in reliance upon, and in conformity with, written information prepared and furnished in writing to the Company by such Holder Indemnified Party expressly for use therein or by such Holder Indemnified Party’s failure to deliver a copy of the registration statement or prospectus or any amendments or supplements thereto after the Company has furnished such Holder Indemnified Party with a sufficient number of copies of the same. In connection with an underwritten offering, the Company shall indemnify such underwriters, their officers and directors, and each Person who controls such underwriters (within the meaning of the Securities Act) to the same extent as provided above with respect to the indemnification of the Holder Indemnified Parties.</w:t>
      </w:r>
    </w:p>
    <w:p>
      <w:pPr>
        <w:spacing w:after="0" w:line="181" w:lineRule="exact"/>
        <w:rPr>
          <w:rFonts w:ascii="Arial" w:cs="Arial" w:eastAsia="Arial" w:hAnsi="Arial"/>
          <w:sz w:val="16"/>
          <w:szCs w:val="16"/>
          <w:color w:val="auto"/>
        </w:rPr>
      </w:pPr>
    </w:p>
    <w:p>
      <w:pPr>
        <w:ind w:firstLine="885"/>
        <w:spacing w:after="0" w:line="270" w:lineRule="auto"/>
        <w:tabs>
          <w:tab w:leader="none" w:pos="1735"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By Each Holder</w:t>
      </w:r>
      <w:r>
        <w:rPr>
          <w:rFonts w:ascii="Arial" w:cs="Arial" w:eastAsia="Arial" w:hAnsi="Arial"/>
          <w:sz w:val="17"/>
          <w:szCs w:val="17"/>
          <w:color w:val="auto"/>
        </w:rPr>
        <w:t xml:space="preserve">. In connection with any registration statement in which a Holder is participating, each such Holder shall furnish to the Company in writing such information and affidavits as the Company reasonably requests for use in connection with any such registration statement or prospectus and, to the extent permitted by law, shall indemnify the Company, its officers, directors, managers, employees, agents and representatives, and each Person who controls the Company (within the meaning of the Securities Act) against any losses, claims, damages, liabilities and expenses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or omission is contained in any information or affidavit so furnished in writing by such Holder;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obligation to indemnify shall be individual, not joint and several, for each Holder and shall be limited to the net amount of proceeds received</w:t>
      </w:r>
      <w:r>
        <w:rPr>
          <w:rFonts w:ascii="Arial" w:cs="Arial" w:eastAsia="Arial" w:hAnsi="Arial"/>
          <w:sz w:val="17"/>
          <w:szCs w:val="17"/>
          <w:i w:val="1"/>
          <w:iCs w:val="1"/>
          <w:color w:val="auto"/>
        </w:rPr>
        <w:t xml:space="preserve"> </w:t>
      </w:r>
      <w:r>
        <w:rPr>
          <w:rFonts w:ascii="Arial" w:cs="Arial" w:eastAsia="Arial" w:hAnsi="Arial"/>
          <w:sz w:val="17"/>
          <w:szCs w:val="17"/>
          <w:color w:val="auto"/>
        </w:rPr>
        <w:t>by such Holder from the sale of Registrable Securities pursuant to such registration statement.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01" w:name="page102"/>
    <w:bookmarkEnd w:id="101"/>
    <w:p>
      <w:pPr>
        <w:ind w:left="-40" w:right="120" w:firstLine="885"/>
        <w:spacing w:after="0" w:line="287" w:lineRule="auto"/>
        <w:tabs>
          <w:tab w:leader="none" w:pos="168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Claim Procedure</w:t>
      </w:r>
      <w:r>
        <w:rPr>
          <w:rFonts w:ascii="Arial" w:cs="Arial" w:eastAsia="Arial" w:hAnsi="Arial"/>
          <w:sz w:val="16"/>
          <w:szCs w:val="16"/>
          <w:color w:val="auto"/>
        </w:rPr>
        <w:t>. Any Person entitled to indemnification hereunder shall (i) give prompt written notice to the indemnifying party of any claim with respect to which it seeks indemnification (provided that the failure to give prompt notice shall impair any Person’s right to indemnification hereunder only to the extent such failure has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conflicted indemnified parties shall have a right to retain one separate counsel, chosen by the Holders representing a majority of the Registrable Securities included in the registration if such Holders are indemnified parties, at the expense of the indemnifying party.</w:t>
      </w:r>
    </w:p>
    <w:p>
      <w:pPr>
        <w:spacing w:after="0" w:line="172" w:lineRule="exact"/>
        <w:rPr>
          <w:rFonts w:ascii="Arial" w:cs="Arial" w:eastAsia="Arial" w:hAnsi="Arial"/>
          <w:sz w:val="16"/>
          <w:szCs w:val="16"/>
          <w:color w:val="auto"/>
        </w:rPr>
      </w:pPr>
    </w:p>
    <w:p>
      <w:pPr>
        <w:ind w:left="-40" w:right="20" w:firstLine="885"/>
        <w:spacing w:after="0" w:line="268" w:lineRule="auto"/>
        <w:tabs>
          <w:tab w:leader="none" w:pos="1695"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the indemnification provided for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is held by a court of competent jurisdiction to be unavailable to, or is insufficient to hold harmless, an indemnified party or is otherwise unenforceable with respect to any loss, claim, damage, liability or action referred to herein, then the indemnifying party shall contribute to the amounts paid or payable by such indemnified party as a result of such loss, claim, damage, liability or action in such proportion as is appropriate to reflect the relative fault of the indemnifying party on the one hand and of the indemnified party on the other hand in connection with the statements or omissions which resulted in such loss, claim, damage, liability or action as well as any other relevant equitable considerations;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maximum amount of liability in respect of such contribution shall be limited, in the case of each seller of Registrable Securities, to an amount equal to the net proceeds actually received by such seller from the sale of Registrable Securities effected pursuant to such registration.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the contribution pursuant to this </w:t>
      </w:r>
      <w:r>
        <w:rPr>
          <w:rFonts w:ascii="Arial" w:cs="Arial" w:eastAsia="Arial" w:hAnsi="Arial"/>
          <w:sz w:val="17"/>
          <w:szCs w:val="17"/>
          <w:u w:val="single" w:color="auto"/>
          <w:color w:val="auto"/>
        </w:rPr>
        <w:t>Section 7(d)</w:t>
      </w:r>
      <w:r>
        <w:rPr>
          <w:rFonts w:ascii="Arial" w:cs="Arial" w:eastAsia="Arial" w:hAnsi="Arial"/>
          <w:sz w:val="17"/>
          <w:szCs w:val="17"/>
          <w:color w:val="auto"/>
        </w:rPr>
        <w:t xml:space="preserve"> were to be determined by pro rata allocation or by any other method of allocation that does not take into account such equitable considerations. The amount paid or payable by an indemnified party as a result of the losses, claims, damages, liabilities or expenses referred to herein shall be deemed to include any legal or other expenses reasonably incurred by such indemnified party in connection with investigating or defending against any action or claim which is the subject hereof. No Person guilty of fraudulent misrepresentation (within the meaning of Section 11(t) of the Securities Act) shall be entitled to contribution from any Person who is not guilty of such fraudulent misrepresentation.</w:t>
      </w:r>
    </w:p>
    <w:p>
      <w:pPr>
        <w:spacing w:after="0" w:line="180" w:lineRule="exact"/>
        <w:rPr>
          <w:rFonts w:ascii="Arial" w:cs="Arial" w:eastAsia="Arial" w:hAnsi="Arial"/>
          <w:sz w:val="17"/>
          <w:szCs w:val="17"/>
          <w:color w:val="auto"/>
        </w:rPr>
      </w:pPr>
    </w:p>
    <w:p>
      <w:pPr>
        <w:ind w:left="-40" w:right="40" w:firstLine="885"/>
        <w:spacing w:after="0" w:line="257" w:lineRule="auto"/>
        <w:tabs>
          <w:tab w:leader="none" w:pos="168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No indemnifying party shall, except with the consent of the indemnified party, consent to the entry of any judgment or enter into any settlement that does not include as an unconditional term thereof giving by the claimant or plaintiff to such indemnified party of a release from all liability in respect to such claim or litigation. Notwithstanding anything to the contrary in this </w:t>
      </w:r>
      <w:r>
        <w:rPr>
          <w:rFonts w:ascii="Arial" w:cs="Arial" w:eastAsia="Arial" w:hAnsi="Arial"/>
          <w:sz w:val="18"/>
          <w:szCs w:val="18"/>
          <w:u w:val="single" w:color="auto"/>
          <w:color w:val="auto"/>
        </w:rPr>
        <w:t>Section 7</w:t>
      </w:r>
      <w:r>
        <w:rPr>
          <w:rFonts w:ascii="Arial" w:cs="Arial" w:eastAsia="Arial" w:hAnsi="Arial"/>
          <w:sz w:val="18"/>
          <w:szCs w:val="18"/>
          <w:color w:val="auto"/>
        </w:rPr>
        <w:t>, an indemnifying party shall not be liable for any amounts paid in settlement of any loss, claim, damage, liability or action if such settlement is effected without the consent of the indemnifying party, such consent not to be unreasonably withheld, conditioned or delayed.</w:t>
      </w:r>
    </w:p>
    <w:p>
      <w:pPr>
        <w:spacing w:after="0" w:line="188" w:lineRule="exact"/>
        <w:rPr>
          <w:rFonts w:ascii="Arial" w:cs="Arial" w:eastAsia="Arial" w:hAnsi="Arial"/>
          <w:sz w:val="18"/>
          <w:szCs w:val="18"/>
          <w:color w:val="auto"/>
        </w:rPr>
      </w:pPr>
    </w:p>
    <w:p>
      <w:pPr>
        <w:ind w:left="-40" w:firstLine="885"/>
        <w:spacing w:after="0" w:line="255" w:lineRule="auto"/>
        <w:tabs>
          <w:tab w:leader="none" w:pos="166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Non-exclusive Remedy; Survival</w:t>
      </w:r>
      <w:r>
        <w:rPr>
          <w:rFonts w:ascii="Arial" w:cs="Arial" w:eastAsia="Arial" w:hAnsi="Arial"/>
          <w:sz w:val="18"/>
          <w:szCs w:val="18"/>
          <w:color w:val="auto"/>
        </w:rPr>
        <w:t>. The indemnification and contribution provided for under this Agreement shall be in addition to any other rights to indemnification or contribution that any indemnified party may have pursuant to law or contract and shall remain in full force and effect regardless of any investigation made by or on behalf of the indemnified party or any officer, director or controlling Person of such indemnified party and shall survive the transfer of Registrable Securities and the termination or expiration of this Agreement. Notwithstanding the foregoing, to the extent that the provisions on indemnification and contribution contained in the underwriting agreement entered into in connection with the IPO are in conflict with the foregoing provisions, the provisions in the underwriting agreement shall control.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80" w:top="355" w:right="259" w:bottom="1440" w:gutter="0" w:footer="0" w:header="0"/>
        </w:sectPr>
      </w:pPr>
    </w:p>
    <w:bookmarkStart w:id="102" w:name="page103"/>
    <w:bookmarkEnd w:id="102"/>
    <w:p>
      <w:pPr>
        <w:ind w:left="880"/>
        <w:spacing w:after="0"/>
        <w:tabs>
          <w:tab w:leader="none" w:pos="22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Underwritten Registrations</w:t>
      </w:r>
      <w:r>
        <w:rPr>
          <w:rFonts w:ascii="Arial" w:cs="Arial" w:eastAsia="Arial" w:hAnsi="Arial"/>
          <w:sz w:val="16"/>
          <w:szCs w:val="16"/>
          <w:color w:val="auto"/>
        </w:rPr>
        <w:t>.</w:t>
      </w:r>
    </w:p>
    <w:p>
      <w:pPr>
        <w:spacing w:after="0" w:line="225" w:lineRule="exact"/>
        <w:rPr>
          <w:sz w:val="20"/>
          <w:szCs w:val="20"/>
          <w:color w:val="auto"/>
        </w:rPr>
      </w:pPr>
    </w:p>
    <w:p>
      <w:pPr>
        <w:ind w:firstLine="885"/>
        <w:spacing w:after="0" w:line="269" w:lineRule="auto"/>
        <w:tabs>
          <w:tab w:leader="none" w:pos="1725"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Participation</w:t>
      </w:r>
      <w:r>
        <w:rPr>
          <w:rFonts w:ascii="Arial" w:cs="Arial" w:eastAsia="Arial" w:hAnsi="Arial"/>
          <w:sz w:val="17"/>
          <w:szCs w:val="17"/>
          <w:color w:val="auto"/>
        </w:rPr>
        <w:t xml:space="preserve">. No Person may participate in any Public Offering hereunder which is underwritten unless such Person (i) agrees to sell such Person’s securities on the basis provided in any underwriting arrangements approved by the Person or Persons entitled hereunder to approve such arrangements (including, without limitation, pursuant to any over-allotment or “green shoe” option requested by the underwriters;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Holder shall be required to sell more than the number of Registrable Securities such Holder has requested to include) and (ii) completes and executes all questionnaires, powers of attorney, indemnities, underwriting agreements and other documents required under the terms of such underwriting arrangements and that are consistent in all material respects with the documents to be completed and executed by the Holders. Each Holder shall execute and deliver such other agreements as may be reasonably requested by the Company and the lead managing underwriter(s) that are consistent with such Holder’s obligations under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or that are necessary to give further effect thereto and that are consistent in all material respects with the documents to be completed and executed by the Holders. To the extent that any such agreement is entered into pursuant to, and consistent with,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the respective rights and obligations created under such agreement shall supersede the respective rights and obligations of the Holders, the Company and the underwriters created pursuant to this </w:t>
      </w:r>
      <w:r>
        <w:rPr>
          <w:rFonts w:ascii="Arial" w:cs="Arial" w:eastAsia="Arial" w:hAnsi="Arial"/>
          <w:sz w:val="17"/>
          <w:szCs w:val="17"/>
          <w:u w:val="single" w:color="auto"/>
          <w:color w:val="auto"/>
        </w:rPr>
        <w:t>Section 8(a)</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right="60" w:firstLine="885"/>
        <w:spacing w:after="0" w:line="264" w:lineRule="auto"/>
        <w:tabs>
          <w:tab w:leader="none" w:pos="173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Price and Underwriting Discounts</w:t>
      </w:r>
      <w:r>
        <w:rPr>
          <w:rFonts w:ascii="Arial" w:cs="Arial" w:eastAsia="Arial" w:hAnsi="Arial"/>
          <w:sz w:val="18"/>
          <w:szCs w:val="18"/>
          <w:color w:val="auto"/>
        </w:rPr>
        <w:t>. In the case of an underwritten Demand Registration or Underwritten Takedown requested by a Holder pursuant to this Agreement, the price, underwriting discount and other financial terms of the related underwriting agreement for the Registrable Securities shall be determined by such Holder.</w:t>
      </w:r>
    </w:p>
    <w:p>
      <w:pPr>
        <w:spacing w:after="0" w:line="181" w:lineRule="exact"/>
        <w:rPr>
          <w:rFonts w:ascii="Arial" w:cs="Arial" w:eastAsia="Arial" w:hAnsi="Arial"/>
          <w:sz w:val="18"/>
          <w:szCs w:val="18"/>
          <w:color w:val="auto"/>
        </w:rPr>
      </w:pPr>
    </w:p>
    <w:p>
      <w:pPr>
        <w:ind w:right="120" w:firstLine="885"/>
        <w:spacing w:after="0" w:line="259" w:lineRule="auto"/>
        <w:tabs>
          <w:tab w:leader="none" w:pos="172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Suspended Distributions</w:t>
      </w:r>
      <w:r>
        <w:rPr>
          <w:rFonts w:ascii="Arial" w:cs="Arial" w:eastAsia="Arial" w:hAnsi="Arial"/>
          <w:sz w:val="18"/>
          <w:szCs w:val="18"/>
          <w:color w:val="auto"/>
        </w:rPr>
        <w:t xml:space="preserve">. Each Person that is participating in any registration under this Agreement, upon receipt of any notice from the Company of the happening of any event of the kind described in </w:t>
      </w:r>
      <w:r>
        <w:rPr>
          <w:rFonts w:ascii="Arial" w:cs="Arial" w:eastAsia="Arial" w:hAnsi="Arial"/>
          <w:sz w:val="18"/>
          <w:szCs w:val="18"/>
          <w:u w:val="single" w:color="auto"/>
          <w:color w:val="auto"/>
        </w:rPr>
        <w:t>Section 5(a)(vi)(B)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shall immediately discontinue the disposition of its Registrable Securities pursuant to the registration statement until such Person’s receipt of the copies of a supplemented or amended prospectus as contemplated by </w:t>
      </w:r>
      <w:r>
        <w:rPr>
          <w:rFonts w:ascii="Arial" w:cs="Arial" w:eastAsia="Arial" w:hAnsi="Arial"/>
          <w:sz w:val="18"/>
          <w:szCs w:val="18"/>
          <w:u w:val="single" w:color="auto"/>
          <w:color w:val="auto"/>
        </w:rPr>
        <w:t>Section 5(a)(vi)</w:t>
      </w:r>
      <w:r>
        <w:rPr>
          <w:rFonts w:ascii="Arial" w:cs="Arial" w:eastAsia="Arial" w:hAnsi="Arial"/>
          <w:sz w:val="18"/>
          <w:szCs w:val="18"/>
          <w:color w:val="auto"/>
        </w:rPr>
        <w:t>.</w:t>
      </w:r>
    </w:p>
    <w:p>
      <w:pPr>
        <w:spacing w:after="0" w:line="187" w:lineRule="exact"/>
        <w:rPr>
          <w:sz w:val="20"/>
          <w:szCs w:val="20"/>
          <w:color w:val="auto"/>
        </w:rPr>
      </w:pPr>
    </w:p>
    <w:p>
      <w:pPr>
        <w:ind w:firstLine="877"/>
        <w:spacing w:after="0" w:line="25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Additional Parties; Joinder</w:t>
      </w:r>
      <w:r>
        <w:rPr>
          <w:rFonts w:ascii="Arial" w:cs="Arial" w:eastAsia="Arial" w:hAnsi="Arial"/>
          <w:sz w:val="18"/>
          <w:szCs w:val="18"/>
          <w:color w:val="auto"/>
        </w:rPr>
        <w:t>. Subject to the prior written consent of each Holder, the Company may make any Person who acquires Common Stock or rights to acquire Common Stock from the Company after the date hereof a party to this Agreement (each such Person, an “</w:t>
      </w:r>
      <w:r>
        <w:rPr>
          <w:rFonts w:ascii="Arial" w:cs="Arial" w:eastAsia="Arial" w:hAnsi="Arial"/>
          <w:sz w:val="18"/>
          <w:szCs w:val="18"/>
          <w:b w:val="1"/>
          <w:bCs w:val="1"/>
          <w:i w:val="1"/>
          <w:iCs w:val="1"/>
          <w:color w:val="auto"/>
        </w:rPr>
        <w:t>Additional Investor</w:t>
      </w:r>
      <w:r>
        <w:rPr>
          <w:rFonts w:ascii="Arial" w:cs="Arial" w:eastAsia="Arial" w:hAnsi="Arial"/>
          <w:sz w:val="18"/>
          <w:szCs w:val="18"/>
          <w:color w:val="auto"/>
        </w:rPr>
        <w:t>”) and to succeed to all of the rights and obligations of a Holder under this Agreement by obtaining an executed joinder to this Agreement from such Additional Investor in the form of Exhibit A attached hereto (a “</w:t>
      </w:r>
      <w:r>
        <w:rPr>
          <w:rFonts w:ascii="Arial" w:cs="Arial" w:eastAsia="Arial" w:hAnsi="Arial"/>
          <w:sz w:val="18"/>
          <w:szCs w:val="18"/>
          <w:b w:val="1"/>
          <w:bCs w:val="1"/>
          <w:i w:val="1"/>
          <w:iCs w:val="1"/>
          <w:color w:val="auto"/>
        </w:rPr>
        <w:t>Joinder</w:t>
      </w:r>
      <w:r>
        <w:rPr>
          <w:rFonts w:ascii="Arial" w:cs="Arial" w:eastAsia="Arial" w:hAnsi="Arial"/>
          <w:sz w:val="18"/>
          <w:szCs w:val="18"/>
          <w:color w:val="auto"/>
        </w:rPr>
        <w:t>”). Upon the execution and delivery of a Joinder by such Additional Investor, the Common Stock of the Company acquired by such Additional Investor or to which such Additional Investor has the right to acquire (the “</w:t>
      </w:r>
      <w:r>
        <w:rPr>
          <w:rFonts w:ascii="Arial" w:cs="Arial" w:eastAsia="Arial" w:hAnsi="Arial"/>
          <w:sz w:val="18"/>
          <w:szCs w:val="18"/>
          <w:b w:val="1"/>
          <w:bCs w:val="1"/>
          <w:i w:val="1"/>
          <w:iCs w:val="1"/>
          <w:color w:val="auto"/>
        </w:rPr>
        <w:t>Acquired Common</w:t>
      </w:r>
      <w:r>
        <w:rPr>
          <w:rFonts w:ascii="Arial" w:cs="Arial" w:eastAsia="Arial" w:hAnsi="Arial"/>
          <w:sz w:val="18"/>
          <w:szCs w:val="18"/>
          <w:color w:val="auto"/>
        </w:rPr>
        <w:t>”) shall be Registrable Securities to the extent provided herein, such Additional Investor shall be a Holder under this Agreement with respect to the Acquired Common, and the Company shall add such Additional Investor’s name and address to the Schedule of Investors and circulate such information to the parties to this Agreement.</w:t>
      </w:r>
    </w:p>
    <w:p>
      <w:pPr>
        <w:spacing w:after="0" w:line="192" w:lineRule="exact"/>
        <w:rPr>
          <w:sz w:val="20"/>
          <w:szCs w:val="20"/>
          <w:color w:val="auto"/>
        </w:rPr>
      </w:pPr>
    </w:p>
    <w:p>
      <w:pPr>
        <w:ind w:firstLine="877"/>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Current Public Information</w:t>
      </w:r>
      <w:r>
        <w:rPr>
          <w:rFonts w:ascii="Arial" w:cs="Arial" w:eastAsia="Arial" w:hAnsi="Arial"/>
          <w:sz w:val="18"/>
          <w:szCs w:val="18"/>
          <w:color w:val="auto"/>
        </w:rPr>
        <w:t>. At all times after the Company has filed a registration statement with the Securities and Exchange Commission pursuant to the requirements of either the Securities Act or the Exchange Act, the Company shall file all reports required to be filed by it under the Securities Act and the Exchange Act and shall take such further action as any Holder may reasonably request, all to the extent required to enable such Holders to sell Registrable Securities pursuant to Rule 144. Upon request, the Company shall deliver to any Holder a written statement as to whether it has complied with such requirements.</w:t>
      </w:r>
    </w:p>
    <w:p>
      <w:pPr>
        <w:spacing w:after="0" w:line="188" w:lineRule="exact"/>
        <w:rPr>
          <w:sz w:val="20"/>
          <w:szCs w:val="20"/>
          <w:color w:val="auto"/>
        </w:rPr>
      </w:pPr>
    </w:p>
    <w:p>
      <w:pPr>
        <w:ind w:right="240" w:firstLine="877"/>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Subsidiary Public Offering</w:t>
      </w:r>
      <w:r>
        <w:rPr>
          <w:rFonts w:ascii="Arial" w:cs="Arial" w:eastAsia="Arial" w:hAnsi="Arial"/>
          <w:sz w:val="18"/>
          <w:szCs w:val="18"/>
          <w:color w:val="auto"/>
        </w:rPr>
        <w:t xml:space="preserve">. If, after an initial Public Offering of the Capital Stock of one of its Subsidiaries (including the Company), the Company distributes securities of such Subsidiary to its equityholders, then the rights and obligations of the Company pursuant to this Agreement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to such Subsidiary, and the Company shall cause such Subsidiary to comply with such Subsidiary’s obligations under this Agreement.</w:t>
      </w:r>
    </w:p>
    <w:p>
      <w:pPr>
        <w:spacing w:after="0" w:line="187"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MNPI Provisions</w:t>
      </w:r>
      <w:r>
        <w:rPr>
          <w:rFonts w:ascii="Arial" w:cs="Arial" w:eastAsia="Arial" w:hAnsi="Arial"/>
          <w:sz w:val="16"/>
          <w:szCs w:val="16"/>
          <w:color w:val="auto"/>
        </w:rPr>
        <w:t>.</w:t>
      </w:r>
    </w:p>
    <w:p>
      <w:pPr>
        <w:spacing w:after="0" w:line="225" w:lineRule="exact"/>
        <w:rPr>
          <w:sz w:val="20"/>
          <w:szCs w:val="20"/>
          <w:color w:val="auto"/>
        </w:rPr>
      </w:pPr>
    </w:p>
    <w:p>
      <w:pPr>
        <w:ind w:right="20" w:firstLine="885"/>
        <w:spacing w:after="0" w:line="277" w:lineRule="auto"/>
        <w:tabs>
          <w:tab w:leader="none" w:pos="1725"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Holder acknowledges that (i) the provisions of this Agreement that require communications by the Company or other Holders to such Holder may result in such Holder and its Representatives (as defined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03" w:name="page104"/>
    <w:bookmarkEnd w:id="103"/>
    <w:p>
      <w:pPr>
        <w:ind w:right="20"/>
        <w:spacing w:after="0" w:line="257" w:lineRule="auto"/>
        <w:rPr>
          <w:sz w:val="20"/>
          <w:szCs w:val="20"/>
          <w:color w:val="auto"/>
        </w:rPr>
      </w:pPr>
      <w:r>
        <w:rPr>
          <w:rFonts w:ascii="Arial" w:cs="Arial" w:eastAsia="Arial" w:hAnsi="Arial"/>
          <w:sz w:val="18"/>
          <w:szCs w:val="18"/>
          <w:color w:val="auto"/>
        </w:rPr>
        <w:t xml:space="preserve">below) acquiring MNPI (which may include, solely by way of illustration, the fact that an offering of the Company’s securities is pending or the number of Company securities or the identity of the selling Holders), and (ii) there is no limitation on the duration of time that such Holder and its Representatives may be in possession of MNPI and no requirement that the Company or other Holders make any public disclosure to cause such information to cease to be MNPI;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Company will use reasonable best efforts to promptly notify each Holder if any proposed registration or offering for which a notice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pursuant to this Agreement has been terminated or aborted.</w:t>
      </w:r>
    </w:p>
    <w:p>
      <w:pPr>
        <w:spacing w:after="0" w:line="188" w:lineRule="exact"/>
        <w:rPr>
          <w:sz w:val="20"/>
          <w:szCs w:val="20"/>
          <w:color w:val="auto"/>
        </w:rPr>
      </w:pPr>
    </w:p>
    <w:p>
      <w:pPr>
        <w:ind w:firstLine="885"/>
        <w:spacing w:after="0" w:line="270" w:lineRule="auto"/>
        <w:tabs>
          <w:tab w:leader="none" w:pos="1735" w:val="left"/>
        </w:tabs>
        <w:numPr>
          <w:ilvl w:val="0"/>
          <w:numId w:val="84"/>
        </w:numPr>
        <w:rPr>
          <w:rFonts w:ascii="Arial" w:cs="Arial" w:eastAsia="Arial" w:hAnsi="Arial"/>
          <w:sz w:val="17"/>
          <w:szCs w:val="17"/>
          <w:color w:val="auto"/>
        </w:rPr>
      </w:pPr>
      <w:r>
        <w:rPr>
          <w:rFonts w:ascii="Arial" w:cs="Arial" w:eastAsia="Arial" w:hAnsi="Arial"/>
          <w:sz w:val="17"/>
          <w:szCs w:val="17"/>
          <w:color w:val="auto"/>
        </w:rPr>
        <w:t>Each Holder agrees that it will maintain the confidentiality of such MNPI and, to the extent such Holder is not a natural person, such confidential treatment shall be in accordance with procedures adopted by it in good faith to protect confidential information of third parties delivered to such Holder (“</w:t>
      </w:r>
      <w:r>
        <w:rPr>
          <w:rFonts w:ascii="Arial" w:cs="Arial" w:eastAsia="Arial" w:hAnsi="Arial"/>
          <w:sz w:val="17"/>
          <w:szCs w:val="17"/>
          <w:b w:val="1"/>
          <w:bCs w:val="1"/>
          <w:i w:val="1"/>
          <w:iCs w:val="1"/>
          <w:color w:val="auto"/>
        </w:rPr>
        <w:t>Policies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Holder may deliver or disclose MNPI to (i) its directors, officers, employees, agents, attorneys, affiliates and financial and other advisors (collectively, the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xml:space="preserve">”), but solely to the extent such disclosure reasonably relates to its evaluation of exercise of its rights under this Agreement and the sale of any Registrable Securities in connection with the subject of the notice, (ii) any federal or state regulatory authority having jurisdiction over such Holder, (iii) any Person if necessary to effect compliance with any law, rule, regulation or order applicable to such Holder, (iv) in response to any subpoena or other legal process, or (v) in connection with any litigation to which such Holder is a party;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the case of clause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the recipients of such MNPI are subject to the Policies or agree to hold confidential the MNPI in a manner substantially consistent with the terms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and that in the case of clauses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such disclosure is required by law and you promptly notify the Company of such disclosure to the extent such Holder is legally permitted to give such notice.</w:t>
      </w:r>
    </w:p>
    <w:p>
      <w:pPr>
        <w:spacing w:after="0" w:line="177" w:lineRule="exact"/>
        <w:rPr>
          <w:rFonts w:ascii="Arial" w:cs="Arial" w:eastAsia="Arial" w:hAnsi="Arial"/>
          <w:sz w:val="17"/>
          <w:szCs w:val="17"/>
          <w:color w:val="auto"/>
        </w:rPr>
      </w:pPr>
    </w:p>
    <w:p>
      <w:pPr>
        <w:ind w:right="20" w:firstLine="885"/>
        <w:spacing w:after="0" w:line="293" w:lineRule="auto"/>
        <w:tabs>
          <w:tab w:leader="none" w:pos="1725" w:val="left"/>
        </w:tabs>
        <w:numPr>
          <w:ilvl w:val="0"/>
          <w:numId w:val="84"/>
        </w:numPr>
        <w:rPr>
          <w:rFonts w:ascii="Arial" w:cs="Arial" w:eastAsia="Arial" w:hAnsi="Arial"/>
          <w:sz w:val="16"/>
          <w:szCs w:val="16"/>
          <w:color w:val="auto"/>
        </w:rPr>
      </w:pPr>
      <w:r>
        <w:rPr>
          <w:rFonts w:ascii="Arial" w:cs="Arial" w:eastAsia="Arial" w:hAnsi="Arial"/>
          <w:sz w:val="16"/>
          <w:szCs w:val="16"/>
          <w:color w:val="auto"/>
        </w:rPr>
        <w:t>Each Holder, by its execution of a counterpart to this Agreement or of a Joinder, hereby (i) acknowledges that it is aware that the U.S. securities laws prohibit any Person who has MNPI about a company from purchasing or selling, directly or indirectly, securities of such company (including entering into hedge transactions involving such securities), or from communicating such information to any other Person under circumstances in which it is reasonably foreseeable that such Person is likely to purchase or sell such securities, and (ii) agrees that it will not use or permit any third party to use, and that it will use its reasonable best efforts to assure that none of its Representatives will use or permit any third party to use, any MNPI the Company provides in contravention of the U.S. securities laws and it will cease trading in the Company’s securities while in possession of MNPI.</w:t>
      </w:r>
    </w:p>
    <w:p>
      <w:pPr>
        <w:spacing w:after="0" w:line="164" w:lineRule="exact"/>
        <w:rPr>
          <w:rFonts w:ascii="Arial" w:cs="Arial" w:eastAsia="Arial" w:hAnsi="Arial"/>
          <w:sz w:val="16"/>
          <w:szCs w:val="16"/>
          <w:color w:val="auto"/>
        </w:rPr>
      </w:pPr>
    </w:p>
    <w:p>
      <w:pPr>
        <w:ind w:right="20" w:firstLine="885"/>
        <w:spacing w:after="0" w:line="254" w:lineRule="auto"/>
        <w:tabs>
          <w:tab w:leader="none" w:pos="17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Holder shall have the right, at any time and from time to time (including after receiving information regarding any potential Public Offering), to elect not to receive any notice that the Company or any other Holders otherwise are required to deliver pursuant to this Agreement by delivering to the Company a written statement signed by such Holder that it does not want to receive any notices hereunder (an “</w:t>
      </w:r>
      <w:r>
        <w:rPr>
          <w:rFonts w:ascii="Arial" w:cs="Arial" w:eastAsia="Arial" w:hAnsi="Arial"/>
          <w:sz w:val="18"/>
          <w:szCs w:val="18"/>
          <w:b w:val="1"/>
          <w:bCs w:val="1"/>
          <w:i w:val="1"/>
          <w:iCs w:val="1"/>
          <w:color w:val="auto"/>
        </w:rPr>
        <w:t>Opt-Out Request</w:t>
      </w:r>
      <w:r>
        <w:rPr>
          <w:rFonts w:ascii="Arial" w:cs="Arial" w:eastAsia="Arial" w:hAnsi="Arial"/>
          <w:sz w:val="18"/>
          <w:szCs w:val="18"/>
          <w:color w:val="auto"/>
        </w:rPr>
        <w:t>”); in which case and notwithstanding anything to the contrary in this Agreement the Company and other Holders shall not be required to, and shall not, deliver any notice or other information required to be provided to Holders hereunder to the extent that the Company or such other Holders reasonably expect would result in a Holder acquiring MNPI. An Opt-Out Request may state a date on which it expires or, if no such date is specified, shall remain in effect indefinitely. A Holder who previously has given the Company an Opt-Out Request may revoke such request at any time, and there shall be no limit on the ability of a Holder to issue and revoke subsequent Opt-Out Requests.</w:t>
      </w:r>
    </w:p>
    <w:p>
      <w:pPr>
        <w:spacing w:after="0" w:line="192"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General Provisions</w:t>
      </w:r>
      <w:r>
        <w:rPr>
          <w:rFonts w:ascii="Arial" w:cs="Arial" w:eastAsia="Arial" w:hAnsi="Arial"/>
          <w:sz w:val="16"/>
          <w:szCs w:val="16"/>
          <w:color w:val="auto"/>
        </w:rPr>
        <w:t>.</w:t>
      </w:r>
    </w:p>
    <w:p>
      <w:pPr>
        <w:spacing w:after="0" w:line="225" w:lineRule="exact"/>
        <w:rPr>
          <w:sz w:val="20"/>
          <w:szCs w:val="20"/>
          <w:color w:val="auto"/>
        </w:rPr>
      </w:pPr>
    </w:p>
    <w:p>
      <w:pPr>
        <w:ind w:firstLine="885"/>
        <w:spacing w:after="0" w:line="290" w:lineRule="auto"/>
        <w:tabs>
          <w:tab w:leader="none" w:pos="172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Except as otherwise provided herein, the provisions of this Agreement may be amended, modified or waived only with the prior written consent of the Company and each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amendment, modification or waiver that would adversely affect a Holder in a manner that is different from any other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accession by any Additional Investor to this Agreement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not be deemed to adversely affect any Holder), shall be effective against such Holder without the prior written consent of such Holder. The failure or delay of any Person to enforce any of the provisions of this Agreement shall in no way be construed as a waiver of such provisions and shall not affect the right of such Person thereafter to enforce each and every provision of this Agreement in accordance with its terms. A waiver or consent to or of any breach or default by any Person in the performance by that Person of his, her or its obligations under this Agreement shall not be deemed to be a consent or waiver to or of any other breach or default in the performance by that Person of the same or any other obligations of that Person under this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04" w:name="page105"/>
    <w:bookmarkEnd w:id="104"/>
    <w:p>
      <w:pPr>
        <w:ind w:firstLine="885"/>
        <w:spacing w:after="0" w:line="255" w:lineRule="auto"/>
        <w:tabs>
          <w:tab w:leader="none" w:pos="173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parties to this Agreement shall be entitled to enforce their rights under this Agreement specifically (without posting a bond or other security), to recover damages caused by reason of any breach of any provision of this Agreement and to exercise all other rights existing in their favor. The parties hereto agree and acknowledge that a breach of this Agreement would cause irreparable harm and money damages would not be an adequate remedy for any such breach and that, in addition to any other rights and remedies existing hereunder, any party shall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179" w:lineRule="exact"/>
        <w:rPr>
          <w:rFonts w:ascii="Arial" w:cs="Arial" w:eastAsia="Arial" w:hAnsi="Arial"/>
          <w:sz w:val="18"/>
          <w:szCs w:val="18"/>
          <w:color w:val="auto"/>
        </w:rPr>
      </w:pPr>
    </w:p>
    <w:p>
      <w:pPr>
        <w:ind w:firstLine="885"/>
        <w:spacing w:after="0" w:line="276" w:lineRule="auto"/>
        <w:tabs>
          <w:tab w:leader="none" w:pos="1725"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of this Agreement shall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shall not affect the validity, legality or enforceability of any other provision of this Agreement in such jurisdiction or in any other jurisdiction, but this Agreement shall be reformed, construed and enforced in such jurisdiction as if such prohibited, invalid, illegal or unenforceable provision had never been contained herein.</w:t>
      </w:r>
    </w:p>
    <w:p>
      <w:pPr>
        <w:spacing w:after="0" w:line="145" w:lineRule="exact"/>
        <w:rPr>
          <w:rFonts w:ascii="Arial" w:cs="Arial" w:eastAsia="Arial" w:hAnsi="Arial"/>
          <w:sz w:val="17"/>
          <w:szCs w:val="17"/>
          <w:color w:val="auto"/>
        </w:rPr>
      </w:pPr>
    </w:p>
    <w:p>
      <w:pPr>
        <w:jc w:val="both"/>
        <w:ind w:right="60" w:firstLine="885"/>
        <w:spacing w:after="0" w:line="264" w:lineRule="auto"/>
        <w:tabs>
          <w:tab w:leader="none" w:pos="173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otherwise provided herein, this Agreement contains the complete agreement and understanding among the parties hereto with respect to the subject matter hereof and supersedes and preempts any prior understandings, agreements or representations by or among the parties hereto, written or oral, which may have related to the subject matter hereof in any way.</w:t>
      </w:r>
    </w:p>
    <w:p>
      <w:pPr>
        <w:spacing w:after="0" w:line="167" w:lineRule="exact"/>
        <w:rPr>
          <w:rFonts w:ascii="Arial" w:cs="Arial" w:eastAsia="Arial" w:hAnsi="Arial"/>
          <w:sz w:val="18"/>
          <w:szCs w:val="18"/>
          <w:color w:val="auto"/>
        </w:rPr>
      </w:pPr>
    </w:p>
    <w:p>
      <w:pPr>
        <w:jc w:val="both"/>
        <w:ind w:right="160" w:firstLine="885"/>
        <w:spacing w:after="0" w:line="340" w:lineRule="auto"/>
        <w:tabs>
          <w:tab w:leader="none" w:pos="1720"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This Agreement shall bind and inure to the benefit and be enforceable by the Company and its successors and assigns and the Holders and their respective successors and assigns (whether so expressed or not). In addition, whether or not any express assignment has been made, the provisions of this Agreement which are for the benefit Holders are also for the benefit of, and enforceable by, any subsequent or successor Holder.</w:t>
      </w:r>
    </w:p>
    <w:p>
      <w:pPr>
        <w:spacing w:after="0" w:line="117" w:lineRule="exact"/>
        <w:rPr>
          <w:rFonts w:ascii="Arial" w:cs="Arial" w:eastAsia="Arial" w:hAnsi="Arial"/>
          <w:sz w:val="15"/>
          <w:szCs w:val="15"/>
          <w:color w:val="auto"/>
        </w:rPr>
      </w:pPr>
    </w:p>
    <w:p>
      <w:pPr>
        <w:ind w:right="80" w:firstLine="885"/>
        <w:spacing w:after="0" w:line="254" w:lineRule="auto"/>
        <w:tabs>
          <w:tab w:leader="none" w:pos="170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demand or other communication to be given under or by reason of the provisions of this Agreement shall be in writing and shall be deemed to have been given or delivered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 return receipt requested. Such notices, demands and other communications shall be sent to the Company and the Holders at the addresses specified below and to any other party subject to this Agreement at such address or to the attention of such other Person as the recipient party has specified by prior written notice to the sending party. Any party may change such party’s address for receipt of notice by providing prior written notice of the change to the sending party as provided herein.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address is: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Medpace Holdings, Inc.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5375 Medpace Way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Cincinnati, Ohio 45227</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(513) 579-0444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or to the attention of such other Person as the Company has specified by prior written notice to the sending party.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Dr. Troendle’s address is: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Medpace Holdings, Inc.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5375 Medpace Way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Cincinnati, Ohio 45227</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Dr. August Troendle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(513) 579-0444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05" w:name="page106"/>
    <w:bookmarkEnd w:id="105"/>
    <w:p>
      <w:pPr>
        <w:ind w:right="20"/>
        <w:spacing w:after="0" w:line="342" w:lineRule="auto"/>
        <w:rPr>
          <w:sz w:val="20"/>
          <w:szCs w:val="20"/>
          <w:color w:val="auto"/>
        </w:rPr>
      </w:pPr>
      <w:r>
        <w:rPr>
          <w:rFonts w:ascii="Arial" w:cs="Arial" w:eastAsia="Arial" w:hAnsi="Arial"/>
          <w:sz w:val="16"/>
          <w:szCs w:val="16"/>
          <w:color w:val="auto"/>
        </w:rPr>
        <w:t>The address for Fifth Cinven Fund (No.1) Limited Partnership, Fifth Cinven Fund (No.2) Limited Partnership, Fifth Cinven Fund (No.3) Limited Partnership, Fifth Cinven Fund (No.4) Limited Partnership, Fifth Cinven Fund (No.5) Limited Partnership and Fifth Cinven Fund (No.6) Limited Partnership is: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East Wing,</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Trafalgar Court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Les Banques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St Peter Port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Guernsey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GY1 3PP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Fifth Cinven Fund Co-Investment Partnership’s address is:</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Warwick Court,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Paternoster Square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EC4M 7AG</w:t>
      </w:r>
    </w:p>
    <w:p>
      <w:pPr>
        <w:spacing w:after="0" w:line="224" w:lineRule="exact"/>
        <w:rPr>
          <w:sz w:val="20"/>
          <w:szCs w:val="20"/>
          <w:color w:val="auto"/>
        </w:rPr>
      </w:pPr>
    </w:p>
    <w:p>
      <w:pPr>
        <w:jc w:val="center"/>
        <w:ind w:right="8140"/>
        <w:spacing w:after="0"/>
        <w:rPr>
          <w:sz w:val="20"/>
          <w:szCs w:val="20"/>
          <w:color w:val="auto"/>
        </w:rPr>
      </w:pPr>
      <w:r>
        <w:rPr>
          <w:rFonts w:ascii="Arial" w:cs="Arial" w:eastAsia="Arial" w:hAnsi="Arial"/>
          <w:sz w:val="16"/>
          <w:szCs w:val="16"/>
          <w:color w:val="auto"/>
        </w:rPr>
        <w:t>The Fifth Cinven Fund FCP-SIF’s address is:</w:t>
      </w:r>
    </w:p>
    <w:p>
      <w:pPr>
        <w:spacing w:after="0" w:line="2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7, rue Lou Hemmer,</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L-1748</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Luxembourg</w:t>
      </w:r>
    </w:p>
    <w:p>
      <w:pPr>
        <w:spacing w:after="0" w:line="224" w:lineRule="exact"/>
        <w:rPr>
          <w:sz w:val="20"/>
          <w:szCs w:val="20"/>
          <w:color w:val="auto"/>
        </w:rPr>
      </w:pPr>
    </w:p>
    <w:p>
      <w:pPr>
        <w:ind w:right="180" w:firstLine="885"/>
        <w:spacing w:after="0" w:line="277" w:lineRule="auto"/>
        <w:tabs>
          <w:tab w:leader="none" w:pos="173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Business Days</w:t>
      </w:r>
      <w:r>
        <w:rPr>
          <w:rFonts w:ascii="Arial" w:cs="Arial" w:eastAsia="Arial" w:hAnsi="Arial"/>
          <w:sz w:val="18"/>
          <w:szCs w:val="18"/>
          <w:color w:val="auto"/>
        </w:rPr>
        <w:t>. If any time period for giving notice or taking action hereunder expires on a day that is not a Business Day, the time period shall automatically be extended to the immediately following Business Day.</w:t>
      </w:r>
    </w:p>
    <w:p>
      <w:pPr>
        <w:spacing w:after="0" w:line="170" w:lineRule="exact"/>
        <w:rPr>
          <w:rFonts w:ascii="Arial" w:cs="Arial" w:eastAsia="Arial" w:hAnsi="Arial"/>
          <w:sz w:val="18"/>
          <w:szCs w:val="18"/>
          <w:color w:val="auto"/>
        </w:rPr>
      </w:pPr>
    </w:p>
    <w:p>
      <w:pPr>
        <w:jc w:val="both"/>
        <w:ind w:right="20" w:firstLine="885"/>
        <w:spacing w:after="0" w:line="286" w:lineRule="auto"/>
        <w:tabs>
          <w:tab w:leader="none" w:pos="1735"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corporate law of the State of Delaware shall govern all issues and questions concerning the relative rights of the Company and its shareholders. All other issues and questions concerning the construction, validity, interpretation and enforcement of this Agreement and the exhibits and schedules hereto shall be governed by, and construed in accordance with, the laws of the State of New York.</w:t>
      </w:r>
    </w:p>
    <w:p>
      <w:pPr>
        <w:spacing w:after="0" w:line="165" w:lineRule="exact"/>
        <w:rPr>
          <w:rFonts w:ascii="Arial" w:cs="Arial" w:eastAsia="Arial" w:hAnsi="Arial"/>
          <w:sz w:val="17"/>
          <w:szCs w:val="17"/>
          <w:color w:val="auto"/>
        </w:rPr>
      </w:pPr>
    </w:p>
    <w:p>
      <w:pPr>
        <w:ind w:right="100" w:firstLine="885"/>
        <w:spacing w:after="0" w:line="259" w:lineRule="auto"/>
        <w:tabs>
          <w:tab w:leader="none" w:pos="169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MUTUAL WAIVER OF JURY TRIAL</w:t>
      </w:r>
      <w:r>
        <w:rPr>
          <w:rFonts w:ascii="Arial" w:cs="Arial" w:eastAsia="Arial" w:hAnsi="Arial"/>
          <w:sz w:val="18"/>
          <w:szCs w:val="18"/>
          <w:color w:val="auto"/>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86" w:lineRule="exact"/>
        <w:rPr>
          <w:rFonts w:ascii="Arial" w:cs="Arial" w:eastAsia="Arial" w:hAnsi="Arial"/>
          <w:sz w:val="18"/>
          <w:szCs w:val="18"/>
          <w:color w:val="auto"/>
        </w:rPr>
      </w:pPr>
    </w:p>
    <w:p>
      <w:pPr>
        <w:ind w:firstLine="885"/>
        <w:spacing w:after="0" w:line="269" w:lineRule="auto"/>
        <w:tabs>
          <w:tab w:leader="none" w:pos="1696"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CONSENT TO JURISDICTION AND SERVICE OF PROCESS</w:t>
      </w:r>
      <w:r>
        <w:rPr>
          <w:rFonts w:ascii="Arial" w:cs="Arial" w:eastAsia="Arial" w:hAnsi="Arial"/>
          <w:sz w:val="17"/>
          <w:szCs w:val="17"/>
          <w:color w:val="auto"/>
        </w:rPr>
        <w:t>. EACH OF THE PARTIES IRREVOCABLY SUBMITS TO THE NON-EXCLUSIVE JURISDICTION OF THE FEDERAL COURTS OF THE UNITED STATES OF AMERICA LOCATED IN THE CITY AND COUNTY OF NEW YORK BOROUGH OF MANHATTAN, FOR THE PURPOSES OF ANY SUIT, ACTION OR OTHER PROCEEDING ARISING OUT OF THIS AGREEMENT, ANY RELATED AGREEMENT OR ANY TRANSACTION CONTEMPLATED HEREBY OR THEREBY. EACH OF THE PARTIES HERETO FURTHER AGREES THAT SERVICE OF ANY PROCESS, SUMMONS, NOTICE OR DOCUMENT BY U.S. REGISTERED MAIL TO SUCH PARTY’S RESPECTIVE ADDRESS SET FORTH ABOVE SHALL BE EFFECTIVE SERVICE OF PROCESS FOR ANY ACTION, SUIT OR PROCEEDING WITH RESPECT TO ANY MATTERS TO WHICH IT HAS SUBMITTED TO JURISDICTION IN THIS PARAGRAPH. EACH OF THE PARTIES HERETO IRREVOCABLY AND UNCONDITIONALLY WAIVES ANY OBJECTION TO THE LAYING OF VENUE OF ANY ACTION, SUIT OR PROCEEDING ARISING OUT OF THIS AGREEMENT, ANY RELATED DOCUMENT OR THE TRANSACTIONS CONTEMPLATED HEREBY AND THEREBY IN THE UNITED STATES DISTRICT COURT FOR THE DISTRICT OF DELAWARE, AND HEREBY AND THEREBY FURTHER IRREVOCABLY AND UNCONDITIONALLY WAIVES AND AGREES NOT TO PLEAD OR CLAIM IN ANY SUCH COURT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color w:val="auto"/>
        </w:rPr>
        <w:t>THAT ANY SUCH ACTION, SUIT OR PROCEEDING BROUGHT IN ANY SUCH COURT HAS BEEN BROUGHT IN AN INCONVENIENT FORUM.</w:t>
      </w:r>
    </w:p>
    <w:p>
      <w:pPr>
        <w:spacing w:after="0" w:line="237" w:lineRule="exact"/>
        <w:rPr>
          <w:sz w:val="20"/>
          <w:szCs w:val="20"/>
          <w:color w:val="auto"/>
        </w:rPr>
      </w:pPr>
    </w:p>
    <w:p>
      <w:pPr>
        <w:ind w:right="40" w:firstLine="885"/>
        <w:spacing w:after="0" w:line="290" w:lineRule="auto"/>
        <w:tabs>
          <w:tab w:leader="none" w:pos="173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No Recourse</w:t>
      </w:r>
      <w:r>
        <w:rPr>
          <w:rFonts w:ascii="Arial" w:cs="Arial" w:eastAsia="Arial" w:hAnsi="Arial"/>
          <w:sz w:val="16"/>
          <w:szCs w:val="16"/>
          <w:color w:val="auto"/>
        </w:rPr>
        <w:t>. Notwithstanding anything to the contrary in this Agreement, the Company and each Holder agrees and acknowledges that no recourse under this Agreement or any documents or instruments delivered in connection with this Agreement, shall be had against any current or future director, officer, employee, general or limited partner or member of any Holder or of any Affiliate or assignee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officer, agent or employee of any Holder or any current or future member of any Holder or any current or future director, officer, employee, partner or member of any Holder or of any Affiliate or assignee thereof, as such for any obligation of any Holder under this Agreement or any documents or instruments delivered in connection with this Agreement for any claim based on, in respect of or by reason of such obligations or their creation.</w:t>
      </w:r>
    </w:p>
    <w:p>
      <w:pPr>
        <w:spacing w:after="0" w:line="166" w:lineRule="exact"/>
        <w:rPr>
          <w:rFonts w:ascii="Arial" w:cs="Arial" w:eastAsia="Arial" w:hAnsi="Arial"/>
          <w:sz w:val="16"/>
          <w:szCs w:val="16"/>
          <w:color w:val="auto"/>
        </w:rPr>
      </w:pPr>
    </w:p>
    <w:p>
      <w:pPr>
        <w:ind w:right="60" w:firstLine="885"/>
        <w:spacing w:after="0" w:line="308" w:lineRule="auto"/>
        <w:tabs>
          <w:tab w:leader="none" w:pos="169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Descriptive Headings; Interpretation</w:t>
      </w:r>
      <w:r>
        <w:rPr>
          <w:rFonts w:ascii="Arial" w:cs="Arial" w:eastAsia="Arial" w:hAnsi="Arial"/>
          <w:sz w:val="17"/>
          <w:szCs w:val="17"/>
          <w:color w:val="auto"/>
        </w:rPr>
        <w:t>. The descriptive headings of this Agreement are inserted for convenience only and do not constitute a part of this Agreement. The use of the word “including” in this Agreement shall be by way of example rather than by limitation.</w:t>
      </w:r>
    </w:p>
    <w:p>
      <w:pPr>
        <w:spacing w:after="0" w:line="146" w:lineRule="exact"/>
        <w:rPr>
          <w:rFonts w:ascii="Arial" w:cs="Arial" w:eastAsia="Arial" w:hAnsi="Arial"/>
          <w:sz w:val="17"/>
          <w:szCs w:val="17"/>
          <w:color w:val="auto"/>
        </w:rPr>
      </w:pPr>
    </w:p>
    <w:p>
      <w:pPr>
        <w:ind w:right="40" w:firstLine="885"/>
        <w:spacing w:after="0" w:line="277" w:lineRule="auto"/>
        <w:tabs>
          <w:tab w:leader="none" w:pos="17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shall be deemed to be the language chosen by the parties hereto to express their mutual intent, and no rule of strict construction shall be applied against any party.</w:t>
      </w:r>
    </w:p>
    <w:p>
      <w:pPr>
        <w:spacing w:after="0" w:line="170" w:lineRule="exact"/>
        <w:rPr>
          <w:rFonts w:ascii="Arial" w:cs="Arial" w:eastAsia="Arial" w:hAnsi="Arial"/>
          <w:sz w:val="18"/>
          <w:szCs w:val="18"/>
          <w:color w:val="auto"/>
        </w:rPr>
      </w:pPr>
    </w:p>
    <w:p>
      <w:pPr>
        <w:ind w:right="160" w:firstLine="885"/>
        <w:spacing w:after="0" w:line="277" w:lineRule="auto"/>
        <w:tabs>
          <w:tab w:leader="none" w:pos="173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any one of which need not contain the signature of more than one party, but all such counterparts taken together shall constitute one and the same agreement.</w:t>
      </w:r>
    </w:p>
    <w:p>
      <w:pPr>
        <w:spacing w:after="0" w:line="170" w:lineRule="exact"/>
        <w:rPr>
          <w:rFonts w:ascii="Arial" w:cs="Arial" w:eastAsia="Arial" w:hAnsi="Arial"/>
          <w:sz w:val="18"/>
          <w:szCs w:val="18"/>
          <w:color w:val="auto"/>
        </w:rPr>
      </w:pPr>
    </w:p>
    <w:p>
      <w:pPr>
        <w:ind w:firstLine="885"/>
        <w:spacing w:after="0" w:line="290" w:lineRule="auto"/>
        <w:tabs>
          <w:tab w:leader="none" w:pos="173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Electronic Delivery</w:t>
      </w:r>
      <w:r>
        <w:rPr>
          <w:rFonts w:ascii="Arial" w:cs="Arial" w:eastAsia="Arial" w:hAnsi="Arial"/>
          <w:sz w:val="16"/>
          <w:szCs w:val="16"/>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66" w:lineRule="exact"/>
        <w:rPr>
          <w:rFonts w:ascii="Arial" w:cs="Arial" w:eastAsia="Arial" w:hAnsi="Arial"/>
          <w:sz w:val="16"/>
          <w:szCs w:val="16"/>
          <w:color w:val="auto"/>
        </w:rPr>
      </w:pPr>
    </w:p>
    <w:p>
      <w:pPr>
        <w:ind w:right="80" w:firstLine="885"/>
        <w:spacing w:after="0" w:line="264" w:lineRule="auto"/>
        <w:tabs>
          <w:tab w:leader="none" w:pos="173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In connection with this Agreement and the transactions contemplated hereby, each Holder shall execute and deliver any additional documents and instruments and perform any additional acts that may be necessary or appropriate to effectuate and perform the provisions of this Agreement and the transactions contemplated hereby.</w:t>
      </w:r>
    </w:p>
    <w:p>
      <w:pPr>
        <w:spacing w:after="0" w:line="181" w:lineRule="exact"/>
        <w:rPr>
          <w:rFonts w:ascii="Arial" w:cs="Arial" w:eastAsia="Arial" w:hAnsi="Arial"/>
          <w:sz w:val="18"/>
          <w:szCs w:val="18"/>
          <w:color w:val="auto"/>
        </w:rPr>
      </w:pPr>
    </w:p>
    <w:p>
      <w:pPr>
        <w:ind w:right="840" w:firstLine="885"/>
        <w:spacing w:after="0" w:line="277" w:lineRule="auto"/>
        <w:tabs>
          <w:tab w:leader="none" w:pos="173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The Company shall not hereafter enter into any agreement with respect to its securities which is inconsistent with or violates the rights granted to the Holders in this Agreement.</w:t>
      </w:r>
    </w:p>
    <w:p>
      <w:pPr>
        <w:spacing w:after="0" w:line="170"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IN WITNESS WHEREOF, the parties have executed this Registration Rights Agreement as of the date first written above.</w:t>
      </w:r>
    </w:p>
    <w:p>
      <w:pPr>
        <w:spacing w:after="0" w:line="221"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MEDPACE HOLDINGS, INC.</w:t>
      </w:r>
    </w:p>
    <w:p>
      <w:pPr>
        <w:spacing w:after="0" w:line="229" w:lineRule="exact"/>
        <w:rPr>
          <w:sz w:val="20"/>
          <w:szCs w:val="20"/>
          <w:color w:val="auto"/>
        </w:rPr>
      </w:pPr>
    </w:p>
    <w:tbl>
      <w:tblPr>
        <w:tblLayout w:type="fixed"/>
        <w:tblInd w:w="540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Ewald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Stephen P. Ewald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Its:</w:t>
            </w:r>
          </w:p>
        </w:tc>
        <w:tc>
          <w:tcPr>
            <w:tcW w:w="436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bl>
    <w:p>
      <w:pPr>
        <w:spacing w:after="0" w:line="20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55" w:right="239" w:bottom="1440" w:gutter="0" w:footer="0" w:header="0"/>
        </w:sectPr>
      </w:pPr>
    </w:p>
    <w:bookmarkStart w:id="108" w:name="page109"/>
    <w:bookmarkEnd w:id="108"/>
    <w:p>
      <w:pPr>
        <w:ind w:left="5080"/>
        <w:spacing w:after="0"/>
        <w:rPr>
          <w:sz w:val="20"/>
          <w:szCs w:val="20"/>
          <w:color w:val="auto"/>
        </w:rPr>
      </w:pPr>
      <w:r>
        <w:rPr>
          <w:rFonts w:ascii="Arial" w:cs="Arial" w:eastAsia="Arial" w:hAnsi="Arial"/>
          <w:sz w:val="18"/>
          <w:szCs w:val="18"/>
          <w:b w:val="1"/>
          <w:bCs w:val="1"/>
          <w:color w:val="auto"/>
        </w:rPr>
        <w:t>FIFTH CINVEN FUND (NO. 1) LIMITED PARTNERSHIP</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By: Cinven Capital Management (V) Limited Partnership Incorporated</w:t>
      </w:r>
    </w:p>
    <w:p>
      <w:pPr>
        <w:spacing w:after="0" w:line="4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By: Cinven Capital Management (V) General Partnership Incorporated</w:t>
      </w:r>
    </w:p>
    <w:p>
      <w:pPr>
        <w:spacing w:after="0" w:line="4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Hayley Tanguy</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Hayley Tanguy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40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FIFTH CINVEN FUND (NO. 2) LIMITED PARTNERSHIP</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By: Cinven Capital Management (V) Limited Partnership Incorporated</w:t>
      </w:r>
    </w:p>
    <w:p>
      <w:pPr>
        <w:spacing w:after="0" w:line="4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By: Cinven Capital Management (V) General Partnership Incorporated</w:t>
      </w:r>
    </w:p>
    <w:p>
      <w:pPr>
        <w:spacing w:after="0" w:line="4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Hayley Tanguy</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Hayley Tanguy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109" w:name="page110"/>
    <w:bookmarkEnd w:id="109"/>
    <w:p>
      <w:pPr>
        <w:ind w:left="5080"/>
        <w:spacing w:after="0"/>
        <w:rPr>
          <w:sz w:val="20"/>
          <w:szCs w:val="20"/>
          <w:color w:val="auto"/>
        </w:rPr>
      </w:pPr>
      <w:r>
        <w:rPr>
          <w:rFonts w:ascii="Arial" w:cs="Arial" w:eastAsia="Arial" w:hAnsi="Arial"/>
          <w:sz w:val="18"/>
          <w:szCs w:val="18"/>
          <w:b w:val="1"/>
          <w:bCs w:val="1"/>
          <w:color w:val="auto"/>
        </w:rPr>
        <w:t>FIFTH CINVEN FUND (NO. 3) LIMITED PARTNERSHIP</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By: Cinven Capital Management (V) Limited Partnership Incorporated</w:t>
      </w:r>
    </w:p>
    <w:p>
      <w:pPr>
        <w:spacing w:after="0" w:line="4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By: Cinven Capital Management (V) General Partnership Incorporated</w:t>
      </w:r>
    </w:p>
    <w:p>
      <w:pPr>
        <w:spacing w:after="0" w:line="4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Hayley Tanguy</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Hayley Tanguy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40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FIFTH CINVEN FUND (NO. 4) LIMITED PARTNERSHIP</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By: Cinven Capital Management (V) Limited Partnership Incorporated</w:t>
      </w:r>
    </w:p>
    <w:p>
      <w:pPr>
        <w:spacing w:after="0" w:line="4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By: Cinven Capital Management (V) General Partnership Incorporated</w:t>
      </w:r>
    </w:p>
    <w:p>
      <w:pPr>
        <w:spacing w:after="0" w:line="4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Hayley Tanguy</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Hayley Tanguy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110" w:name="page111"/>
    <w:bookmarkEnd w:id="110"/>
    <w:p>
      <w:pPr>
        <w:ind w:left="5080"/>
        <w:spacing w:after="0"/>
        <w:rPr>
          <w:sz w:val="20"/>
          <w:szCs w:val="20"/>
          <w:color w:val="auto"/>
        </w:rPr>
      </w:pPr>
      <w:r>
        <w:rPr>
          <w:rFonts w:ascii="Arial" w:cs="Arial" w:eastAsia="Arial" w:hAnsi="Arial"/>
          <w:sz w:val="18"/>
          <w:szCs w:val="18"/>
          <w:b w:val="1"/>
          <w:bCs w:val="1"/>
          <w:color w:val="auto"/>
        </w:rPr>
        <w:t>FIFTH CINVEN FUND (NO. 5) LIMITED PARTNERSHIP</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By: Cinven Capital Management (V) Limited Partnership Incorporated</w:t>
      </w:r>
    </w:p>
    <w:p>
      <w:pPr>
        <w:spacing w:after="0" w:line="4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By: Cinven Capital Management (V) General Partnership Incorporated</w:t>
      </w:r>
    </w:p>
    <w:p>
      <w:pPr>
        <w:spacing w:after="0" w:line="4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Hayley Tanguy</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Hayley Tanguy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40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FIFTH CINVEN FUND (NO. 6) LIMITED PARTNERSHIP</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By: Cinven Capital Management (V) Limited Partnership Incorporated</w:t>
      </w:r>
    </w:p>
    <w:p>
      <w:pPr>
        <w:spacing w:after="0" w:line="4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By: Cinven Capital Management (V) General Partnership Incorporated</w:t>
      </w:r>
    </w:p>
    <w:p>
      <w:pPr>
        <w:spacing w:after="0" w:line="4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Hayley Tanguy</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Hayley Tanguy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40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FIFTH CINVEN FUND CO-INVESTMENT PARTNERSHIP</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CIP (V) Nominees Limited</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Partner</w:t>
      </w:r>
    </w:p>
    <w:p>
      <w:pPr>
        <w:spacing w:after="0" w:line="211"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Babett Carrier</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Dr. Babett Carrier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40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FIFTH CINVEN FUND FCP-SIF</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Cinven Manco S.A.R.L.</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Gautier Laurent</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Gautier Laurent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Lamberty</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Marc Lamberty</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111" w:name="page112"/>
    <w:bookmarkEnd w:id="111"/>
    <w:p>
      <w:pPr>
        <w:ind w:left="5080"/>
        <w:spacing w:after="0"/>
        <w:rPr>
          <w:sz w:val="20"/>
          <w:szCs w:val="20"/>
          <w:color w:val="auto"/>
        </w:rPr>
      </w:pPr>
      <w:r>
        <w:rPr>
          <w:rFonts w:ascii="Arial" w:cs="Arial" w:eastAsia="Arial" w:hAnsi="Arial"/>
          <w:sz w:val="18"/>
          <w:szCs w:val="18"/>
          <w:b w:val="1"/>
          <w:bCs w:val="1"/>
          <w:color w:val="auto"/>
        </w:rPr>
        <w:t>DR. AUGUST J. TROENDLE</w:t>
      </w:r>
    </w:p>
    <w:p>
      <w:pPr>
        <w:spacing w:after="0" w:line="229"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August J. Troendle</w:t>
            </w:r>
          </w:p>
        </w:tc>
      </w:tr>
      <w:tr>
        <w:trPr>
          <w:trHeight w:val="224"/>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Pr>
          <w:p>
            <w:pPr>
              <w:spacing w:after="0"/>
              <w:rPr>
                <w:sz w:val="20"/>
                <w:szCs w:val="20"/>
                <w:color w:val="auto"/>
              </w:rPr>
            </w:pPr>
            <w:r>
              <w:rPr>
                <w:rFonts w:ascii="Arial" w:cs="Arial" w:eastAsia="Arial" w:hAnsi="Arial"/>
                <w:sz w:val="18"/>
                <w:szCs w:val="18"/>
                <w:color w:val="auto"/>
              </w:rPr>
              <w:t>Dr. August J. Troendle</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112" w:name="page113"/>
    <w:bookmarkEnd w:id="112"/>
    <w:p>
      <w:pPr>
        <w:jc w:val="right"/>
        <w:ind w:right="3319"/>
        <w:spacing w:after="0"/>
        <w:rPr>
          <w:sz w:val="20"/>
          <w:szCs w:val="20"/>
          <w:color w:val="auto"/>
        </w:rPr>
      </w:pPr>
      <w:r>
        <w:rPr>
          <w:rFonts w:ascii="Arial" w:cs="Arial" w:eastAsia="Arial" w:hAnsi="Arial"/>
          <w:sz w:val="18"/>
          <w:szCs w:val="18"/>
          <w:b w:val="1"/>
          <w:bCs w:val="1"/>
          <w:color w:val="auto"/>
        </w:rPr>
        <w:t>SCHEDULE OF 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FIFTH CINVEN FUND (NO. 1)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FIFTH CINVEN FUND (NO. 2)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FIFTH CINVEN FUND (NO. 3)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FIFTH CINVEN FUND (NO. 4)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FIFTH CINVEN FUND (NO. 5)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FIFTH CINVEN FUND (NO. 6) LIMITED PARTNERSHIP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East Wing,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Trafalgar Court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Les Banques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 Peter Port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Guernsey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GY1 3PP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FIFTH CINVEN FUND CO-INVESTMENT PARTNERSHIP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Warwick Court,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Paternoster Square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EC4M 7AG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FIFTH CINVEN FUND FCP-SIF</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 rue Lou Hemmer,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L-1748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Luxembourg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DR. AUGUST J. TROENDLE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Medpace Holdings,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5375 Medpace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Cincinnati, Ohio 45227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Dr. August Troendle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51" w:right="1440"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 JOINDER</w:t>
      </w:r>
    </w:p>
    <w:p>
      <w:pPr>
        <w:spacing w:after="0" w:line="229" w:lineRule="exact"/>
        <w:rPr>
          <w:sz w:val="20"/>
          <w:szCs w:val="20"/>
          <w:color w:val="auto"/>
        </w:rPr>
      </w:pPr>
    </w:p>
    <w:p>
      <w:pPr>
        <w:ind w:right="60" w:firstLine="877"/>
        <w:spacing w:after="0" w:line="264" w:lineRule="auto"/>
        <w:rPr>
          <w:sz w:val="20"/>
          <w:szCs w:val="20"/>
          <w:color w:val="auto"/>
        </w:rPr>
      </w:pPr>
      <w:r>
        <w:rPr>
          <w:rFonts w:ascii="Arial" w:cs="Arial" w:eastAsia="Arial" w:hAnsi="Arial"/>
          <w:sz w:val="18"/>
          <w:szCs w:val="18"/>
          <w:color w:val="auto"/>
        </w:rPr>
        <w:t>The undersigned is executing and delivering this Joinder pursuant to the Registration Rights Agreement dated as of August 10, 2016 (as the same may hereafter be amended, the “</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among Medpace Holdings,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other person named as parties therein.</w:t>
      </w:r>
    </w:p>
    <w:p>
      <w:pPr>
        <w:spacing w:after="0" w:line="181" w:lineRule="exact"/>
        <w:rPr>
          <w:sz w:val="20"/>
          <w:szCs w:val="20"/>
          <w:color w:val="auto"/>
        </w:rPr>
      </w:pPr>
    </w:p>
    <w:p>
      <w:pPr>
        <w:ind w:right="400" w:firstLine="877"/>
        <w:spacing w:after="0" w:line="255" w:lineRule="auto"/>
        <w:rPr>
          <w:sz w:val="20"/>
          <w:szCs w:val="20"/>
          <w:color w:val="auto"/>
        </w:rPr>
      </w:pPr>
      <w:r>
        <w:rPr>
          <w:rFonts w:ascii="Arial" w:cs="Arial" w:eastAsia="Arial" w:hAnsi="Arial"/>
          <w:sz w:val="18"/>
          <w:szCs w:val="18"/>
          <w:color w:val="auto"/>
        </w:rPr>
        <w:t>By executing and delivering this Joinder to the Company, and upon acceptance hereof by the Company upon the execution of a counterpart hereof, the undersigned hereby agrees to become a party to, to be bound by, and to comply with the provisions of the Registration Rights Agreement as a Holder of Registrable Securities in the same manner as if the undersigned were an original signatory to the Registration Rights Agreement, and the undersigned’s shares of Common Stock shall be included as Registrable Securities under the Registration Rights Agreement to the extent provided therein. The Company is directed to add the address below the undersigned’s signature on this Joinder to the Schedule of Investors attached to the Registration Rights Agreement.</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Accordingly, the undersigned has executed and delivered this Joinder as of the __________ day of __________, 20__.</w:t>
      </w:r>
    </w:p>
    <w:p>
      <w:pPr>
        <w:spacing w:after="0" w:line="200" w:lineRule="exact"/>
        <w:rPr>
          <w:sz w:val="20"/>
          <w:szCs w:val="20"/>
          <w:color w:val="auto"/>
        </w:rPr>
      </w:pPr>
    </w:p>
    <w:p>
      <w:pPr>
        <w:spacing w:after="0" w:line="26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Print Name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306705</wp:posOffset>
            </wp:positionV>
            <wp:extent cx="32588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160655</wp:posOffset>
            </wp:positionV>
            <wp:extent cx="32588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14605</wp:posOffset>
            </wp:positionV>
            <wp:extent cx="24523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 20__</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Medpace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-130810</wp:posOffset>
            </wp:positionV>
            <wp:extent cx="27698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ectPr>
          <w:pgSz w:w="11900" w:h="16838" w:orient="portrait"/>
          <w:cols w:equalWidth="0" w:num="1">
            <w:col w:w="11420"/>
          </w:cols>
          <w:pgMar w:left="240" w:top="35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August J. Troendle, certify that:</w:t>
      </w:r>
    </w:p>
    <w:p>
      <w:pPr>
        <w:spacing w:after="0" w:line="77" w:lineRule="exact"/>
        <w:rPr>
          <w:sz w:val="20"/>
          <w:szCs w:val="20"/>
          <w:color w:val="auto"/>
        </w:rPr>
      </w:pPr>
    </w:p>
    <w:p>
      <w:pPr>
        <w:ind w:left="540" w:hanging="532"/>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Medpace Holdings, Inc.;</w:t>
      </w:r>
    </w:p>
    <w:p>
      <w:pPr>
        <w:spacing w:after="0" w:line="76"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540" w:right="380" w:hanging="532"/>
        <w:spacing w:after="0" w:line="306" w:lineRule="auto"/>
        <w:tabs>
          <w:tab w:leader="none" w:pos="5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40" w:right="600" w:hanging="532"/>
        <w:spacing w:after="0" w:line="277"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 w:lineRule="exact"/>
        <w:rPr>
          <w:rFonts w:ascii="Arial" w:cs="Arial" w:eastAsia="Arial" w:hAnsi="Arial"/>
          <w:sz w:val="18"/>
          <w:szCs w:val="18"/>
          <w:color w:val="auto"/>
        </w:rPr>
      </w:pPr>
    </w:p>
    <w:p>
      <w:pPr>
        <w:ind w:left="1000" w:right="200" w:hanging="519"/>
        <w:spacing w:after="0" w:line="264" w:lineRule="auto"/>
        <w:tabs>
          <w:tab w:leader="none" w:pos="10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000" w:hanging="519"/>
        <w:spacing w:after="0"/>
        <w:tabs>
          <w:tab w:leader="none" w:pos="10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[Omitted];</w:t>
      </w:r>
    </w:p>
    <w:p>
      <w:pPr>
        <w:spacing w:after="0" w:line="76" w:lineRule="exact"/>
        <w:rPr>
          <w:rFonts w:ascii="Arial" w:cs="Arial" w:eastAsia="Arial" w:hAnsi="Arial"/>
          <w:sz w:val="18"/>
          <w:szCs w:val="18"/>
          <w:color w:val="auto"/>
        </w:rPr>
      </w:pPr>
    </w:p>
    <w:p>
      <w:pPr>
        <w:jc w:val="both"/>
        <w:ind w:left="1000" w:right="680" w:hanging="519"/>
        <w:spacing w:after="0" w:line="325" w:lineRule="auto"/>
        <w:tabs>
          <w:tab w:leader="none" w:pos="10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000" w:right="200" w:hanging="519"/>
        <w:spacing w:after="0" w:line="264" w:lineRule="auto"/>
        <w:tabs>
          <w:tab w:leader="none" w:pos="10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540" w:right="300" w:hanging="532"/>
        <w:spacing w:after="0" w:line="306" w:lineRule="auto"/>
        <w:tabs>
          <w:tab w:leader="none" w:pos="5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000" w:right="100" w:hanging="519"/>
        <w:spacing w:after="0" w:line="277" w:lineRule="auto"/>
        <w:tabs>
          <w:tab w:leader="none" w:pos="10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1000" w:right="60" w:hanging="519"/>
        <w:spacing w:after="0" w:line="277" w:lineRule="auto"/>
        <w:tabs>
          <w:tab w:leader="none" w:pos="10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52"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/s/ August J. Troendle</w:t>
      </w:r>
    </w:p>
    <w:p>
      <w:pPr>
        <w:spacing w:after="0" w:line="23"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August J. Troendle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-130810</wp:posOffset>
            </wp:positionV>
            <wp:extent cx="24701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jc w:val="center"/>
        <w:ind w:left="7540"/>
        <w:spacing w:after="0"/>
        <w:rPr>
          <w:sz w:val="20"/>
          <w:szCs w:val="20"/>
          <w:color w:val="auto"/>
        </w:rPr>
      </w:pPr>
      <w:r>
        <w:rPr>
          <w:rFonts w:ascii="Arial" w:cs="Arial" w:eastAsia="Arial" w:hAnsi="Arial"/>
          <w:sz w:val="17"/>
          <w:szCs w:val="17"/>
          <w:i w:val="1"/>
          <w:iCs w:val="1"/>
          <w:color w:val="auto"/>
        </w:rPr>
        <w:t>President, Chief Executive Officer and Chairman of</w:t>
      </w:r>
    </w:p>
    <w:p>
      <w:pPr>
        <w:spacing w:after="0" w:line="21" w:lineRule="exact"/>
        <w:rPr>
          <w:sz w:val="20"/>
          <w:szCs w:val="20"/>
          <w:color w:val="auto"/>
        </w:rPr>
      </w:pPr>
    </w:p>
    <w:p>
      <w:pPr>
        <w:jc w:val="center"/>
        <w:ind w:left="7540"/>
        <w:spacing w:after="0"/>
        <w:rPr>
          <w:sz w:val="20"/>
          <w:szCs w:val="20"/>
          <w:color w:val="auto"/>
        </w:rPr>
      </w:pPr>
      <w:r>
        <w:rPr>
          <w:rFonts w:ascii="Arial" w:cs="Arial" w:eastAsia="Arial" w:hAnsi="Arial"/>
          <w:sz w:val="18"/>
          <w:szCs w:val="18"/>
          <w:i w:val="1"/>
          <w:iCs w:val="1"/>
          <w:color w:val="auto"/>
        </w:rPr>
        <w:t>the Board of Directors</w:t>
      </w:r>
    </w:p>
    <w:p>
      <w:pPr>
        <w:spacing w:after="0" w:line="9"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5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Jesse Geiger, certify that:</w:t>
      </w:r>
    </w:p>
    <w:p>
      <w:pPr>
        <w:spacing w:after="0" w:line="77" w:lineRule="exact"/>
        <w:rPr>
          <w:sz w:val="20"/>
          <w:szCs w:val="20"/>
          <w:color w:val="auto"/>
        </w:rPr>
      </w:pPr>
    </w:p>
    <w:p>
      <w:pPr>
        <w:ind w:left="540" w:hanging="532"/>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Medpace Holdings, Inc.;</w:t>
      </w:r>
    </w:p>
    <w:p>
      <w:pPr>
        <w:spacing w:after="0" w:line="76"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540" w:right="380" w:hanging="532"/>
        <w:spacing w:after="0" w:line="306" w:lineRule="auto"/>
        <w:tabs>
          <w:tab w:leader="none" w:pos="5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40" w:right="600" w:hanging="532"/>
        <w:spacing w:after="0" w:line="277"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 w:lineRule="exact"/>
        <w:rPr>
          <w:rFonts w:ascii="Arial" w:cs="Arial" w:eastAsia="Arial" w:hAnsi="Arial"/>
          <w:sz w:val="18"/>
          <w:szCs w:val="18"/>
          <w:color w:val="auto"/>
        </w:rPr>
      </w:pPr>
    </w:p>
    <w:p>
      <w:pPr>
        <w:ind w:left="1000" w:right="200" w:hanging="519"/>
        <w:spacing w:after="0" w:line="264" w:lineRule="auto"/>
        <w:tabs>
          <w:tab w:leader="none" w:pos="10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000" w:hanging="519"/>
        <w:spacing w:after="0"/>
        <w:tabs>
          <w:tab w:leader="none" w:pos="10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[Omitted];</w:t>
      </w:r>
    </w:p>
    <w:p>
      <w:pPr>
        <w:spacing w:after="0" w:line="76" w:lineRule="exact"/>
        <w:rPr>
          <w:rFonts w:ascii="Arial" w:cs="Arial" w:eastAsia="Arial" w:hAnsi="Arial"/>
          <w:sz w:val="18"/>
          <w:szCs w:val="18"/>
          <w:color w:val="auto"/>
        </w:rPr>
      </w:pPr>
    </w:p>
    <w:p>
      <w:pPr>
        <w:jc w:val="both"/>
        <w:ind w:left="1000" w:right="680" w:hanging="519"/>
        <w:spacing w:after="0" w:line="325" w:lineRule="auto"/>
        <w:tabs>
          <w:tab w:leader="none" w:pos="10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000" w:right="200" w:hanging="519"/>
        <w:spacing w:after="0" w:line="264" w:lineRule="auto"/>
        <w:tabs>
          <w:tab w:leader="none" w:pos="10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540" w:right="300" w:hanging="532"/>
        <w:spacing w:after="0" w:line="306" w:lineRule="auto"/>
        <w:tabs>
          <w:tab w:leader="none" w:pos="5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000" w:right="100" w:hanging="519"/>
        <w:spacing w:after="0" w:line="277" w:lineRule="auto"/>
        <w:tabs>
          <w:tab w:leader="none" w:pos="10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1000" w:right="60" w:hanging="519"/>
        <w:spacing w:after="0" w:line="277" w:lineRule="auto"/>
        <w:tabs>
          <w:tab w:leader="none" w:pos="10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52"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/s/ Jesse Geiger</w:t>
      </w:r>
    </w:p>
    <w:p>
      <w:pPr>
        <w:spacing w:after="0" w:line="23"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Jesse Geiger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-130810</wp:posOffset>
            </wp:positionV>
            <wp:extent cx="24701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Arial" w:cs="Arial" w:eastAsia="Arial" w:hAnsi="Arial"/>
          <w:sz w:val="17"/>
          <w:szCs w:val="17"/>
          <w:i w:val="1"/>
          <w:iCs w:val="1"/>
          <w:color w:val="auto"/>
        </w:rPr>
        <w:t>Chief Financial Officer and Chief Operating Officer,</w:t>
      </w:r>
    </w:p>
    <w:p>
      <w:pPr>
        <w:spacing w:after="0" w:line="21" w:lineRule="exact"/>
        <w:rPr>
          <w:sz w:val="20"/>
          <w:szCs w:val="20"/>
          <w:color w:val="auto"/>
        </w:rPr>
      </w:pPr>
    </w:p>
    <w:p>
      <w:pPr>
        <w:ind w:left="8640"/>
        <w:spacing w:after="0"/>
        <w:rPr>
          <w:sz w:val="20"/>
          <w:szCs w:val="20"/>
          <w:color w:val="auto"/>
        </w:rPr>
      </w:pPr>
      <w:r>
        <w:rPr>
          <w:rFonts w:ascii="Arial" w:cs="Arial" w:eastAsia="Arial" w:hAnsi="Arial"/>
          <w:sz w:val="18"/>
          <w:szCs w:val="18"/>
          <w:i w:val="1"/>
          <w:iCs w:val="1"/>
          <w:color w:val="auto"/>
        </w:rPr>
        <w:t>Laboratory Operations</w:t>
      </w:r>
    </w:p>
    <w:p>
      <w:pPr>
        <w:spacing w:after="0" w:line="9"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5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Medpace Holdings, Inc. (the “Company”) on Form 10-Q for the quarter ended September 30, 2016 filed with the Securities and Exchange Commission on the date hereof (the “Report”), I, August J. Troendle, President, Chief Executive Officer and Chairman of the Board of Directors of the Company, do hereby certify, pursuant to 18 U.S.C. Section 1350, as adopted pursuant to Section 906 of the Sarbanes-Oxley Act of 2002, that:</w:t>
      </w:r>
    </w:p>
    <w:p>
      <w:pPr>
        <w:spacing w:after="0" w:line="79" w:lineRule="exact"/>
        <w:rPr>
          <w:sz w:val="20"/>
          <w:szCs w:val="20"/>
          <w:color w:val="auto"/>
        </w:rPr>
      </w:pPr>
    </w:p>
    <w:p>
      <w:pPr>
        <w:ind w:left="1040" w:hanging="519"/>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52" w:lineRule="exact"/>
        <w:rPr>
          <w:sz w:val="20"/>
          <w:szCs w:val="20"/>
          <w:color w:val="auto"/>
        </w:rPr>
      </w:pPr>
    </w:p>
    <w:tbl>
      <w:tblPr>
        <w:tblLayout w:type="fixed"/>
        <w:tblInd w:w="6280" w:type="dxa"/>
        <w:tblCellMar>
          <w:top w:w="0" w:type="dxa"/>
          <w:left w:w="0" w:type="dxa"/>
          <w:bottom w:w="0" w:type="dxa"/>
          <w:right w:w="0" w:type="dxa"/>
        </w:tblCellMar>
      </w:tblPr>
      <w:tr>
        <w:trPr>
          <w:trHeight w:val="23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August J. Troendle</w:t>
            </w:r>
          </w:p>
        </w:tc>
      </w:tr>
      <w:tr>
        <w:trPr>
          <w:trHeight w:val="215"/>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August J. Troendle</w:t>
            </w:r>
          </w:p>
        </w:tc>
      </w:tr>
      <w:tr>
        <w:trPr>
          <w:trHeight w:val="216"/>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w:t>
            </w:r>
          </w:p>
        </w:tc>
      </w:tr>
      <w:tr>
        <w:trPr>
          <w:trHeight w:val="216"/>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Chairman of the Board of Directors</w:t>
            </w:r>
          </w:p>
        </w:tc>
      </w:tr>
      <w:tr>
        <w:trPr>
          <w:trHeight w:val="230"/>
        </w:trPr>
        <w:tc>
          <w:tcPr>
            <w:tcW w:w="6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5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of Medpace Holdings, Inc. (the “Company”) on Form 10-Q for the quarter ended September 30, 2016 filed with the Securities and Exchange Commission on the date hereof (the “Report”), I, Jesse Geiger, Chief Financial Officer and Chief Operating Officer, Laboratory Operations of the Company, do hereby certify, pursuant to 18 U.S.C. Section 1350, as adopted pursuant to Section 906 of the Sarbanes-Oxley Act of 2002, that:</w:t>
      </w:r>
    </w:p>
    <w:p>
      <w:pPr>
        <w:spacing w:after="0" w:line="79" w:lineRule="exact"/>
        <w:rPr>
          <w:sz w:val="20"/>
          <w:szCs w:val="20"/>
          <w:color w:val="auto"/>
        </w:rPr>
      </w:pPr>
    </w:p>
    <w:p>
      <w:pPr>
        <w:ind w:left="1040" w:hanging="519"/>
        <w:spacing w:after="0"/>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52" w:lineRule="exact"/>
        <w:rPr>
          <w:sz w:val="20"/>
          <w:szCs w:val="20"/>
          <w:color w:val="auto"/>
        </w:rPr>
      </w:pPr>
    </w:p>
    <w:tbl>
      <w:tblPr>
        <w:tblLayout w:type="fixed"/>
        <w:tblInd w:w="6280" w:type="dxa"/>
        <w:tblCellMar>
          <w:top w:w="0" w:type="dxa"/>
          <w:left w:w="0" w:type="dxa"/>
          <w:bottom w:w="0" w:type="dxa"/>
          <w:right w:w="0" w:type="dxa"/>
        </w:tblCellMar>
      </w:tblPr>
      <w:tr>
        <w:trPr>
          <w:trHeight w:val="23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Jesse Geiger</w:t>
            </w:r>
          </w:p>
        </w:tc>
      </w:tr>
      <w:tr>
        <w:trPr>
          <w:trHeight w:val="215"/>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Jesse Geiger</w:t>
            </w:r>
          </w:p>
        </w:tc>
      </w:tr>
      <w:tr>
        <w:trPr>
          <w:trHeight w:val="216"/>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Chief Financial Officer and Chief Operating Officer,</w:t>
            </w:r>
          </w:p>
        </w:tc>
      </w:tr>
      <w:tr>
        <w:trPr>
          <w:trHeight w:val="216"/>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Laboratory Operations</w:t>
            </w:r>
          </w:p>
        </w:tc>
      </w:tr>
      <w:tr>
        <w:trPr>
          <w:trHeight w:val="230"/>
        </w:trPr>
        <w:tc>
          <w:tcPr>
            <w:tcW w:w="6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lvl w:ilvl="1">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lvl w:ilvl="1">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lvl w:ilvl="1">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1)"/>
      <w:numFmt w:val="lowerRoman"/>
      <w:start w:val="3"/>
    </w:lvl>
    <w:lvl w:ilvl="1">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1)"/>
      <w:numFmt w:val="lowerRoman"/>
      <w:start w:val="1"/>
    </w:lvl>
    <w:lvl w:ilvl="1">
      <w:lvlJc w:val="left"/>
      <w:lvlText w:val="(%2)"/>
      <w:numFmt w:val="lowerRoman"/>
      <w:start w:val="2"/>
    </w:lvl>
  </w:abstractNum>
  <w:abstractNum w:abstractNumId="25">
    <w:nsid w:val="354FE9F9"/>
    <w:multiLevelType w:val="hybridMultilevel"/>
    <w:lvl w:ilvl="0">
      <w:lvlJc w:val="left"/>
      <w:lvlText w:val="(%1)"/>
      <w:numFmt w:val="lowerLetter"/>
      <w:start w:val="1"/>
    </w:lvl>
  </w:abstractNum>
  <w:abstractNum w:abstractNumId="26">
    <w:nsid w:val="15B5AF5C"/>
    <w:multiLevelType w:val="hybridMultilevel"/>
    <w:lvl w:ilvl="0">
      <w:lvlJc w:val="left"/>
      <w:lvlText w:val="(%1)"/>
      <w:numFmt w:val="lowerRoman"/>
      <w:start w:val="1"/>
    </w:lvl>
  </w:abstractNum>
  <w:abstractNum w:abstractNumId="27">
    <w:nsid w:val="741226BB"/>
    <w:multiLevelType w:val="hybridMultilevel"/>
    <w:lvl w:ilvl="0">
      <w:lvlJc w:val="left"/>
      <w:lvlText w:val="%1"/>
      <w:numFmt w:val="lowerLetter"/>
      <w:start w:val="1"/>
    </w:lvl>
    <w:lvl w:ilvl="1">
      <w:lvlJc w:val="left"/>
      <w:lvlText w:val="(%2)"/>
      <w:numFmt w:val="lowerLetter"/>
      <w:start w:val="35"/>
    </w:lvl>
  </w:abstractNum>
  <w:abstractNum w:abstractNumId="28">
    <w:nsid w:val="D34B6A8"/>
    <w:multiLevelType w:val="hybridMultilevel"/>
    <w:lvl w:ilvl="0">
      <w:lvlJc w:val="left"/>
      <w:lvlText w:val="(%1)"/>
      <w:numFmt w:val="lowerLetter"/>
      <w:start w:val="6"/>
    </w:lvl>
    <w:lvl w:ilvl="1">
      <w:lvlJc w:val="left"/>
      <w:lvlText w:val="%2"/>
      <w:numFmt w:val="lowerLetter"/>
      <w:start w:val="1"/>
    </w:lvl>
  </w:abstractNum>
  <w:abstractNum w:abstractNumId="29">
    <w:nsid w:val="10233C99"/>
    <w:multiLevelType w:val="hybridMultilevel"/>
    <w:lvl w:ilvl="0">
      <w:lvlJc w:val="left"/>
      <w:lvlText w:val="(%1)"/>
      <w:numFmt w:val="lowerRoman"/>
      <w:start w:val="3"/>
    </w:lvl>
  </w:abstractNum>
  <w:abstractNum w:abstractNumId="30">
    <w:nsid w:val="3F6AB60F"/>
    <w:multiLevelType w:val="hybridMultilevel"/>
    <w:lvl w:ilvl="0">
      <w:lvlJc w:val="left"/>
      <w:lvlText w:val="(%1)"/>
      <w:numFmt w:val="lowerRoman"/>
      <w:start w:val="4"/>
    </w:lvl>
  </w:abstractNum>
  <w:abstractNum w:abstractNumId="31">
    <w:nsid w:val="61574095"/>
    <w:multiLevelType w:val="hybridMultilevel"/>
    <w:lvl w:ilvl="0">
      <w:lvlJc w:val="left"/>
      <w:lvlText w:val="(%1)"/>
      <w:numFmt w:val="lowerLetter"/>
      <w:start w:val="1"/>
    </w:lvl>
    <w:lvl w:ilvl="1">
      <w:lvlJc w:val="left"/>
      <w:lvlText w:val="(%2)"/>
      <w:numFmt w:val="lowerRoman"/>
      <w:start w:val="1"/>
    </w:lvl>
  </w:abstractNum>
  <w:abstractNum w:abstractNumId="32">
    <w:nsid w:val="7E0C57B1"/>
    <w:multiLevelType w:val="hybridMultilevel"/>
    <w:lvl w:ilvl="0">
      <w:lvlJc w:val="left"/>
      <w:lvlText w:val="(%1)"/>
      <w:numFmt w:val="lowerLetter"/>
      <w:start w:val="1"/>
    </w:lvl>
  </w:abstractNum>
  <w:abstractNum w:abstractNumId="33">
    <w:nsid w:val="77AE35EB"/>
    <w:multiLevelType w:val="hybridMultilevel"/>
    <w:lvl w:ilvl="0">
      <w:lvlJc w:val="left"/>
      <w:lvlText w:val="%1"/>
      <w:numFmt w:val="lowerRoman"/>
      <w:start w:val="1"/>
    </w:lvl>
    <w:lvl w:ilvl="1">
      <w:lvlJc w:val="left"/>
      <w:lvlText w:val="(%2)"/>
      <w:numFmt w:val="lowerLetter"/>
      <w:start w:val="1"/>
    </w:lvl>
  </w:abstractNum>
  <w:abstractNum w:abstractNumId="34">
    <w:nsid w:val="579BE4F1"/>
    <w:multiLevelType w:val="hybridMultilevel"/>
    <w:lvl w:ilvl="0">
      <w:lvlJc w:val="left"/>
      <w:lvlText w:val="(%1)"/>
      <w:numFmt w:val="lowerRoman"/>
      <w:start w:val="24"/>
    </w:lvl>
    <w:lvl w:ilvl="1">
      <w:lvlJc w:val="left"/>
      <w:lvlText w:val="(%2)"/>
      <w:numFmt w:val="lowerLetter"/>
      <w:start w:val="2"/>
    </w:lvl>
  </w:abstractNum>
  <w:abstractNum w:abstractNumId="35">
    <w:nsid w:val="310C50B3"/>
    <w:multiLevelType w:val="hybridMultilevel"/>
    <w:lvl w:ilvl="0">
      <w:lvlJc w:val="left"/>
      <w:lvlText w:val="(%1)"/>
      <w:numFmt w:val="lowerRoman"/>
      <w:start w:val="17"/>
    </w:lvl>
  </w:abstractNum>
  <w:abstractNum w:abstractNumId="36">
    <w:nsid w:val="5FF87E05"/>
    <w:multiLevelType w:val="hybridMultilevel"/>
    <w:lvl w:ilvl="0">
      <w:lvlJc w:val="left"/>
      <w:lvlText w:val="(%1)"/>
      <w:numFmt w:val="lowerLetter"/>
      <w:start w:val="1"/>
    </w:lvl>
  </w:abstractNum>
  <w:abstractNum w:abstractNumId="37">
    <w:nsid w:val="2F305DEF"/>
    <w:multiLevelType w:val="hybridMultilevel"/>
    <w:lvl w:ilvl="0">
      <w:lvlJc w:val="left"/>
      <w:lvlText w:val="(%1)"/>
      <w:numFmt w:val="lowerLetter"/>
      <w:start w:val="1"/>
    </w:lvl>
  </w:abstractNum>
  <w:abstractNum w:abstractNumId="38">
    <w:nsid w:val="25A70BF7"/>
    <w:multiLevelType w:val="hybridMultilevel"/>
    <w:lvl w:ilvl="0">
      <w:lvlJc w:val="left"/>
      <w:lvlText w:val="(%1)"/>
      <w:numFmt w:val="lowerLetter"/>
      <w:start w:val="1"/>
    </w:lvl>
  </w:abstractNum>
  <w:abstractNum w:abstractNumId="39">
    <w:nsid w:val="1DBABF00"/>
    <w:multiLevelType w:val="hybridMultilevel"/>
    <w:lvl w:ilvl="0">
      <w:lvlJc w:val="left"/>
      <w:lvlText w:val="(%1)"/>
      <w:numFmt w:val="lowerLetter"/>
      <w:start w:val="1"/>
    </w:lvl>
  </w:abstractNum>
  <w:abstractNum w:abstractNumId="40">
    <w:nsid w:val="4AD084E9"/>
    <w:multiLevelType w:val="hybridMultilevel"/>
    <w:lvl w:ilvl="0">
      <w:lvlJc w:val="left"/>
      <w:lvlText w:val="(%1)"/>
      <w:numFmt w:val="lowerLetter"/>
      <w:start w:val="1"/>
    </w:lvl>
  </w:abstractNum>
  <w:abstractNum w:abstractNumId="41">
    <w:nsid w:val="1F48EAA1"/>
    <w:multiLevelType w:val="hybridMultilevel"/>
    <w:lvl w:ilvl="0">
      <w:lvlJc w:val="left"/>
      <w:lvlText w:val="%1"/>
      <w:numFmt w:val="lowerLetter"/>
      <w:start w:val="1"/>
    </w:lvl>
    <w:lvl w:ilvl="1">
      <w:lvlJc w:val="left"/>
      <w:lvlText w:val="(%2)"/>
      <w:numFmt w:val="lowerRoman"/>
      <w:start w:val="1"/>
    </w:lvl>
  </w:abstractNum>
  <w:abstractNum w:abstractNumId="42">
    <w:nsid w:val="1381823A"/>
    <w:multiLevelType w:val="hybridMultilevel"/>
    <w:lvl w:ilvl="0">
      <w:lvlJc w:val="left"/>
      <w:lvlText w:val="(%1)"/>
      <w:numFmt w:val="lowerLetter"/>
      <w:start w:val="2"/>
    </w:lvl>
    <w:lvl w:ilvl="1">
      <w:lvlJc w:val="left"/>
      <w:lvlText w:val="%2"/>
      <w:numFmt w:val="lowerRoman"/>
      <w:start w:val="1"/>
    </w:lvl>
  </w:abstractNum>
  <w:abstractNum w:abstractNumId="43">
    <w:nsid w:val="5DB70AE5"/>
    <w:multiLevelType w:val="hybridMultilevel"/>
    <w:lvl w:ilvl="0">
      <w:lvlJc w:val="left"/>
      <w:lvlText w:val="(%1)"/>
      <w:numFmt w:val="lowerLetter"/>
      <w:start w:val="1"/>
    </w:lvl>
  </w:abstractNum>
  <w:abstractNum w:abstractNumId="44">
    <w:nsid w:val="100F8FCA"/>
    <w:multiLevelType w:val="hybridMultilevel"/>
    <w:lvl w:ilvl="0">
      <w:lvlJc w:val="left"/>
      <w:lvlText w:val="(%1)"/>
      <w:numFmt w:val="lowerLetter"/>
      <w:start w:val="2"/>
    </w:lvl>
  </w:abstractNum>
  <w:abstractNum w:abstractNumId="45">
    <w:nsid w:val="6590700B"/>
    <w:multiLevelType w:val="hybridMultilevel"/>
    <w:lvl w:ilvl="0">
      <w:lvlJc w:val="left"/>
      <w:lvlText w:val="(%1)"/>
      <w:numFmt w:val="lowerLetter"/>
      <w:start w:val="1"/>
    </w:lvl>
  </w:abstractNum>
  <w:abstractNum w:abstractNumId="46">
    <w:nsid w:val="15014ACB"/>
    <w:multiLevelType w:val="hybridMultilevel"/>
    <w:lvl w:ilvl="0">
      <w:lvlJc w:val="left"/>
      <w:lvlText w:val="(%1)"/>
      <w:numFmt w:val="lowerLetter"/>
      <w:start w:val="10"/>
    </w:lvl>
  </w:abstractNum>
  <w:abstractNum w:abstractNumId="47">
    <w:nsid w:val="5F5E7FD0"/>
    <w:multiLevelType w:val="hybridMultilevel"/>
    <w:lvl w:ilvl="0">
      <w:lvlJc w:val="left"/>
      <w:lvlText w:val="(%1)"/>
      <w:numFmt w:val="lowerLetter"/>
      <w:start w:val="1"/>
    </w:lvl>
  </w:abstractNum>
  <w:abstractNum w:abstractNumId="48">
    <w:nsid w:val="98A3148"/>
    <w:multiLevelType w:val="hybridMultilevel"/>
    <w:lvl w:ilvl="0">
      <w:lvlJc w:val="left"/>
      <w:lvlText w:val="(%1)"/>
      <w:numFmt w:val="lowerLetter"/>
      <w:start w:val="1"/>
    </w:lvl>
    <w:lvl w:ilvl="1">
      <w:lvlJc w:val="left"/>
      <w:lvlText w:val="(%2)"/>
      <w:numFmt w:val="lowerRoman"/>
      <w:start w:val="1"/>
    </w:lvl>
  </w:abstractNum>
  <w:abstractNum w:abstractNumId="49">
    <w:nsid w:val="799D0247"/>
    <w:multiLevelType w:val="hybridMultilevel"/>
    <w:lvl w:ilvl="0">
      <w:lvlJc w:val="left"/>
      <w:lvlText w:val="(%1)"/>
      <w:numFmt w:val="lowerLetter"/>
      <w:start w:val="3"/>
    </w:lvl>
  </w:abstractNum>
  <w:abstractNum w:abstractNumId="50">
    <w:nsid w:val="6B94764"/>
    <w:multiLevelType w:val="hybridMultilevel"/>
    <w:lvl w:ilvl="0">
      <w:lvlJc w:val="left"/>
      <w:lvlText w:val="%1"/>
      <w:numFmt w:val="lowerLetter"/>
      <w:start w:val="1"/>
    </w:lvl>
    <w:lvl w:ilvl="1">
      <w:lvlJc w:val="left"/>
      <w:lvlText w:val="(%2)"/>
      <w:numFmt w:val="lowerRoman"/>
      <w:start w:val="1"/>
    </w:lvl>
  </w:abstractNum>
  <w:abstractNum w:abstractNumId="51">
    <w:nsid w:val="42C296BD"/>
    <w:multiLevelType w:val="hybridMultilevel"/>
    <w:lvl w:ilvl="0">
      <w:lvlJc w:val="left"/>
      <w:lvlText w:val="(%1)"/>
      <w:numFmt w:val="lowerLetter"/>
      <w:start w:val="4"/>
    </w:lvl>
    <w:lvl w:ilvl="1">
      <w:lvlJc w:val="left"/>
      <w:lvlText w:val="%2"/>
      <w:numFmt w:val="lowerRoman"/>
      <w:start w:val="1"/>
    </w:lvl>
  </w:abstractNum>
  <w:abstractNum w:abstractNumId="52">
    <w:nsid w:val="168E121F"/>
    <w:multiLevelType w:val="hybridMultilevel"/>
    <w:lvl w:ilvl="0">
      <w:lvlJc w:val="left"/>
      <w:lvlText w:val="(%1)"/>
      <w:numFmt w:val="lowerRoman"/>
      <w:start w:val="1"/>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1."/>
      <w:numFmt w:val="decimal"/>
      <w:start w:val="2"/>
    </w:lvl>
  </w:abstractNum>
  <w:abstractNum w:abstractNumId="55">
    <w:nsid w:val="5DC79EA8"/>
    <w:multiLevelType w:val="hybridMultilevel"/>
    <w:lvl w:ilvl="0">
      <w:lvlJc w:val="left"/>
      <w:lvlText w:val="%1."/>
      <w:numFmt w:val="decimal"/>
      <w:start w:val="3"/>
    </w:lvl>
  </w:abstractNum>
  <w:abstractNum w:abstractNumId="56">
    <w:nsid w:val="540A471C"/>
    <w:multiLevelType w:val="hybridMultilevel"/>
    <w:lvl w:ilvl="0">
      <w:lvlJc w:val="left"/>
      <w:lvlText w:val="%1."/>
      <w:numFmt w:val="decimal"/>
      <w:start w:val="4"/>
    </w:lvl>
    <w:lvl w:ilvl="1">
      <w:lvlJc w:val="left"/>
      <w:lvlText w:val="(%2)"/>
      <w:numFmt w:val="lowerLetter"/>
      <w:start w:val="1"/>
    </w:lvl>
  </w:abstractNum>
  <w:abstractNum w:abstractNumId="57">
    <w:nsid w:val="7BD3EE7B"/>
    <w:multiLevelType w:val="hybridMultilevel"/>
    <w:lvl w:ilvl="0">
      <w:lvlJc w:val="left"/>
      <w:lvlText w:val="%1"/>
      <w:numFmt w:val="decimal"/>
      <w:start w:val="1"/>
    </w:lvl>
    <w:lvl w:ilvl="1">
      <w:lvlJc w:val="left"/>
      <w:lvlText w:val="(%2)"/>
      <w:numFmt w:val="lowerLetter"/>
      <w:start w:val="3"/>
    </w:lvl>
  </w:abstractNum>
  <w:abstractNum w:abstractNumId="58">
    <w:nsid w:val="51D9C564"/>
    <w:multiLevelType w:val="hybridMultilevel"/>
    <w:lvl w:ilvl="0">
      <w:lvlJc w:val="left"/>
      <w:lvlText w:val="%1."/>
      <w:numFmt w:val="decimal"/>
      <w:start w:val="5"/>
    </w:lvl>
    <w:lvl w:ilvl="1">
      <w:lvlJc w:val="left"/>
      <w:lvlText w:val="%2"/>
      <w:numFmt w:val="lowerLetter"/>
      <w:start w:val="1"/>
    </w:lvl>
  </w:abstractNum>
  <w:abstractNum w:abstractNumId="59">
    <w:nsid w:val="613EFDC5"/>
    <w:multiLevelType w:val="hybridMultilevel"/>
    <w:lvl w:ilvl="0">
      <w:lvlJc w:val="left"/>
      <w:lvlText w:val="%1."/>
      <w:numFmt w:val="decimal"/>
      <w:start w:val="6"/>
    </w:lvl>
    <w:lvl w:ilvl="1">
      <w:lvlJc w:val="left"/>
      <w:lvlText w:val="(%2)"/>
      <w:numFmt w:val="lowerLetter"/>
      <w:start w:val="1"/>
    </w:lvl>
  </w:abstractNum>
  <w:abstractNum w:abstractNumId="60">
    <w:nsid w:val="BF72B14"/>
    <w:multiLevelType w:val="hybridMultilevel"/>
    <w:lvl w:ilvl="0">
      <w:lvlJc w:val="left"/>
      <w:lvlText w:val="%1."/>
      <w:numFmt w:val="decimal"/>
      <w:start w:val="7"/>
    </w:lvl>
  </w:abstractNum>
  <w:abstractNum w:abstractNumId="61">
    <w:nsid w:val="11447B73"/>
    <w:multiLevelType w:val="hybridMultilevel"/>
    <w:lvl w:ilvl="0">
      <w:lvlJc w:val="left"/>
      <w:lvlText w:val="%1."/>
      <w:numFmt w:val="decimal"/>
      <w:start w:val="8"/>
    </w:lvl>
  </w:abstractNum>
  <w:abstractNum w:abstractNumId="62">
    <w:nsid w:val="42963E5A"/>
    <w:multiLevelType w:val="hybridMultilevel"/>
    <w:lvl w:ilvl="0">
      <w:lvlJc w:val="left"/>
      <w:lvlText w:val="%1."/>
      <w:numFmt w:val="decimal"/>
      <w:start w:val="9"/>
    </w:lvl>
  </w:abstractNum>
  <w:abstractNum w:abstractNumId="63">
    <w:nsid w:val="A0382C5"/>
    <w:multiLevelType w:val="hybridMultilevel"/>
    <w:lvl w:ilvl="0">
      <w:lvlJc w:val="left"/>
      <w:lvlText w:val="%1)"/>
      <w:numFmt w:val="decimal"/>
      <w:start w:val="6"/>
    </w:lvl>
  </w:abstractNum>
  <w:abstractNum w:abstractNumId="64">
    <w:nsid w:val="8F2B15E"/>
    <w:multiLevelType w:val="hybridMultilevel"/>
    <w:lvl w:ilvl="0">
      <w:lvlJc w:val="left"/>
      <w:lvlText w:val="(%1)"/>
      <w:numFmt w:val="lowerLetter"/>
      <w:start w:val="1"/>
    </w:lvl>
    <w:lvl w:ilvl="1">
      <w:lvlJc w:val="left"/>
      <w:lvlText w:val="(%2)"/>
      <w:numFmt w:val="lowerLetter"/>
      <w:start w:val="9"/>
    </w:lvl>
  </w:abstractNum>
  <w:abstractNum w:abstractNumId="65">
    <w:nsid w:val="1A32234B"/>
    <w:multiLevelType w:val="hybridMultilevel"/>
    <w:lvl w:ilvl="0">
      <w:lvlJc w:val="left"/>
      <w:lvlText w:val="%1"/>
      <w:numFmt w:val="lowerLetter"/>
      <w:start w:val="1"/>
    </w:lvl>
    <w:lvl w:ilvl="1">
      <w:lvlJc w:val="left"/>
      <w:lvlText w:val="(%2)"/>
      <w:numFmt w:val="lowerRoman"/>
      <w:start w:val="2"/>
    </w:lvl>
  </w:abstractNum>
  <w:abstractNum w:abstractNumId="66">
    <w:nsid w:val="3B0FD379"/>
    <w:multiLevelType w:val="hybridMultilevel"/>
    <w:lvl w:ilvl="0">
      <w:lvlJc w:val="left"/>
      <w:lvlText w:val="(%1)"/>
      <w:numFmt w:val="lowerLetter"/>
      <w:start w:val="4"/>
    </w:lvl>
    <w:lvl w:ilvl="1">
      <w:lvlJc w:val="left"/>
      <w:lvlText w:val="(%2)"/>
      <w:numFmt w:val="lowerRoman"/>
      <w:start w:val="1"/>
    </w:lvl>
  </w:abstractNum>
  <w:abstractNum w:abstractNumId="67">
    <w:nsid w:val="68EB2F63"/>
    <w:multiLevelType w:val="hybridMultilevel"/>
    <w:lvl w:ilvl="0">
      <w:lvlJc w:val="left"/>
      <w:lvlText w:val="%1"/>
      <w:numFmt w:val="lowerLetter"/>
      <w:start w:val="1"/>
    </w:lvl>
    <w:lvl w:ilvl="1">
      <w:lvlJc w:val="left"/>
      <w:lvlText w:val="(%2)"/>
      <w:numFmt w:val="lowerRoman"/>
      <w:start w:val="2"/>
    </w:lvl>
  </w:abstractNum>
  <w:abstractNum w:abstractNumId="68">
    <w:nsid w:val="4962813B"/>
    <w:multiLevelType w:val="hybridMultilevel"/>
    <w:lvl w:ilvl="0">
      <w:lvlJc w:val="left"/>
      <w:lvlText w:val="(%1)"/>
      <w:numFmt w:val="lowerLetter"/>
      <w:start w:val="5"/>
    </w:lvl>
    <w:lvl w:ilvl="1">
      <w:lvlJc w:val="left"/>
      <w:lvlText w:val="%2"/>
      <w:numFmt w:val="lowerRoman"/>
      <w:start w:val="1"/>
    </w:lvl>
  </w:abstractNum>
  <w:abstractNum w:abstractNumId="69">
    <w:nsid w:val="60B6DF70"/>
    <w:multiLevelType w:val="hybridMultilevel"/>
    <w:lvl w:ilvl="0">
      <w:lvlJc w:val="left"/>
      <w:lvlText w:val="(%1)"/>
      <w:numFmt w:val="lowerLetter"/>
      <w:start w:val="1"/>
    </w:lvl>
  </w:abstractNum>
  <w:abstractNum w:abstractNumId="70">
    <w:nsid w:val="6A5EE64"/>
    <w:multiLevelType w:val="hybridMultilevel"/>
    <w:lvl w:ilvl="0">
      <w:lvlJc w:val="left"/>
      <w:lvlText w:val="(%1)"/>
      <w:numFmt w:val="lowerLetter"/>
      <w:start w:val="2"/>
    </w:lvl>
  </w:abstractNum>
  <w:abstractNum w:abstractNumId="71">
    <w:nsid w:val="14330624"/>
    <w:multiLevelType w:val="hybridMultilevel"/>
    <w:lvl w:ilvl="0">
      <w:lvlJc w:val="left"/>
      <w:lvlText w:val="(%1)"/>
      <w:numFmt w:val="lowerLetter"/>
      <w:start w:val="1"/>
    </w:lvl>
  </w:abstractNum>
  <w:abstractNum w:abstractNumId="72">
    <w:nsid w:val="7FFFCA11"/>
    <w:multiLevelType w:val="hybridMultilevel"/>
    <w:lvl w:ilvl="0">
      <w:lvlJc w:val="left"/>
      <w:lvlText w:val="(%1)"/>
      <w:numFmt w:val="lowerLetter"/>
      <w:start w:val="1"/>
    </w:lvl>
    <w:lvl w:ilvl="1">
      <w:lvlJc w:val="left"/>
      <w:lvlText w:val="(%2)"/>
      <w:numFmt w:val="lowerRoman"/>
      <w:start w:val="1"/>
    </w:lvl>
  </w:abstractNum>
  <w:abstractNum w:abstractNumId="73">
    <w:nsid w:val="1A27709E"/>
    <w:multiLevelType w:val="hybridMultilevel"/>
    <w:lvl w:ilvl="0">
      <w:lvlJc w:val="left"/>
      <w:lvlText w:val="(%1)"/>
      <w:numFmt w:val="lowerRoman"/>
      <w:start w:val="7"/>
    </w:lvl>
  </w:abstractNum>
  <w:abstractNum w:abstractNumId="74">
    <w:nsid w:val="71EA1109"/>
    <w:multiLevelType w:val="hybridMultilevel"/>
    <w:lvl w:ilvl="0">
      <w:lvlJc w:val="left"/>
      <w:lvlText w:val="(%1)"/>
      <w:numFmt w:val="lowerRoman"/>
      <w:start w:val="14"/>
    </w:lvl>
  </w:abstractNum>
  <w:abstractNum w:abstractNumId="75">
    <w:nsid w:val="100F59DC"/>
    <w:multiLevelType w:val="hybridMultilevel"/>
    <w:lvl w:ilvl="0">
      <w:lvlJc w:val="left"/>
      <w:lvlText w:val="%1"/>
      <w:numFmt w:val="lowerLetter"/>
      <w:start w:val="1"/>
    </w:lvl>
    <w:lvl w:ilvl="1">
      <w:lvlJc w:val="left"/>
      <w:lvlText w:val="(%2)"/>
      <w:numFmt w:val="lowerRoman"/>
      <w:start w:val="22"/>
    </w:lvl>
  </w:abstractNum>
  <w:abstractNum w:abstractNumId="76">
    <w:nsid w:val="7FB7E0AA"/>
    <w:multiLevelType w:val="hybridMultilevel"/>
    <w:lvl w:ilvl="0">
      <w:lvlJc w:val="left"/>
      <w:lvlText w:val="(%1)"/>
      <w:numFmt w:val="lowerLetter"/>
      <w:start w:val="2"/>
    </w:lvl>
    <w:lvl w:ilvl="1">
      <w:lvlJc w:val="left"/>
      <w:lvlText w:val="%2"/>
      <w:numFmt w:val="lowerRoman"/>
      <w:start w:val="1"/>
    </w:lvl>
  </w:abstractNum>
  <w:abstractNum w:abstractNumId="77">
    <w:nsid w:val="6EB5BD4"/>
    <w:multiLevelType w:val="hybridMultilevel"/>
    <w:lvl w:ilvl="0">
      <w:lvlJc w:val="left"/>
      <w:lvlText w:val="(%1)"/>
      <w:numFmt w:val="lowerLetter"/>
      <w:start w:val="1"/>
    </w:lvl>
  </w:abstractNum>
  <w:abstractNum w:abstractNumId="78">
    <w:nsid w:val="6F6DD9AC"/>
    <w:multiLevelType w:val="hybridMultilevel"/>
    <w:lvl w:ilvl="0">
      <w:lvlJc w:val="left"/>
      <w:lvlText w:val="(%1)"/>
      <w:numFmt w:val="lowerLetter"/>
      <w:start w:val="2"/>
    </w:lvl>
  </w:abstractNum>
  <w:abstractNum w:abstractNumId="79">
    <w:nsid w:val="94211F2"/>
    <w:multiLevelType w:val="hybridMultilevel"/>
    <w:lvl w:ilvl="0">
      <w:lvlJc w:val="left"/>
      <w:lvlText w:val="(%1)"/>
      <w:numFmt w:val="lowerLetter"/>
      <w:start w:val="1"/>
    </w:lvl>
  </w:abstractNum>
  <w:abstractNum w:abstractNumId="80">
    <w:nsid w:val="885E1B"/>
    <w:multiLevelType w:val="hybridMultilevel"/>
    <w:lvl w:ilvl="0">
      <w:lvlJc w:val="left"/>
      <w:lvlText w:val="(%1)"/>
      <w:numFmt w:val="lowerLetter"/>
      <w:start w:val="3"/>
    </w:lvl>
  </w:abstractNum>
  <w:abstractNum w:abstractNumId="81">
    <w:nsid w:val="76272110"/>
    <w:multiLevelType w:val="hybridMultilevel"/>
    <w:lvl w:ilvl="0">
      <w:lvlJc w:val="left"/>
      <w:lvlText w:val="(%1)"/>
      <w:numFmt w:val="lowerLetter"/>
      <w:start w:val="1"/>
    </w:lvl>
  </w:abstractNum>
  <w:abstractNum w:abstractNumId="82">
    <w:nsid w:val="4C04A8AF"/>
    <w:multiLevelType w:val="hybridMultilevel"/>
    <w:lvl w:ilvl="0">
      <w:lvlJc w:val="left"/>
      <w:lvlText w:val="(%1)"/>
      <w:numFmt w:val="lowerLetter"/>
      <w:start w:val="1"/>
    </w:lvl>
  </w:abstractNum>
  <w:abstractNum w:abstractNumId="83">
    <w:nsid w:val="1716703B"/>
    <w:multiLevelType w:val="hybridMultilevel"/>
    <w:lvl w:ilvl="0">
      <w:lvlJc w:val="left"/>
      <w:lvlText w:val="(%1)"/>
      <w:numFmt w:val="lowerLetter"/>
      <w:start w:val="2"/>
    </w:lvl>
  </w:abstractNum>
  <w:abstractNum w:abstractNumId="84">
    <w:nsid w:val="14E17E33"/>
    <w:multiLevelType w:val="hybridMultilevel"/>
    <w:lvl w:ilvl="0">
      <w:lvlJc w:val="left"/>
      <w:lvlText w:val="(%1)"/>
      <w:numFmt w:val="lowerLetter"/>
      <w:start w:val="1"/>
    </w:lvl>
  </w:abstractNum>
  <w:abstractNum w:abstractNumId="85">
    <w:nsid w:val="3222E7CD"/>
    <w:multiLevelType w:val="hybridMultilevel"/>
    <w:lvl w:ilvl="0">
      <w:lvlJc w:val="left"/>
      <w:lvlText w:val="(%1)"/>
      <w:numFmt w:val="lowerLetter"/>
      <w:start w:val="2"/>
    </w:lvl>
  </w:abstractNum>
  <w:abstractNum w:abstractNumId="86">
    <w:nsid w:val="74DE0EE3"/>
    <w:multiLevelType w:val="hybridMultilevel"/>
    <w:lvl w:ilvl="0">
      <w:lvlJc w:val="left"/>
      <w:lvlText w:val="(%1)"/>
      <w:numFmt w:val="lowerLetter"/>
      <w:start w:val="7"/>
    </w:lvl>
  </w:abstractNum>
  <w:abstractNum w:abstractNumId="87">
    <w:nsid w:val="68EBC550"/>
    <w:multiLevelType w:val="hybridMultilevel"/>
    <w:lvl w:ilvl="0">
      <w:lvlJc w:val="left"/>
      <w:lvlText w:val="(%1)"/>
      <w:numFmt w:val="lowerLetter"/>
      <w:start w:val="11"/>
    </w:lvl>
    <w:lvl w:ilvl="1">
      <w:lvlJc w:val="left"/>
      <w:lvlText w:val="*"/>
      <w:numFmt w:val="bullet"/>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
      <w:numFmt w:val="bullet"/>
      <w:start w:val="1"/>
    </w:lvl>
  </w:abstractNum>
  <w:abstractNum w:abstractNumId="91">
    <w:nsid w:val="39EE01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2019-12-29T10:07:56Z</dcterms:created>
  <dcterms:modified xsi:type="dcterms:W3CDTF">2019-12-29T10:07:56Z</dcterms:modified>
</cp:coreProperties>
</file>