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20" w:right="400" w:hanging="512"/>
        <w:spacing w:after="0" w:line="262" w:lineRule="auto"/>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860"/>
        <w:spacing w:after="0"/>
        <w:tabs>
          <w:tab w:leader="none" w:pos="6760" w:val="left"/>
          <w:tab w:leader="none" w:pos="75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105410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Medpace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p>
      <w:pPr>
        <w:spacing w:after="0" w:line="269"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32-0434904</w:t>
      </w:r>
    </w:p>
    <w:p>
      <w:pPr>
        <w:spacing w:after="0" w:line="23" w:lineRule="exact"/>
        <w:rPr>
          <w:sz w:val="24"/>
          <w:szCs w:val="24"/>
          <w:color w:val="auto"/>
        </w:rPr>
      </w:pPr>
    </w:p>
    <w:p>
      <w:pPr>
        <w:sectPr>
          <w:pgSz w:w="11900" w:h="16838" w:orient="portrait"/>
          <w:cols w:equalWidth="0" w:num="2">
            <w:col w:w="7080" w:space="720"/>
            <w:col w:w="3640"/>
          </w:cols>
          <w:pgMar w:left="240" w:top="322" w:right="219"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2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4" w:lineRule="exact"/>
        <w:rPr>
          <w:sz w:val="24"/>
          <w:szCs w:val="24"/>
          <w:color w:val="auto"/>
        </w:rPr>
      </w:pPr>
    </w:p>
    <w:p>
      <w:pPr>
        <w:sectPr>
          <w:pgSz w:w="11900" w:h="16838" w:orient="portrait"/>
          <w:cols w:equalWidth="0" w:num="2">
            <w:col w:w="6940" w:space="720"/>
            <w:col w:w="3780"/>
          </w:cols>
          <w:pgMar w:left="240" w:top="322" w:right="2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5375 Medpace Way, Cincinnati, OH 45227</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(513) 579-9911</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type w:val="continuous"/>
        </w:sectPr>
      </w:pPr>
    </w:p>
    <w:p>
      <w:pPr>
        <w:spacing w:after="0" w:line="233" w:lineRule="exact"/>
        <w:rPr>
          <w:sz w:val="24"/>
          <w:szCs w:val="24"/>
          <w:color w:val="auto"/>
        </w:rPr>
      </w:pPr>
    </w:p>
    <w:p>
      <w:pPr>
        <w:ind w:right="26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28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tcPr>
          <w:p>
            <w:pPr>
              <w:spacing w:after="0"/>
              <w:rPr>
                <w:sz w:val="19"/>
                <w:szCs w:val="19"/>
                <w:color w:val="auto"/>
              </w:rPr>
            </w:pPr>
          </w:p>
        </w:tc>
        <w:tc>
          <w:tcPr>
            <w:tcW w:w="32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2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8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tc>
        <w:tc>
          <w:tcPr>
            <w:tcW w:w="38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11400" w:type="dxa"/>
            <w:vAlign w:val="bottom"/>
            <w:gridSpan w:val="4"/>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14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c>
          <w:tcPr>
            <w:tcW w:w="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720" w:type="dxa"/>
            <w:vAlign w:val="bottom"/>
          </w:tcPr>
          <w:p>
            <w:pPr>
              <w:spacing w:after="0"/>
              <w:rPr>
                <w:sz w:val="23"/>
                <w:szCs w:val="23"/>
                <w:color w:val="auto"/>
              </w:rPr>
            </w:pPr>
          </w:p>
        </w:tc>
        <w:tc>
          <w:tcPr>
            <w:tcW w:w="3880" w:type="dxa"/>
            <w:vAlign w:val="bottom"/>
          </w:tcPr>
          <w:p>
            <w:pPr>
              <w:jc w:val="center"/>
              <w:ind w:right="1639"/>
              <w:spacing w:after="0"/>
              <w:rPr>
                <w:sz w:val="20"/>
                <w:szCs w:val="20"/>
                <w:color w:val="auto"/>
              </w:rPr>
            </w:pPr>
            <w:r>
              <w:rPr>
                <w:rFonts w:ascii="Times New Roman" w:cs="Times New Roman" w:eastAsia="Times New Roman" w:hAnsi="Times New Roman"/>
                <w:sz w:val="14"/>
                <w:szCs w:val="14"/>
                <w:b w:val="1"/>
                <w:bCs w:val="1"/>
                <w:color w:val="auto"/>
              </w:rPr>
              <w:t>Number of Shares Outstanding</w:t>
            </w:r>
          </w:p>
        </w:tc>
        <w:tc>
          <w:tcPr>
            <w:tcW w:w="20" w:type="dxa"/>
            <w:vAlign w:val="bottom"/>
          </w:tcPr>
          <w:p>
            <w:pPr>
              <w:spacing w:after="0"/>
              <w:rPr>
                <w:sz w:val="23"/>
                <w:szCs w:val="23"/>
                <w:color w:val="auto"/>
              </w:rPr>
            </w:pPr>
          </w:p>
        </w:tc>
      </w:tr>
      <w:tr>
        <w:trPr>
          <w:trHeight w:val="232"/>
        </w:trPr>
        <w:tc>
          <w:tcPr>
            <w:tcW w:w="20" w:type="dxa"/>
            <w:vAlign w:val="bottom"/>
          </w:tcPr>
          <w:p>
            <w:pPr>
              <w:spacing w:after="0"/>
              <w:rPr>
                <w:sz w:val="20"/>
                <w:szCs w:val="20"/>
                <w:color w:val="auto"/>
              </w:rPr>
            </w:pPr>
          </w:p>
        </w:tc>
        <w:tc>
          <w:tcPr>
            <w:tcW w:w="5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00" w:type="dxa"/>
            <w:vAlign w:val="bottom"/>
          </w:tcPr>
          <w:p>
            <w:pPr>
              <w:spacing w:after="0"/>
              <w:rPr>
                <w:sz w:val="20"/>
                <w:szCs w:val="20"/>
                <w:color w:val="auto"/>
              </w:rPr>
            </w:pPr>
          </w:p>
        </w:tc>
        <w:tc>
          <w:tcPr>
            <w:tcW w:w="5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40,745,840 shares outstanding as of April 30, 2017</w:t>
            </w:r>
          </w:p>
        </w:tc>
        <w:tc>
          <w:tcPr>
            <w:tcW w:w="20" w:type="dxa"/>
            <w:vAlign w:val="bottom"/>
          </w:tcPr>
          <w:p>
            <w:pPr>
              <w:spacing w:after="0"/>
              <w:rPr>
                <w:sz w:val="20"/>
                <w:szCs w:val="20"/>
                <w:color w:val="auto"/>
              </w:rPr>
            </w:pPr>
          </w:p>
        </w:tc>
      </w:tr>
      <w:tr>
        <w:trPr>
          <w:trHeight w:val="113"/>
        </w:trPr>
        <w:tc>
          <w:tcPr>
            <w:tcW w:w="20" w:type="dxa"/>
            <w:vAlign w:val="bottom"/>
          </w:tcPr>
          <w:p>
            <w:pPr>
              <w:spacing w:after="0"/>
              <w:rPr>
                <w:sz w:val="9"/>
                <w:szCs w:val="9"/>
                <w:color w:val="auto"/>
              </w:rPr>
            </w:pPr>
          </w:p>
        </w:tc>
        <w:tc>
          <w:tcPr>
            <w:tcW w:w="5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MEDPACE HOLDINGS,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QUARTERLY PERIOD ENDED MARCH 31, 2017</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Number</w:t>
            </w:r>
          </w:p>
        </w:tc>
        <w:tc>
          <w:tcPr>
            <w:tcW w:w="3240" w:type="dxa"/>
            <w:vAlign w:val="bottom"/>
            <w:gridSpan w:val="12"/>
            <w:vMerge w:val="restart"/>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 FINANCIAL INFORMATION</w:t>
              </w:r>
            </w:hyperlink>
          </w:p>
        </w:tc>
        <w:tc>
          <w:tcPr>
            <w:tcW w:w="6560" w:type="dxa"/>
            <w:vAlign w:val="bottom"/>
            <w:gridSpan w:val="9"/>
            <w:vMerge w:val="restart"/>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7"/>
        </w:trPr>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240" w:type="dxa"/>
            <w:vAlign w:val="bottom"/>
            <w:tcBorders>
              <w:bottom w:val="single" w:sz="8" w:color="0000EE"/>
            </w:tcBorders>
            <w:gridSpan w:val="12"/>
            <w:vMerge w:val="continue"/>
          </w:tcPr>
          <w:p>
            <w:pPr>
              <w:spacing w:after="0"/>
              <w:rPr>
                <w:sz w:val="14"/>
                <w:szCs w:val="14"/>
                <w:color w:val="auto"/>
              </w:rPr>
            </w:pPr>
          </w:p>
        </w:tc>
        <w:tc>
          <w:tcPr>
            <w:tcW w:w="6560" w:type="dxa"/>
            <w:vAlign w:val="bottom"/>
            <w:gridSpan w:val="9"/>
            <w:vMerge w:val="continue"/>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 (unaudited)</w:t>
              </w:r>
            </w:hyperlink>
          </w:p>
        </w:tc>
        <w:tc>
          <w:tcPr>
            <w:tcW w:w="7420" w:type="dxa"/>
            <w:vAlign w:val="bottom"/>
            <w:gridSpan w:val="11"/>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March 31, 2017 and December 31, 2016</w:t>
              </w:r>
            </w:hyperlink>
          </w:p>
        </w:tc>
        <w:tc>
          <w:tcPr>
            <w:tcW w:w="3520" w:type="dxa"/>
            <w:vAlign w:val="bottom"/>
            <w:gridSpan w:val="5"/>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0" w:type="dxa"/>
            <w:vAlign w:val="bottom"/>
            <w:gridSpan w:val="21"/>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months ended March 31, 2017 and 2016</w:t>
              </w:r>
            </w:hyperlink>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for the three months ended March 31, 2017 and 2016</w:t>
              </w:r>
            </w:hyperlink>
          </w:p>
        </w:tc>
        <w:tc>
          <w:tcPr>
            <w:tcW w:w="1340" w:type="dxa"/>
            <w:vAlign w:val="bottom"/>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0" w:type="dxa"/>
            <w:vAlign w:val="bottom"/>
            <w:gridSpan w:val="21"/>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three months ended March 31, 2017 and 2016</w:t>
              </w:r>
            </w:hyperlink>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w:t>
              </w:r>
            </w:hyperlink>
          </w:p>
        </w:tc>
        <w:tc>
          <w:tcPr>
            <w:tcW w:w="3580" w:type="dxa"/>
            <w:vAlign w:val="bottom"/>
            <w:tcBorders>
              <w:top w:val="single" w:sz="8" w:color="0000EE"/>
            </w:tcBorders>
            <w:gridSpan w:val="6"/>
          </w:tcPr>
          <w:p>
            <w:pPr>
              <w:spacing w:after="0"/>
              <w:rPr>
                <w:sz w:val="17"/>
                <w:szCs w:val="17"/>
                <w:color w:val="auto"/>
              </w:rPr>
            </w:pPr>
          </w:p>
        </w:tc>
        <w:tc>
          <w:tcPr>
            <w:tcW w:w="2220" w:type="dxa"/>
            <w:vAlign w:val="bottom"/>
            <w:gridSpan w:val="2"/>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340" w:type="dxa"/>
            <w:vAlign w:val="bottom"/>
            <w:gridSpan w:val="4"/>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Quantitative and Qualitative Disclosures About Market Risk</w:t>
              </w:r>
            </w:hyperlink>
          </w:p>
        </w:tc>
        <w:tc>
          <w:tcPr>
            <w:tcW w:w="5440" w:type="dxa"/>
            <w:vAlign w:val="bottom"/>
            <w:gridSpan w:val="6"/>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Controls and Procedures</w:t>
              </w:r>
            </w:hyperlink>
          </w:p>
        </w:tc>
        <w:tc>
          <w:tcPr>
            <w:tcW w:w="8020" w:type="dxa"/>
            <w:vAlign w:val="bottom"/>
            <w:gridSpan w:val="13"/>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tcBorders>
              <w:bottom w:val="single" w:sz="8" w:color="0000EE"/>
            </w:tcBorders>
            <w:gridSpan w:val="11"/>
          </w:tcPr>
          <w:p>
            <w:pPr>
              <w:spacing w:after="0"/>
              <w:rPr>
                <w:rFonts w:ascii="Times New Roman" w:cs="Times New Roman" w:eastAsia="Times New Roman" w:hAnsi="Times New Roman"/>
                <w:sz w:val="18"/>
                <w:szCs w:val="18"/>
                <w:b w:val="1"/>
                <w:bCs w:val="1"/>
                <w:color w:val="0000EE"/>
                <w:w w:val="97"/>
              </w:rPr>
            </w:pPr>
            <w:hyperlink w:anchor="page23">
              <w:r>
                <w:rPr>
                  <w:rFonts w:ascii="Times New Roman" w:cs="Times New Roman" w:eastAsia="Times New Roman" w:hAnsi="Times New Roman"/>
                  <w:sz w:val="18"/>
                  <w:szCs w:val="18"/>
                  <w:b w:val="1"/>
                  <w:bCs w:val="1"/>
                  <w:color w:val="0000EE"/>
                  <w:w w:val="97"/>
                </w:rPr>
                <w:t>PART II — OTHER INFORMATION</w:t>
              </w:r>
            </w:hyperlink>
          </w:p>
        </w:tc>
        <w:tc>
          <w:tcPr>
            <w:tcW w:w="6860" w:type="dxa"/>
            <w:vAlign w:val="bottom"/>
            <w:gridSpan w:val="10"/>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Legal Proceedings</w:t>
              </w:r>
            </w:hyperlink>
          </w:p>
        </w:tc>
        <w:tc>
          <w:tcPr>
            <w:tcW w:w="8460" w:type="dxa"/>
            <w:vAlign w:val="bottom"/>
            <w:gridSpan w:val="15"/>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21"/>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Risk Factors</w:t>
              </w:r>
            </w:hyperlink>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21"/>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Unregistered Sales of Equity Securities and Use of Proceeds</w:t>
              </w:r>
            </w:hyperlink>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Defaults Upon Senior Securities</w:t>
              </w:r>
            </w:hyperlink>
          </w:p>
        </w:tc>
        <w:tc>
          <w:tcPr>
            <w:tcW w:w="5460" w:type="dxa"/>
            <w:vAlign w:val="bottom"/>
            <w:gridSpan w:val="7"/>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Mine Safety Disclosures</w:t>
              </w:r>
            </w:hyperlink>
          </w:p>
        </w:tc>
        <w:tc>
          <w:tcPr>
            <w:tcW w:w="7480" w:type="dxa"/>
            <w:vAlign w:val="bottom"/>
            <w:gridSpan w:val="12"/>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8040" w:type="dxa"/>
            <w:vAlign w:val="bottom"/>
            <w:gridSpan w:val="14"/>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24">
              <w:r>
                <w:rPr>
                  <w:rFonts w:ascii="Times New Roman" w:cs="Times New Roman" w:eastAsia="Times New Roman" w:hAnsi="Times New Roman"/>
                  <w:sz w:val="18"/>
                  <w:szCs w:val="18"/>
                  <w:color w:val="0000EE"/>
                  <w:w w:val="96"/>
                </w:rPr>
                <w:t>Exhibits</w:t>
              </w:r>
            </w:hyperlink>
          </w:p>
        </w:tc>
        <w:tc>
          <w:tcPr>
            <w:tcW w:w="9200" w:type="dxa"/>
            <w:vAlign w:val="bottom"/>
            <w:gridSpan w:val="18"/>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40" w:type="dxa"/>
            <w:vAlign w:val="bottom"/>
            <w:gridSpan w:val="23"/>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SIGNATURES</w:t>
              </w:r>
            </w:hyperlink>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20" w:type="dxa"/>
            <w:vAlign w:val="bottom"/>
            <w:gridSpan w:val="19"/>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740" w:type="dxa"/>
            <w:vAlign w:val="bottom"/>
            <w:gridSpan w:val="23"/>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EXHIBIT INDEX</w:t>
              </w:r>
            </w:hyperlink>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669"/>
        </w:trPr>
        <w:tc>
          <w:tcPr>
            <w:tcW w:w="2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gridSpan w:val="2"/>
          </w:tcPr>
          <w:p>
            <w:pPr>
              <w:spacing w:after="0"/>
              <w:rPr>
                <w:sz w:val="24"/>
                <w:szCs w:val="24"/>
                <w:color w:val="auto"/>
              </w:rPr>
            </w:pPr>
          </w:p>
        </w:tc>
        <w:tc>
          <w:tcPr>
            <w:tcW w:w="5900" w:type="dxa"/>
            <w:vAlign w:val="bottom"/>
            <w:gridSpan w:val="14"/>
          </w:tcPr>
          <w:p>
            <w:pPr>
              <w:jc w:val="right"/>
              <w:ind w:right="1580"/>
              <w:spacing w:after="0"/>
              <w:rPr>
                <w:sz w:val="20"/>
                <w:szCs w:val="20"/>
                <w:color w:val="auto"/>
              </w:rPr>
            </w:pPr>
            <w:r>
              <w:rPr>
                <w:rFonts w:ascii="Times New Roman" w:cs="Times New Roman" w:eastAsia="Times New Roman" w:hAnsi="Times New Roman"/>
                <w:sz w:val="18"/>
                <w:szCs w:val="18"/>
                <w:color w:val="auto"/>
              </w:rPr>
              <w:t>- 2 -</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MEDPACE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 amounts)</w:t>
            </w:r>
          </w:p>
        </w:tc>
        <w:tc>
          <w:tcPr>
            <w:tcW w:w="280" w:type="dxa"/>
            <w:vAlign w:val="bottom"/>
          </w:tcPr>
          <w:p>
            <w:pPr>
              <w:spacing w:after="0"/>
              <w:rPr>
                <w:sz w:val="14"/>
                <w:szCs w:val="14"/>
                <w:color w:val="auto"/>
              </w:rPr>
            </w:pPr>
          </w:p>
        </w:tc>
        <w:tc>
          <w:tcPr>
            <w:tcW w:w="17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9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and unbilled, net (includes $1.7 million and $2.3 million with related parties at</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March 31, 2017 and December 31, 2016, respectively)</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82,283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79,767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128,325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660,981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966,093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979,105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Pre-funded study costs (includes $3.9 million and $3.9 million with related parties at</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31, 2017 and December 31, 2016, respectively)</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Advanced billings (includes $5.7 million and $7.6 million with related parties at</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March 31, 2017 and December 31, 2016, respectively)</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60,474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65,668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 less current portion</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147,230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Deemed landlord liability, less current portion</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345,113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10)</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 $0.01 par-value; 5,000,000 shares authorized; no shares issued and outstanding at</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March 31, 2017 and December 31, 2016, respectively</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 $0.01 par-value; 250,000,000 shares authorized at March 31, 2017 and December 31,</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2016, respectively; 40,675,553 and 40,662,856 shares issued and outstanding at March 31, 2017 and</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December 31, 2016, respectively</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(1,577)</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(9,584)</w:t>
            </w: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(3,146)</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(3,742)</w:t>
            </w:r>
          </w:p>
        </w:tc>
        <w:tc>
          <w:tcPr>
            <w:tcW w:w="0" w:type="dxa"/>
            <w:vAlign w:val="bottom"/>
          </w:tcPr>
          <w:p>
            <w:pPr>
              <w:spacing w:after="0"/>
              <w:rPr>
                <w:sz w:val="1"/>
                <w:szCs w:val="1"/>
                <w:color w:val="auto"/>
              </w:rPr>
            </w:pPr>
          </w:p>
        </w:tc>
      </w:tr>
      <w:tr>
        <w:trPr>
          <w:trHeight w:val="223"/>
        </w:trPr>
        <w:tc>
          <w:tcPr>
            <w:tcW w:w="792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620,980</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610,710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966,093</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MEDPACE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per share amounts)</w:t>
            </w:r>
          </w:p>
        </w:tc>
        <w:tc>
          <w:tcPr>
            <w:tcW w:w="94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7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6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74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 revenue, net (includes $4.0 million and $7.8 million</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with related parties for the three months ended March 31,</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2017 and 2016, respectively)</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93,781</w:t>
            </w:r>
          </w:p>
        </w:tc>
        <w:tc>
          <w:tcPr>
            <w:tcW w:w="180" w:type="dxa"/>
            <w:vAlign w:val="bottom"/>
          </w:tcPr>
          <w:p>
            <w:pPr>
              <w:spacing w:after="0"/>
              <w:rPr>
                <w:sz w:val="20"/>
                <w:szCs w:val="20"/>
                <w:color w:val="auto"/>
              </w:rPr>
            </w:pPr>
          </w:p>
        </w:tc>
        <w:tc>
          <w:tcPr>
            <w:tcW w:w="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Reimbursed out-of-pocket revenue (includes $0.7 million and</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$1.2 million with related parties for the three months ended</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March 31, 2017 and 2016, respectively)</w:t>
            </w: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106,611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 costs, excluding depreciation and amortization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Reimbursed out-of-pocket expenses (includes $0.7 million and</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$1.2 million with related parties for the three months ended</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March 31, 2017 and 2016, respectively)</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90,667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86,717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Miscellaneous expense, net</w:t>
            </w:r>
          </w:p>
        </w:tc>
        <w:tc>
          <w:tcPr>
            <w:tcW w:w="9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(5,973)</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expense, net</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 attributable to common shareholders:</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tcPr>
          <w:p>
            <w:pPr>
              <w:spacing w:after="0"/>
              <w:rPr>
                <w:sz w:val="19"/>
                <w:szCs w:val="19"/>
                <w:color w:val="auto"/>
              </w:rPr>
            </w:pPr>
          </w:p>
        </w:tc>
        <w:tc>
          <w:tcPr>
            <w:tcW w:w="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MEDPACE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98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7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2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74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 net of taxes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MEDPACE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940" w:type="dxa"/>
            <w:vAlign w:val="bottom"/>
          </w:tcPr>
          <w:p>
            <w:pPr>
              <w:spacing w:after="0"/>
              <w:rPr>
                <w:sz w:val="14"/>
                <w:szCs w:val="14"/>
                <w:color w:val="auto"/>
              </w:rPr>
            </w:pPr>
          </w:p>
        </w:tc>
        <w:tc>
          <w:tcPr>
            <w:tcW w:w="1460" w:type="dxa"/>
            <w:vAlign w:val="bottom"/>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79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9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300" w:type="dxa"/>
            <w:vAlign w:val="bottom"/>
          </w:tcPr>
          <w:p>
            <w:pPr>
              <w:spacing w:after="0"/>
              <w:rPr>
                <w:sz w:val="19"/>
                <w:szCs w:val="19"/>
                <w:color w:val="auto"/>
              </w:rPr>
            </w:pPr>
          </w:p>
        </w:tc>
        <w:tc>
          <w:tcPr>
            <w:tcW w:w="560" w:type="dxa"/>
            <w:vAlign w:val="bottom"/>
            <w:gridSpan w:val="2"/>
          </w:tcPr>
          <w:p>
            <w:pPr>
              <w:jc w:val="right"/>
              <w:ind w:right="42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20" w:type="dxa"/>
            <w:vAlign w:val="bottom"/>
          </w:tcPr>
          <w:p>
            <w:pPr>
              <w:spacing w:after="0"/>
              <w:rPr>
                <w:sz w:val="19"/>
                <w:szCs w:val="19"/>
                <w:color w:val="auto"/>
              </w:rPr>
            </w:pPr>
          </w:p>
        </w:tc>
      </w:tr>
      <w:tr>
        <w:trPr>
          <w:trHeight w:val="211"/>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activities: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19"/>
                <w:szCs w:val="19"/>
                <w:color w:val="auto"/>
              </w:rPr>
            </w:pPr>
          </w:p>
        </w:tc>
      </w:tr>
      <w:tr>
        <w:trPr>
          <w:trHeight w:val="225"/>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 and unbilled, net</w:t>
            </w:r>
          </w:p>
        </w:tc>
        <w:tc>
          <w:tcPr>
            <w:tcW w:w="9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(2,292)</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(9,927)</w:t>
            </w:r>
          </w:p>
        </w:tc>
      </w:tr>
      <w:tr>
        <w:trPr>
          <w:trHeight w:val="230"/>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(1,264)</w:t>
            </w:r>
          </w:p>
        </w:tc>
      </w:tr>
      <w:tr>
        <w:trPr>
          <w:trHeight w:val="230"/>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(2,027)</w:t>
            </w:r>
          </w:p>
        </w:tc>
      </w:tr>
      <w:tr>
        <w:trPr>
          <w:trHeight w:val="230"/>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(10,508)</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(5,004)</w:t>
            </w:r>
          </w:p>
        </w:tc>
      </w:tr>
      <w:tr>
        <w:trPr>
          <w:trHeight w:val="230"/>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Pre-funded study costs</w:t>
            </w: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(3,497)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Advanced billings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(5,246)</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Borders>
              <w:bottom w:val="single" w:sz="8" w:color="CFF0FC"/>
            </w:tcBorders>
          </w:tcPr>
          <w:p>
            <w:pPr>
              <w:spacing w:after="0"/>
              <w:rPr>
                <w:sz w:val="19"/>
                <w:szCs w:val="19"/>
                <w:color w:val="auto"/>
              </w:rPr>
            </w:pPr>
          </w:p>
        </w:tc>
      </w:tr>
      <w:tr>
        <w:trPr>
          <w:trHeight w:val="223"/>
        </w:trPr>
        <w:tc>
          <w:tcPr>
            <w:tcW w:w="7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120" w:type="dxa"/>
            <w:vAlign w:val="bottom"/>
            <w:shd w:val="clear" w:color="auto" w:fill="CFF0FC"/>
          </w:tcPr>
          <w:p>
            <w:pPr>
              <w:spacing w:after="0"/>
              <w:rPr>
                <w:sz w:val="19"/>
                <w:szCs w:val="19"/>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expenditures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(4,374)</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(3,456)</w:t>
            </w:r>
          </w:p>
        </w:tc>
      </w:tr>
      <w:tr>
        <w:trPr>
          <w:trHeight w:val="230"/>
        </w:trPr>
        <w:tc>
          <w:tcPr>
            <w:tcW w:w="79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FF0FC"/>
            </w:tcBorders>
          </w:tcPr>
          <w:p>
            <w:pPr>
              <w:spacing w:after="0"/>
              <w:rPr>
                <w:sz w:val="19"/>
                <w:szCs w:val="19"/>
                <w:color w:val="auto"/>
              </w:rPr>
            </w:pPr>
          </w:p>
        </w:tc>
      </w:tr>
      <w:tr>
        <w:trPr>
          <w:trHeight w:val="223"/>
        </w:trPr>
        <w:tc>
          <w:tcPr>
            <w:tcW w:w="7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20" w:type="dxa"/>
            <w:vAlign w:val="bottom"/>
            <w:shd w:val="clear" w:color="auto" w:fill="CFF0FC"/>
          </w:tcPr>
          <w:p>
            <w:pPr>
              <w:spacing w:after="0"/>
              <w:rPr>
                <w:sz w:val="19"/>
                <w:szCs w:val="19"/>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debt</w:t>
            </w: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 of deemed landlord liability</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r>
      <w:tr>
        <w:trPr>
          <w:trHeight w:val="223"/>
        </w:trPr>
        <w:tc>
          <w:tcPr>
            <w:tcW w:w="79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FF0FC"/>
            </w:tcBorders>
          </w:tcPr>
          <w:p>
            <w:pPr>
              <w:spacing w:after="0"/>
              <w:rPr>
                <w:sz w:val="19"/>
                <w:szCs w:val="19"/>
                <w:color w:val="auto"/>
              </w:rPr>
            </w:pPr>
          </w:p>
        </w:tc>
      </w:tr>
      <w:tr>
        <w:trPr>
          <w:trHeight w:val="205"/>
        </w:trPr>
        <w:tc>
          <w:tcPr>
            <w:tcW w:w="79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EFFECT OF EXCHANGE RATES ON CASH, CASH EQUIVALENTS, AND</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FF0FC"/>
          </w:tcPr>
          <w:p>
            <w:pPr>
              <w:spacing w:after="0"/>
              <w:rPr>
                <w:sz w:val="20"/>
                <w:szCs w:val="20"/>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(7,798)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w:t>
            </w: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20" w:type="dxa"/>
            <w:vAlign w:val="bottom"/>
            <w:shd w:val="clear" w:color="auto" w:fill="CFF0FC"/>
          </w:tcPr>
          <w:p>
            <w:pPr>
              <w:spacing w:after="0"/>
              <w:rPr>
                <w:sz w:val="19"/>
                <w:szCs w:val="19"/>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26,942</w:t>
            </w:r>
          </w:p>
        </w:tc>
        <w:tc>
          <w:tcPr>
            <w:tcW w:w="12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MEDPACE HOLDINGS, INC. AND SUBSIDIARIES NOTES TO CONDENSED CONSOLIDATED FINANCIAL STATEMENTS (Unaudited) March 31, 2017</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Medpace Holdings, Inc. together with its subsidiaries, (“Medpace” or the “Company”), a Delaware corporation, is a global provider of clinical research-based drug and medical device development services. The Company partners with pharmaceutical, biotechnology, and medical device companies in the development and execution of clinical trials. The Company’s drug development services focus on full service Phase I-IV clinical development services and include development plan design, coordinated central laboratory, project management, regulatory affairs, clinical monitoring, data management and analysis, pharmacovigilance new drug application submissions, and post-marketing clinical support. The Company also provides bio-analytical laboratory services, clinical human pharmacology, imaging services, and electrocardiography reading support for clinical trials.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operations are principally based in North America, Europe, and Asia.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include the accounts of the Company, are prepared in conformity with U.S. generally accepted accounting principles (“GAAP”), and are unaudited. In the opinion of the Company’s management, all adjustments of a normal recurring nature necessary for a fair presentation have been reflected. Certain financial information that is normally included in annual financial statements prepared in accordance with GAAP, but that is not required for interim reporting purposes, has been omitted. The preparation of the interim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and outcomes could differ from management’s estimates and assumptions. As such, the information included in this quarterly report on Form 10-Q should be read in conjunction with the Company’s audited consolidated financial statements and related notes included in the Company’s Annual Report on Form 10-K for the year ended December 31,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p>
    <w:p>
      <w:pPr>
        <w:spacing w:after="0" w:line="12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On July 25, 2016, the Board of Directors (the “Board”) of the Company approved, and made legally effective, a 1-for-1.35 reverse stock split of the Company’s common stock. All share, stock option and per share information presented in the condensed consolidated financial statements have been adjusted to reflect the reverse stock split on a retroactive basis for all periods presented. There was no change in the par value of the Company’s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In November 2016, the Financial Accounting Standards Board ("FASB") issued Accounting Standard Update (“ASU”) 2016-18,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230): Restricted Cash</w:t>
      </w:r>
      <w:r>
        <w:rPr>
          <w:rFonts w:ascii="Times New Roman" w:cs="Times New Roman" w:eastAsia="Times New Roman" w:hAnsi="Times New Roman"/>
          <w:sz w:val="18"/>
          <w:szCs w:val="18"/>
          <w:color w:val="auto"/>
        </w:rPr>
        <w:t>. The new guidance is intended to reduce diversity in practice by requiring the statement of cash flows to explain the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period in the total of cash, cash equivalents and amounts generally described as restricted cash and restricted cash equivalents. ASU 2016-18 is effective for fiscal years beginning after December 15, 2017, and for interim periods within those fiscal years. The Company, as permitted, early adopted ASU 2016-18 in the fourth quarter of 2016. As a result of this adoption, cash flows resulting from changes in restricted cash balances, are no longer presented as a component of net cash provided by operating activities in the Company’s condensed consolidated statements of cash flows, but have been reclassified and combined within Increases/(Decreases) in Cash and Cash Equivalents and Restricted Cash. This reclassification was retrospectively applied to all periods presented within the condensed consolidated statements of cash flows.</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Improvements to Employee Share-Based Payment Accounting</w:t>
      </w:r>
      <w:r>
        <w:rPr>
          <w:rFonts w:ascii="Times New Roman" w:cs="Times New Roman" w:eastAsia="Times New Roman" w:hAnsi="Times New Roman"/>
          <w:sz w:val="18"/>
          <w:szCs w:val="18"/>
          <w:color w:val="auto"/>
        </w:rPr>
        <w:t>. The new guidance is intended to simplify certain aspects of accounting for share based payments to employees, including the accounting for income taxes, forfeitures, and statutory tax withholding requirements, as well as classification in the statement of cash flows. The Company elected to adopt this ASU in the first quarter of 2017 as required. The following summarizes the effects of the adoption on the Company's condensed consolidated financial statements:</w:t>
      </w:r>
    </w:p>
    <w:p>
      <w:pPr>
        <w:spacing w:after="0" w:line="180" w:lineRule="exact"/>
        <w:rPr>
          <w:sz w:val="20"/>
          <w:szCs w:val="20"/>
          <w:color w:val="auto"/>
        </w:rPr>
      </w:pPr>
    </w:p>
    <w:p>
      <w:pPr>
        <w:ind w:left="760" w:right="80" w:hanging="374"/>
        <w:spacing w:after="0" w:line="259"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Upon adoption of this standard, all excess tax benefits and tax deficiencies (including tax benefits of dividends, if distributed,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share-based payment awards) are recognized as income tax expense or benefit in the statement of operations. The tax effects of exercised or vested awards are treated as discrete items in the reporting period in which they occur. As a result, the Company recognized discrete adjustments to income tax expense for the three months ended March 31, 2017 of less than $0.1 million related to excess tax benefits. The Company also recognizes excess tax benefits regardless of</w:t>
      </w:r>
    </w:p>
    <w:p>
      <w:pPr>
        <w:spacing w:after="0" w:line="181" w:lineRule="exact"/>
        <w:rPr>
          <w:rFonts w:ascii="Times New Roman" w:cs="Times New Roman" w:eastAsia="Times New Roman" w:hAnsi="Times New Roman"/>
          <w:sz w:val="18"/>
          <w:szCs w:val="18"/>
          <w:color w:val="auto"/>
        </w:rPr>
      </w:pPr>
    </w:p>
    <w:p>
      <w:pPr>
        <w:ind w:left="5660" w:hanging="96"/>
        <w:spacing w:after="0"/>
        <w:tabs>
          <w:tab w:leader="none" w:pos="5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ind w:left="760" w:right="340"/>
        <w:spacing w:after="0" w:line="266" w:lineRule="auto"/>
        <w:rPr>
          <w:sz w:val="20"/>
          <w:szCs w:val="20"/>
          <w:color w:val="auto"/>
        </w:rPr>
      </w:pPr>
      <w:r>
        <w:rPr>
          <w:rFonts w:ascii="Times New Roman" w:cs="Times New Roman" w:eastAsia="Times New Roman" w:hAnsi="Times New Roman"/>
          <w:sz w:val="18"/>
          <w:szCs w:val="18"/>
          <w:color w:val="auto"/>
        </w:rPr>
        <w:t>whether the benefit reduces taxes payable in the current period. The Company applied the prospective adoption approach for any unrecognized excess tax benefits beginning in 2017, which did not result in any cumulative-effect adjustment upon adoption. Prior periods have not been adjusted.</w:t>
      </w:r>
    </w:p>
    <w:p>
      <w:pPr>
        <w:spacing w:after="0" w:line="174" w:lineRule="exact"/>
        <w:rPr>
          <w:sz w:val="20"/>
          <w:szCs w:val="20"/>
          <w:color w:val="auto"/>
        </w:rPr>
      </w:pPr>
    </w:p>
    <w:p>
      <w:pPr>
        <w:ind w:left="760" w:right="80" w:hanging="374"/>
        <w:spacing w:after="0" w:line="257"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 Prior to adoption, share-based compensation expense was recognized on a straight line basis, net of estimated forfeitures, such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was recognized only for share-based awards that were expected to vest. A forfeiture rate was estimated annually and revised, if necessary, in subsequent periods if actual forfeitures differed from initial estimates. Upon adoption, the Company no longer applies a forfeiture rate and instead accounts for forfeitures as they occur. The Company applied the modified retrospective adoption approach beginning in 2017 and booked an immaterial cumulative-effect adjustment to additional paid-in-capital and retained earnings within Shareholders’ Equity. Prior periods have not been adjusted.</w:t>
      </w:r>
    </w:p>
    <w:p>
      <w:pPr>
        <w:spacing w:after="0" w:line="182" w:lineRule="exact"/>
        <w:rPr>
          <w:rFonts w:ascii="Times New Roman" w:cs="Times New Roman" w:eastAsia="Times New Roman" w:hAnsi="Times New Roman"/>
          <w:sz w:val="18"/>
          <w:szCs w:val="18"/>
          <w:color w:val="auto"/>
        </w:rPr>
      </w:pPr>
    </w:p>
    <w:p>
      <w:pPr>
        <w:jc w:val="both"/>
        <w:ind w:left="760" w:right="280" w:hanging="374"/>
        <w:spacing w:after="0" w:line="267"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Statements of Cash Flows </w:t>
      </w:r>
      <w:r>
        <w:rPr>
          <w:rFonts w:ascii="Times New Roman" w:cs="Times New Roman" w:eastAsia="Times New Roman" w:hAnsi="Times New Roman"/>
          <w:sz w:val="18"/>
          <w:szCs w:val="18"/>
          <w:color w:val="auto"/>
        </w:rPr>
        <w:t>- The Company historically accounted for excess tax benefits on the Statement of Cash Flows as a financing activity.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adoption of this standard, excess tax benefits are classified along with other income tax cash flows as an operating activity. The Company elected to adopt this portion of the standard on a prospective basis beginning in 2017. Prior periods have not been adjusted.</w:t>
      </w:r>
    </w:p>
    <w:p>
      <w:pPr>
        <w:spacing w:after="0" w:line="173" w:lineRule="exact"/>
        <w:rPr>
          <w:rFonts w:ascii="Times New Roman" w:cs="Times New Roman" w:eastAsia="Times New Roman" w:hAnsi="Times New Roman"/>
          <w:sz w:val="18"/>
          <w:szCs w:val="18"/>
          <w:color w:val="auto"/>
        </w:rPr>
      </w:pPr>
    </w:p>
    <w:p>
      <w:pPr>
        <w:ind w:left="760" w:right="100" w:hanging="374"/>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 The Company uses the treasury stock method to compute diluted earnings per share, unless the effect would be anti-dilutive.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method, the Company is no longer required to estimate the tax rate and apply it to the dilutive share calculation for determining the dilutive earnings per share. The Company utilized the prospective adoption approach and applied this methodology beginning in 2017. Prior periods have not been adjusted.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adoption, no other aspects of ASU 2016-09 had an effect on the Company's condensed consolidated financial statements or related footnote disclosures.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guidance in ASU 2016-02 supersedes the lease recognition requirements in ASC Topic 840, </w:t>
      </w:r>
      <w:r>
        <w:rPr>
          <w:rFonts w:ascii="Times New Roman" w:cs="Times New Roman" w:eastAsia="Times New Roman" w:hAnsi="Times New Roman"/>
          <w:sz w:val="18"/>
          <w:szCs w:val="18"/>
          <w:i w:val="1"/>
          <w:iCs w:val="1"/>
          <w:color w:val="auto"/>
        </w:rPr>
        <w:t>Leases (FAS 13)</w:t>
      </w:r>
      <w:r>
        <w:rPr>
          <w:rFonts w:ascii="Times New Roman" w:cs="Times New Roman" w:eastAsia="Times New Roman" w:hAnsi="Times New Roman"/>
          <w:sz w:val="18"/>
          <w:szCs w:val="18"/>
          <w:color w:val="auto"/>
        </w:rPr>
        <w:t>. ASU 2016-02 requires an entity to recognize assets and liabilities arising from a lease for both financing and operating leases, along with additional qualitative and quantitative disclosures. ASU 2016-02 will be applied on a modified retrospective basis and to each prior reporting period presented and is effective for fiscal years beginning after December 15, 2018, with early adoption permitted. The Company is currently evaluating the effect this standard will have on its condensed consolidated financial statements.</w:t>
      </w:r>
    </w:p>
    <w:p>
      <w:pPr>
        <w:spacing w:after="0" w:line="1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 clarify the principles of recognizing revenue and create common revenue recognition guidance between US GAAP and International Financial Reporting Standards. In March 2016, the FASB issued ASU 2016-08, Revenue from Contracts with Customers (Topic 606): Principal versus Agent Considerations (Reporting Revenue Gross versus Net). In April 2016, the FASB issued ASU 2016-10, Revenue from Contracts with Customers (Topic 606): Identifying Performance Obligations and Licensing. In May 2016, the FASB issued ASU 2016-12, Narrow-Scope Improvements and Practical Expedients. ASUs’ 2016-12, 2016-10 and 2016-08 all clarify the interpretation guidance in ASU No. 2014-09, “Revenue from Contracts with Customers” specifically related to narrowing specific aspects of Topic 606 and adding illustrative examples to assist in the application of the guidance. The effective date and transition requirements in ASUs’ 2016-12, 2016-10, and 2016-08 are the same as the effective date and transition requirements of ASU 2014-09. ASU 2015-14, Revenue from Contracts with Customers (Topic 606): Deferral of the Effective Date, defers the effective date of ASU 2014-09 by one year. The new standard allows for either a retrospective or modified retrospective approach to transition upon adoption. The new standard will be effective for annual reporting periods beginning after December 15, 2017. Early adoption is permitted for annual reporting periods beginning after December 15, 2016. The Company will adopt ASU 2014-09 as well as the clarified guidance in ASUs’ 2016-12, 2016-10, 2016-08 during the first quarter of 2018, as required, but is still evaluating its transition approach upon adoption. The Company is currently evaluating the impact of this new standard on its condensed consolidated financial statements. In 2017, the Company will continue to rewrite its revenue recognition accounting policy and draft new revenue disclosures to reflect the requirements of this standard. The Company also continues to evaluate the impact this guidance will have on our condensed consolidated financial statements including but not limited to review of its performance obligations in its fixed fee contracts.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Income Per Share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Basic and diluted earnings or loss per share (“EPS”) are computed using the two-class method, which is an earnings allocation that determines EPS for each class of common stock and participating securities according to dividends declared and participation rights in undistributed earnings. Restricted Stock Awards (“RSAs”) are considered participating securities because they are legally issued at the date of grant and holders are entitled to receive non-forfeitable dividends during the vesting term.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ind w:right="40"/>
        <w:spacing w:after="0" w:line="258" w:lineRule="auto"/>
        <w:rPr>
          <w:sz w:val="20"/>
          <w:szCs w:val="20"/>
          <w:color w:val="auto"/>
        </w:rPr>
      </w:pPr>
      <w:r>
        <w:rPr>
          <w:rFonts w:ascii="Times New Roman" w:cs="Times New Roman" w:eastAsia="Times New Roman" w:hAnsi="Times New Roman"/>
          <w:sz w:val="18"/>
          <w:szCs w:val="18"/>
          <w:color w:val="auto"/>
        </w:rPr>
        <w:t>The computation of diluted EPS includes additional common shares, such as unvested stock options with exercise prices less than the average market price of the Company’s common stock during the period (“in-the-money options”), which would be considered outstanding under the treasury stock method. The treasury stock method assumes that additional shares would have to be issued in cases where the exercise price of stock options is less than the value of the common stock being acquired because the cash proceeds received from the stock option holder would not be sufficient to acquire that same number of shares. The Company does not compute diluted EPS in cases where the inclusion of such additional shares would be anti-dilutive in effect.</w:t>
      </w:r>
    </w:p>
    <w:p>
      <w:pPr>
        <w:spacing w:after="0" w:line="18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months ended March 31, 2017 and 2016, (in thousands, except for earnings per share):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266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80" w:type="dxa"/>
            <w:vAlign w:val="bottom"/>
            <w:gridSpan w:val="2"/>
          </w:tcPr>
          <w:p>
            <w:pPr>
              <w:jc w:val="center"/>
              <w:ind w:left="31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vMerge w:val="restart"/>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400" w:type="dxa"/>
            <w:vAlign w:val="bottom"/>
          </w:tcPr>
          <w:p>
            <w:pPr>
              <w:spacing w:after="0"/>
              <w:rPr>
                <w:sz w:val="12"/>
                <w:szCs w:val="12"/>
                <w:color w:val="auto"/>
              </w:rPr>
            </w:pPr>
          </w:p>
        </w:tc>
        <w:tc>
          <w:tcPr>
            <w:tcW w:w="266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w:t>
            </w:r>
          </w:p>
        </w:tc>
        <w:tc>
          <w:tcPr>
            <w:tcW w:w="12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RSAs</w:t>
            </w:r>
          </w:p>
        </w:tc>
        <w:tc>
          <w:tcPr>
            <w:tcW w:w="122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weighted-average shares</w:t>
            </w:r>
          </w:p>
        </w:tc>
        <w:tc>
          <w:tcPr>
            <w:tcW w:w="122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32,625</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share—Basic</w:t>
            </w:r>
          </w:p>
        </w:tc>
        <w:tc>
          <w:tcPr>
            <w:tcW w:w="1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660" w:type="dxa"/>
            <w:vAlign w:val="bottom"/>
            <w:gridSpan w:val="2"/>
          </w:tcPr>
          <w:p>
            <w:pPr>
              <w:jc w:val="right"/>
              <w:ind w:right="12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300" w:type="dxa"/>
            <w:vAlign w:val="bottom"/>
          </w:tcPr>
          <w:p>
            <w:pPr>
              <w:spacing w:after="0"/>
              <w:rPr>
                <w:sz w:val="19"/>
                <w:szCs w:val="19"/>
                <w:color w:val="auto"/>
              </w:rPr>
            </w:pPr>
          </w:p>
        </w:tc>
        <w:tc>
          <w:tcPr>
            <w:tcW w:w="52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Undistributed earnings allocated to RSAs</w:t>
            </w:r>
          </w:p>
        </w:tc>
        <w:tc>
          <w:tcPr>
            <w:tcW w:w="122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income available to common shareholders—Basic</w:t>
            </w:r>
          </w:p>
        </w:tc>
        <w:tc>
          <w:tcPr>
            <w:tcW w:w="1220" w:type="dxa"/>
            <w:vAlign w:val="bottom"/>
            <w:tcBorders>
              <w:bottom w:val="single" w:sz="8" w:color="CFF0FC"/>
            </w:tcBorders>
          </w:tcPr>
          <w:p>
            <w:pPr>
              <w:spacing w:after="0"/>
              <w:rPr>
                <w:sz w:val="22"/>
                <w:szCs w:val="22"/>
                <w:color w:val="auto"/>
              </w:rPr>
            </w:pPr>
          </w:p>
        </w:tc>
        <w:tc>
          <w:tcPr>
            <w:tcW w:w="1440" w:type="dxa"/>
            <w:vAlign w:val="bottom"/>
            <w:tcBorders>
              <w:bottom w:val="single" w:sz="8" w:color="auto"/>
            </w:tcBorders>
          </w:tcPr>
          <w:p>
            <w:pPr>
              <w:jc w:val="right"/>
              <w:ind w:right="12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3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4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income per common share—Basic</w:t>
            </w:r>
          </w:p>
        </w:tc>
        <w:tc>
          <w:tcPr>
            <w:tcW w:w="1220" w:type="dxa"/>
            <w:vAlign w:val="bottom"/>
            <w:tcBorders>
              <w:bottom w:val="single" w:sz="8" w:color="CFF0FC"/>
            </w:tcBorders>
          </w:tcPr>
          <w:p>
            <w:pPr>
              <w:spacing w:after="0"/>
              <w:rPr>
                <w:sz w:val="22"/>
                <w:szCs w:val="22"/>
                <w:color w:val="auto"/>
              </w:rPr>
            </w:pPr>
          </w:p>
        </w:tc>
        <w:tc>
          <w:tcPr>
            <w:tcW w:w="1440" w:type="dxa"/>
            <w:vAlign w:val="bottom"/>
            <w:tcBorders>
              <w:bottom w:val="single" w:sz="8" w:color="auto"/>
            </w:tcBorders>
          </w:tcPr>
          <w:p>
            <w:pPr>
              <w:jc w:val="right"/>
              <w:ind w:right="12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Effect of diluted shares</w:t>
            </w:r>
          </w:p>
        </w:tc>
        <w:tc>
          <w:tcPr>
            <w:tcW w:w="122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per common share—Diluted</w:t>
            </w:r>
          </w:p>
        </w:tc>
        <w:tc>
          <w:tcPr>
            <w:tcW w:w="1220" w:type="dxa"/>
            <w:vAlign w:val="bottom"/>
          </w:tcPr>
          <w:p>
            <w:pPr>
              <w:spacing w:after="0"/>
              <w:rPr>
                <w:sz w:val="19"/>
                <w:szCs w:val="19"/>
                <w:color w:val="auto"/>
              </w:rPr>
            </w:pPr>
          </w:p>
        </w:tc>
        <w:tc>
          <w:tcPr>
            <w:tcW w:w="1440" w:type="dxa"/>
            <w:vAlign w:val="bottom"/>
            <w:tcBorders>
              <w:bottom w:val="single" w:sz="8" w:color="auto"/>
            </w:tcBorders>
          </w:tcPr>
          <w:p>
            <w:pPr>
              <w:jc w:val="right"/>
              <w:ind w:right="12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three month periods ended March 31, 2017 and 2016, respectively, there were 75,193 and 263,924 shares excluded from the computation of EPS because they were anti-dilutive under the treasury method calculation of diluted weighted average shares outstanding. During the three month period ended March 31, 2016, the Company had 794,037 stock options that were excluded due to the exercise price exceeding the average fair value of the Company’s common stock during the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follows accounting guidance related to fair value measurements that defines fair value, establishes a framework for measuring fair value, and establishes a hierarchy for inputs used in measuring fair value. This hierarchy maximizes the use of “observable” inputs and minimizes the use of unobservable inputs by requiring that the most observable inputs be used when available. The hierarchy specifies three levels based on the inputs, as follows: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Valuations based on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Valuations based on directly observable inputs or unobservable inputs corroborated by market data.</w:t>
      </w:r>
    </w:p>
    <w:p>
      <w:pPr>
        <w:spacing w:after="0" w:line="117" w:lineRule="exact"/>
        <w:rPr>
          <w:sz w:val="20"/>
          <w:szCs w:val="20"/>
          <w:color w:val="auto"/>
        </w:rPr>
      </w:pPr>
    </w:p>
    <w:p>
      <w:pPr>
        <w:ind w:left="520" w:right="40"/>
        <w:spacing w:after="0" w:line="282" w:lineRule="auto"/>
        <w:rPr>
          <w:sz w:val="20"/>
          <w:szCs w:val="20"/>
          <w:color w:val="auto"/>
        </w:rPr>
      </w:pPr>
      <w:r>
        <w:rPr>
          <w:rFonts w:ascii="Times New Roman" w:cs="Times New Roman" w:eastAsia="Times New Roman" w:hAnsi="Times New Roman"/>
          <w:sz w:val="18"/>
          <w:szCs w:val="18"/>
          <w:color w:val="auto"/>
        </w:rPr>
        <w:t>Level 3: Valuations based on unobservable inputs supported by little or no market activity representing management’s determination of assumptions of how market participants would price the assets or liabilities.</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fair value of financial instruments such as cash and cash equivalents, accounts receivable and unbilled, net, accounts payable, accrued expenses and advanced billings approximate their carrying amounts due to their short term maturities.</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does not have any recurring fair value measurements as of March 31, 2017. There were no transfers between Level 1, Level 2 or Level 3 during the three months ended March 31, 2017 or 2016.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(4) Accounts Receivable And Unbilled, Net</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Accounts receivable and unbilled, net includes service revenue and reimbursed out-of-pocket revenue. Accounts receivable and unbilled, net consisted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54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57,998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48,270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Unbilled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27,177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(2,892)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(3,222)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accounts receivable and unbilled, net</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82,283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7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544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Carrying amount: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Backlog</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Developed technologies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274,661</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274,661</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Backlog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(72,630)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(72,630)</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(72,866)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(66,267)</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Developed technologies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(32,685)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(29,961)</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(179,684)</w:t>
            </w:r>
          </w:p>
        </w:tc>
        <w:tc>
          <w:tcPr>
            <w:tcW w:w="200" w:type="dxa"/>
            <w:vAlign w:val="bottom"/>
            <w:tcBorders>
              <w:bottom w:val="single" w:sz="8" w:color="CFF0FC"/>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(170,236)</w:t>
            </w:r>
          </w:p>
        </w:tc>
        <w:tc>
          <w:tcPr>
            <w:tcW w:w="80" w:type="dxa"/>
            <w:vAlign w:val="bottom"/>
            <w:tcBorders>
              <w:bottom w:val="single" w:sz="8" w:color="CFF0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finite-lived intangible assets, net</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94,977</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104,425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Trade name (indefinite-lived)</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31,646</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31,646</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8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126,623</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136,071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of March 31, 2017, estimated amortization expense of the Company’s intangible assets for each of the next five years and thereafter is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2017</w:t>
            </w:r>
          </w:p>
        </w:tc>
        <w:tc>
          <w:tcPr>
            <w:tcW w:w="3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28,342</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3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29,371</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3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Later years</w:t>
            </w:r>
          </w:p>
        </w:tc>
        <w:tc>
          <w:tcPr>
            <w:tcW w:w="3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300" w:type="dxa"/>
            <w:vAlign w:val="bottom"/>
            <w:tcBorders>
              <w:bottom w:val="single" w:sz="8" w:color="CFF0FC"/>
            </w:tcBorders>
            <w:shd w:val="clear" w:color="auto" w:fill="CFF0FC"/>
          </w:tcPr>
          <w:p>
            <w:pPr>
              <w:spacing w:after="0"/>
              <w:rPr>
                <w:sz w:val="19"/>
                <w:szCs w:val="19"/>
                <w:color w:val="auto"/>
              </w:rPr>
            </w:pPr>
          </w:p>
        </w:tc>
        <w:tc>
          <w:tcPr>
            <w:tcW w:w="3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94,977</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8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- 10 -</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6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21,453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46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24,417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Debt</w:t>
            </w: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18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 consisted of the following (in thousands):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161,906</w:t>
            </w:r>
          </w:p>
        </w:tc>
        <w:tc>
          <w:tcPr>
            <w:tcW w:w="100" w:type="dxa"/>
            <w:vAlign w:val="bottom"/>
            <w:shd w:val="clear" w:color="auto" w:fill="CFF0FC"/>
          </w:tcPr>
          <w:p>
            <w:pPr>
              <w:spacing w:after="0"/>
              <w:rPr>
                <w:sz w:val="19"/>
                <w:szCs w:val="19"/>
                <w:color w:val="auto"/>
              </w:rPr>
            </w:pPr>
          </w:p>
        </w:tc>
        <w:tc>
          <w:tcPr>
            <w:tcW w:w="2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80" w:type="dxa"/>
            <w:vAlign w:val="bottom"/>
            <w:tcBorders>
              <w:right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unamortized term loan debt issuance costs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(13,406)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(12,375)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 less current portion</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151,267</w:t>
            </w: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Principal payments on debt are due as follows (in thousands):</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8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0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 (remaining)</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FF0FC"/>
            </w:tcBorders>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5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5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5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5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right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161,906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term loan based on Level 2 inputs using the market approach, which is primarily based on rates at which the debt is traded among financial institutions, approximates the carrying value as of March 31, 2017 and December 31,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Shareholder’s Equity and Stock-Based Compensation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granted 700,050 stock option awards, vesting after four years, to employees under the 2016 Incentive Award Plan, during the three months ended March 31, 2017. The Company granted 34,812 stock options vesting equally over four years and 11,111 restricted awards, which immediately vested upon issuance, to employees under the 2014 Equity Incentive Plan during the three months ended March 31, 2016.</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17"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Award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stock option activity:</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 2017</w:t>
            </w:r>
          </w:p>
        </w:tc>
        <w:tc>
          <w:tcPr>
            <w:tcW w:w="1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40" w:type="dxa"/>
            <w:vAlign w:val="bottom"/>
            <w:gridSpan w:val="2"/>
          </w:tcPr>
          <w:p>
            <w:pPr>
              <w:jc w:val="center"/>
              <w:ind w:right="980"/>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860" w:type="dxa"/>
            <w:vAlign w:val="bottom"/>
          </w:tcPr>
          <w:p>
            <w:pPr>
              <w:ind w:left="1000"/>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40" w:type="dxa"/>
            <w:vAlign w:val="bottom"/>
            <w:gridSpan w:val="2"/>
          </w:tcPr>
          <w:p>
            <w:pPr>
              <w:jc w:val="center"/>
              <w:ind w:right="980"/>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060" w:type="dxa"/>
            <w:vAlign w:val="bottom"/>
            <w:tcBorders>
              <w:top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Outstanding -</w:t>
            </w:r>
          </w:p>
        </w:tc>
        <w:tc>
          <w:tcPr>
            <w:tcW w:w="186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9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beginning of</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2,350,166</w:t>
            </w:r>
          </w:p>
        </w:tc>
        <w:tc>
          <w:tcPr>
            <w:tcW w:w="38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period</w:t>
            </w:r>
          </w:p>
        </w:tc>
        <w:tc>
          <w:tcPr>
            <w:tcW w:w="920" w:type="dxa"/>
            <w:vAlign w:val="bottom"/>
            <w:vMerge w:val="continue"/>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700,050</w:t>
            </w:r>
          </w:p>
        </w:tc>
        <w:tc>
          <w:tcPr>
            <w:tcW w:w="380" w:type="dxa"/>
            <w:vAlign w:val="bottom"/>
          </w:tcPr>
          <w:p>
            <w:pPr>
              <w:spacing w:after="0"/>
              <w:rPr>
                <w:sz w:val="14"/>
                <w:szCs w:val="14"/>
                <w:color w:val="auto"/>
              </w:rPr>
            </w:pPr>
          </w:p>
        </w:tc>
        <w:tc>
          <w:tcPr>
            <w:tcW w:w="860" w:type="dxa"/>
            <w:vAlign w:val="bottom"/>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Exercised</w:t>
            </w: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(12,688)</w:t>
            </w:r>
          </w:p>
        </w:tc>
        <w:tc>
          <w:tcPr>
            <w:tcW w:w="860" w:type="dxa"/>
            <w:vAlign w:val="bottom"/>
            <w:shd w:val="clear" w:color="auto" w:fill="CFF0FC"/>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Forfeited</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(49,834)</w:t>
            </w:r>
          </w:p>
        </w:tc>
        <w:tc>
          <w:tcPr>
            <w:tcW w:w="860" w:type="dxa"/>
            <w:vAlign w:val="bottom"/>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Expired</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Outstanding - end of</w:t>
            </w:r>
          </w:p>
        </w:tc>
        <w:tc>
          <w:tcPr>
            <w:tcW w:w="18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2,987,694</w:t>
            </w:r>
          </w:p>
        </w:tc>
        <w:tc>
          <w:tcPr>
            <w:tcW w:w="380" w:type="dxa"/>
            <w:vAlign w:val="bottom"/>
          </w:tcPr>
          <w:p>
            <w:pPr>
              <w:spacing w:after="0"/>
              <w:rPr>
                <w:sz w:val="11"/>
                <w:szCs w:val="11"/>
                <w:color w:val="auto"/>
              </w:rPr>
            </w:pPr>
          </w:p>
        </w:tc>
        <w:tc>
          <w:tcPr>
            <w:tcW w:w="860" w:type="dxa"/>
            <w:vAlign w:val="bottom"/>
            <w:vMerge w:val="restart"/>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period</w:t>
            </w:r>
          </w:p>
        </w:tc>
        <w:tc>
          <w:tcPr>
            <w:tcW w:w="9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060" w:type="dxa"/>
            <w:vAlign w:val="bottom"/>
            <w:tcBorders>
              <w:top w:val="single" w:sz="8" w:color="CFF0FC"/>
            </w:tcBorders>
            <w:shd w:val="clear" w:color="auto" w:fill="CFF0FC"/>
          </w:tcPr>
          <w:p>
            <w:pPr>
              <w:spacing w:after="0"/>
              <w:rPr>
                <w:sz w:val="12"/>
                <w:szCs w:val="12"/>
                <w:color w:val="auto"/>
              </w:rPr>
            </w:pPr>
          </w:p>
        </w:tc>
        <w:tc>
          <w:tcPr>
            <w:tcW w:w="186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CFF0FC"/>
            </w:tcBorders>
            <w:shd w:val="clear" w:color="auto" w:fill="CFF0FC"/>
          </w:tcPr>
          <w:p>
            <w:pPr>
              <w:spacing w:after="0"/>
              <w:rPr>
                <w:sz w:val="12"/>
                <w:szCs w:val="12"/>
                <w:color w:val="auto"/>
              </w:rPr>
            </w:pPr>
          </w:p>
        </w:tc>
        <w:tc>
          <w:tcPr>
            <w:tcW w:w="19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692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Exercisable - end of</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757,404</w:t>
            </w:r>
          </w:p>
        </w:tc>
        <w:tc>
          <w:tcPr>
            <w:tcW w:w="380" w:type="dxa"/>
            <w:vAlign w:val="bottom"/>
          </w:tcPr>
          <w:p>
            <w:pPr>
              <w:spacing w:after="0"/>
              <w:rPr>
                <w:sz w:val="12"/>
                <w:szCs w:val="12"/>
                <w:color w:val="auto"/>
              </w:rPr>
            </w:pPr>
          </w:p>
        </w:tc>
        <w:tc>
          <w:tcPr>
            <w:tcW w:w="860" w:type="dxa"/>
            <w:vAlign w:val="bottom"/>
            <w:vMerge w:val="restart"/>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period</w:t>
            </w:r>
          </w:p>
        </w:tc>
        <w:tc>
          <w:tcPr>
            <w:tcW w:w="9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Restricted Share activity:</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3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8260" w:type="dxa"/>
            <w:vAlign w:val="bottom"/>
          </w:tcPr>
          <w:p>
            <w:pPr>
              <w:spacing w:after="0"/>
              <w:rPr>
                <w:sz w:val="15"/>
                <w:szCs w:val="15"/>
                <w:color w:val="auto"/>
              </w:rPr>
            </w:pPr>
          </w:p>
        </w:tc>
        <w:tc>
          <w:tcPr>
            <w:tcW w:w="3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0" w:type="dxa"/>
            <w:vAlign w:val="bottom"/>
          </w:tcPr>
          <w:p>
            <w:pPr>
              <w:spacing w:after="0"/>
              <w:rPr>
                <w:sz w:val="1"/>
                <w:szCs w:val="1"/>
                <w:color w:val="auto"/>
              </w:rPr>
            </w:pPr>
          </w:p>
        </w:tc>
      </w:tr>
      <w:tr>
        <w:trPr>
          <w:trHeight w:val="156"/>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and unvested - beginning of</w:t>
            </w:r>
          </w:p>
        </w:tc>
        <w:tc>
          <w:tcPr>
            <w:tcW w:w="278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260" w:type="dxa"/>
            <w:vAlign w:val="bottom"/>
            <w:vMerge w:val="continue"/>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period</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59,258</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2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and unvested - end of period</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59,258</w:t>
            </w:r>
          </w:p>
        </w:tc>
        <w:tc>
          <w:tcPr>
            <w:tcW w:w="3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FF0FC"/>
          </w:tcPr>
          <w:p>
            <w:pPr>
              <w:spacing w:after="0"/>
              <w:rPr>
                <w:sz w:val="18"/>
                <w:szCs w:val="18"/>
                <w:color w:val="auto"/>
              </w:rPr>
            </w:pPr>
          </w:p>
        </w:tc>
        <w:tc>
          <w:tcPr>
            <w:tcW w:w="2780" w:type="dxa"/>
            <w:vAlign w:val="bottom"/>
            <w:tcBorders>
              <w:bottom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Cumulative vested shares - end of period</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1,854,658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in the condensed consolidated statements of operations related to all outstanding stock based compensation awards is summarized below (in thousands):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56"/>
        </w:trPr>
        <w:tc>
          <w:tcPr>
            <w:tcW w:w="5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00" w:type="dxa"/>
            <w:vAlign w:val="bottom"/>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500" w:type="dxa"/>
            <w:vAlign w:val="bottom"/>
          </w:tcPr>
          <w:p>
            <w:pPr>
              <w:spacing w:after="0"/>
              <w:rPr>
                <w:sz w:val="13"/>
                <w:szCs w:val="13"/>
                <w:color w:val="auto"/>
              </w:rPr>
            </w:pPr>
          </w:p>
        </w:tc>
        <w:tc>
          <w:tcPr>
            <w:tcW w:w="11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costs, excluding depreciation and amortization</w:t>
            </w:r>
          </w:p>
        </w:tc>
        <w:tc>
          <w:tcPr>
            <w:tcW w:w="15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6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tcBorders>
              <w:bottom w:val="single" w:sz="8" w:color="CFF0FC"/>
            </w:tcBorders>
          </w:tcPr>
          <w:p>
            <w:pPr>
              <w:spacing w:after="0"/>
              <w:rPr>
                <w:sz w:val="19"/>
                <w:szCs w:val="19"/>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6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38.7% and 42.2% for the three months ended March 31, 2017 and 2016, respectively. The Company’s effective income tax rate for the three months ended March 31, 2017 varied from the U.S. statutory rate of 35.0% primarily due to the impact of domestic and foreign uncertain tax positions.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is involved in legal proceedings from time to time in the ordinary course of its business, including employment claims and claims related to other business transactions. The Company cannot predict with certainty the outcome of such proceedings, but it believes that adequate reserves have been recorded and losses already recognized with respect to such actions were immaterial as of March 31, 2017 and December 31, 2016. There is a reasonable possibility that a loss exceeding amounts already recognized may be incurred related to these actions; however, the Company believes that such potential losses were immaterial as of March 31,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Loans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periodically extends short term loans or advances to employees, typically upon commencement of employment. Total receivables as a result of these employee advances of $0.2 million existed at March 31, 2017 and December 31, 2016, respectively, and are included in the Prepaid expenses and other current assets and Other assets line items of the condensed consolidated balance sheets, respectively, depending on the contractual repayment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Medpace Investors LLC, a noncontrolling shareholder of the Company that is owned by employees of the Company and managed by the Company’s chief executive officer, has a majority ownership interest in Symplmed Pharmaceuticals, LLC (“Symplmed”), a private pharmaceutical development company. In addition, the chief executive officer and other executives of the Company are board members of Symplmed. The Company has operated under a Master Services Agreement (“MSA”) with Symplmed since 2013 (amended in 2014) to perform clinical trials and related activities. Certain task orders governed by this arrangement were amended in the third quarter of 2016, changing the fee structure from unitized in nature to time and materials and revised pricing to more appropriately reflect market pricing based on the Company’s leveraging of this work to develop and enhance certain new service capabilities. The Company has evaluated its relationship with Symplmed and concluded that Symplmed is not a variable interest entity because the Company has no direct ownership interest or relationship other than the MSA. During the three months ended March 31, 2017 and 2016, the Company recognized service revenue from Symplmed of less than $0.1 million and $0.3 million, respectively, in the Company’s condensed consolidated statements of operations.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chief executive officer of the Company is a member of Coherus BioSciences, Inc.’s (“Coherus”) board of directors. During the three months ended March 31, 2017 and 2016, the Company recognized service revenue from Coherus of $3.3 million and $7.1 million, respectively, in the Company’s condensed consolidated statements of operations. In addition, the company recognized Reimbursed out-of-pocket revenue and Reimbursed out-of-pocket expenses with Coherus in the condensed consolidated statements of operations of $0.6 million and $1.2 million during the three months ended March 31, 2017 and 2016, respectively. As of March 31, 2017 and December 31, 2016, respectively, the Company had Accounts receivable and unbilled, net from Coherus of $1.4 million and $2.0 million recorded in the condensed consolidated balance sheets. As of March 31, 2017 and December 31, 2016, respectively, the Company had, from Coherus, $5.0 million and $6.3 million of Advanced billings and $3.6 million and $3.8 million of Pre-funded study costs, in the condensed consolidated balance sheets.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executives and employees of the Company, including the chief executive officer, have equity investments in Xenon, a clinical-stage biopharmaceutical company. During July 2015 the Company and Xenon entered into an amended MSA agreement for the Company to provide certain clinical development services. The Company recognized service revenue from Xenon of $0.5 million and $0.3 million during the three months ended March 31, 2017 and 2016, respectively, in the Company’s condensed consolidated statements of operations. As of March 31, 2017 and December 31, 2016, respectively, the Company had Accounts receivable and unbilled, net from Xenon of $0.1 million and $0.3 million recorded in the condensed consolidated balance sheets. As of March 31, 2017 and December 31, 2016, respectively, the Company had, from Xenon, $0.6 million and $1.3 million of Advanced billings and $0.2 million and $0.1 million of Pre-funded study costs, in the condensed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Medpace Investors, LLC</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Medpace Investors is a noncontrolling shareholder and related party of Medpace Holdings, Inc. Medpace Investors is owned and managed by employees of the Company. The chief executive officer of Medpace is also the manager and majority unit holder of Medpace Investors. The Successor Company acted as a paying agent for Medpace Investors with taxing authorities principally in instances when employee tax payments or remittance of withholdings related to equity compensation are required. During the three months ended March 31, 2016, the Company paid $0.6 million to various taxing authorities on behalf of Medpace Investors.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Real Estate Properties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December 2016, the Company entered into a purchase agreement for four parcels of real estate property that are closely situated to the Medpace campus in Cincinnati, Ohio, from AT Redevelopment Company, LLC, which is wholly-owned by the Company’s chief executive officer. The purchase price of the real estate property was $355,500 as determined by an independent third party broker's opinion of value. The transaction closed on January 11,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Leased Real Estate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Headquarters Lease</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entered into an operating lease for its corporate headquarters with an entity that is wholly owned by the chief executive officer of the Company. The Company has evaluated its relationship with the related party and concluded that the related party is not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 w:name="page14"/>
    <w:bookmarkEnd w:id="13"/>
    <w:p>
      <w:pPr>
        <w:spacing w:after="0" w:line="256" w:lineRule="auto"/>
        <w:rPr>
          <w:sz w:val="20"/>
          <w:szCs w:val="20"/>
          <w:color w:val="auto"/>
        </w:rPr>
      </w:pPr>
      <w:r>
        <w:rPr>
          <w:rFonts w:ascii="Times New Roman" w:cs="Times New Roman" w:eastAsia="Times New Roman" w:hAnsi="Times New Roman"/>
          <w:sz w:val="18"/>
          <w:szCs w:val="18"/>
          <w:color w:val="auto"/>
        </w:rPr>
        <w:t>variable interest entity because the Company has no direct ownership interest or relationship other than the lease. The lease for headquarters is for an initial term of twelve years through November 2022 with a renewal option for one 10-year term at prevailing market rates. The Company pays rent, taxes, insurance, and maintenance expenses that arise from the use of the property. Annual base rent for the corporate headquarters allows for adjustments to the rental rate annually for increases in the consumer price index. Lease expense recognized for each of the three months ended March 31, 2017 and 2016 was $0.5 million, respectively. The lease expense was allocated between Direct costs, excluding depreciation and amortization, and Selling, general and administrative in the condensed consolidated statements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Deemed Assets and Deemed Landlord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entered into two multi-year lease agreements governing the occupancy of space of two buildings in Cincinnati, Ohio with an entity that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wholly owned by the Company’s chief executive officer and certain members of his immediate family. In accordance with the accounting guidance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 the Company was deemed in substance to be the owner of the property during the construction phase and at completion. Accordingly,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reflected the buildings and related liabilities as deemed assets from landlord building construction in Property and equipment, net, Other current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Deemed landlord liability, less current portion, respectively, on the condensed consolidated balance sheets. The Company assumed occupancy in 2012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leases expire in 2027 with the Company having one 10-year option to extend the lease term. The deemed assets are being fully depreciated,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straight line basis, over the 15-year term of the lease. Deemed landlord liabilities are recorded at their net present value when the Company enters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qualifying leases and are reduced as the Company makes periodic lease payments on the properties. Accretion expense is being recorded over the term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as a component of Interest expense, net in the Company’s condensed consolidated statements of operations. The Company paid $0.9 million during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March 31, 2017 and 2016, respectively. The current and long-term portions of the Deemed landlord liability at March 31, 2017 were $1.8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$28.1 million, respectively. The current and long-term portions of the Deemed landlord liability at December 31, 2016 were $1.7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$28.5 million, respectively. The Company has recognized deemed assets, net of $17.6 million and $18.1 million at March 31, 2017 and December 31,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in the condensed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Travel Services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incurs expenses for travel services for company executives provided by a private aviation charter company that is owned by the chief executive officer and the executive vice president of operations of the Company (“private aviation charter”). The Company may contract directly with the private aviation charter for the use of its aircraft or indirectly through a third party aircraft management and jet charter company (the “Aircraft Management Company”). The travel services provided are primarily for business purposes, with certain personal travel paid for as part of the executives’ compensation arrangements. The Aircraft Management Company also makes the private aviation charter aircraft available to third parties. The Company incurred travel expenses of $0.3 million and $0.3 million during the three months ended March 31, 2017 and 2016, respectively, related to these travel services. These travel expenses are recorded in Selling, general and administrative in the Company’s condensed consolidated statements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April 27, 2017, the Company’s Board of Directors authorized a share repurchase program of up to $50.0 million of the Company’s common stock in the open market or negotiated transactions, at the discretion of our management. The extent and timing of repurchases will depend on market conditions, applicable regulatory requirements, and other considerations.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condensed consolidated financial statements and the notes thereto included elsewhere in this Quarterly Report on Form 10-Q, with our audited consolidated financial statements and the notes thereto included in our Annual Report on Form 10-K for the fiscal year ended December 31, 2016 and with the information under the heading “Management Discussion and Analysis of Financial Condition and Results of Operations” in our Annual Report on Form 10-K for the fiscal year ended December 31, 2016. This item and the related discussion contain forward-looking statements reflecting current expectations that involve risks and uncertainties. Actual results and the timing of events may differ materially from those indicated in such forward-looking statements. Important factors that may cause such differences include, but are not limited to, those discussed under the “Forward-Looking Statements” below and “Risk Factors” in “Item 1A Risk Factors” of Part I of our Annual Report on Form 10-K for the fiscal year ended December 31, 2016.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herein, including statements regarding our future results of operations and financial position, business strategy, product approvals and plans and our objectives for future operations, are forward looking statements. The words “believe,” “may”, “might”, “will”, “estimate”, “continue”, “anticipate”, “intend”, “seek”, “plan”, “should”, “expect” and similar expressions are intended to identify forward looking statements. Forward looking statements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 looking statements are subject to inherent uncertainties, risks, changes in circumstances and other important factors that are difficult to predict. Moreover, we operate in a very competitive and rapidly changing environment in which new risks emerge from time to time. It is not possible for our management to predict all risks, nor can we assess the impact of all important factors on our business or the extent to which any factor, or combination of such factors, may cause actual results to differ materially from those contained in any forward looking statements we may make. In light of these risks, uncertainties and assumptions, the forward looking events and circumstances discussed may not occur and actual results could differ materially and adversely from those anticipated or implied in the forward looking statements. We caution you therefore against relying on these forward looking statements.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 For a further discussion of the risks relating to our business, see “Item 1A Risk Factors” of Part I of our Annual Report on Form 10-K for the fiscal year ended December 31,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focus on conducting clinical trials across all major therapeutic areas, with particular strength in Cardiology, Metabolic Disease, Oncology, Endocrinology, Central Nervous System (“CNS”), Antiviral and Anti-infective (“AVAI”), as well as therapeutic expertise in Medical Devices. Our global platform includes approximately 2,500 employees across 35 countries, providing our customers with broad access to diverse markets and patient populations as well as local regulatory expertise and market knowledge.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consists of net service revenue and reimbursed-out-of-pocket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Service Revenue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earn customer fees through the performance of services detailed in our customer contracts. Contract scope and pricing is typically based on either a fixed-fee or unit-of-service model and our contracts can range in duration from a few months to several years. These contracts are individually priced and negotiated based on the anticipated project scope, including the complexity of the project and the performance risks inherent in the project. The majority of our contracts are structured with an upfront fee that is collected at the time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5" w:name="page16"/>
    <w:bookmarkEnd w:id="15"/>
    <w:p>
      <w:pPr>
        <w:ind w:right="100"/>
        <w:spacing w:after="0" w:line="282" w:lineRule="auto"/>
        <w:rPr>
          <w:sz w:val="20"/>
          <w:szCs w:val="20"/>
          <w:color w:val="auto"/>
        </w:rPr>
      </w:pPr>
      <w:r>
        <w:rPr>
          <w:rFonts w:ascii="Times New Roman" w:cs="Times New Roman" w:eastAsia="Times New Roman" w:hAnsi="Times New Roman"/>
          <w:sz w:val="18"/>
          <w:szCs w:val="18"/>
          <w:color w:val="auto"/>
        </w:rPr>
        <w:t>of contract signing, and the balance of the fee is collected over the duration of the contract either through an arranged billing schedule or upon completion of certain performance targets or defined milestones. This payment structure is standard in the CRO industry.</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service revenue, which is distinct from billing and cash receipt, is generally recognized based on the proportional performance methodology, which is determined by assessing the proportion of performance completed or delivered to date compared to total specific measures to be delivered or completed under the terms of the contract. The measures utilized to assess performance are specific to the service provided. Net service revenue for unit-of-service contracts is recognized as services are performed or delivered. Cancellation provisions in our contracts allow our customers to terminate a contract either immediately or according to advance notice terms specified within the applicable contract, which is typically 30 days. Contract cancellation may occur for various reasons, including, but not limited to, adverse patient reactions, lack of efficacy, or inadequate patient enrollment. Upon cancellation, we are entitled to fees for services rendered through the date of termination, including payment for subsequent services necessary to conclude the study or close out the contract. These fees are typically subject to negotiation and are realized as net service revenue when collection is reasonably assured. Changes in net service revenue from period to period are driven primarily by new business volume and task order execution activity, project cancellations, and the mix of active studies during a given period that can vary based on therapeutic and or study life cycle stage.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Reimbursed Out-of-Pocket Revenue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Reimbursed out-of-pocket revenue consists primarily of expenses we incur in relation to projects that are reimbursed by our customers with no profit or mark-up. These expenses are defined in our contracts and generally include, but are not limited to, travel, meetings, printing, and shipping and handling fees. Such reimbursements received are included in revenue with the expenditures reflected as a separate component of operating expense. Certain fees paid to investigators and other disbursements in which we act as an agent on behalf of the study sponsor are reflected in the condensed consolidated statements of operations with no resulting effect on our revenue or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costs and expenses are comprised primarily of our direct costs, selling, general and administrative costs, depreciation and amortization and income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as noted above, we also have reimbursed out-of-pocket expenditures that are directly offset by our reimbursed out-of-pocket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Costs, Excluding Depreciation and Amortization</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Direct costs, excluding depreciation and amortization, are primarily driven by labor and related employee benefits, but also include laboratory supplies and other expenses contributing to service delivery. The other costs of service delivery can include office rent, utilities, supplies and software license expenses, which are allocated between direct costs, excluding depreciation and amortization and selling, general and administrative expenses based on the estimated contribution among service delivery and support function efforts on a percentage basis. Direct costs, excluding depreciation and amortization exclude reimbursed out-of-pocket expenses. Direct costs, excluding depreciation and amortization are expensed as incurred and are not deferred in anticipation of contracts being awarded or finalization of changes in scope. Direct costs, excluding depreciation and amortization as a percentage of net service revenue can vary from period to period due to project labor efficiencies, changes in workforce, compensation/bonus programs and service mix.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are primarily driven by compensation and related employee benefits, as well as rent, utilities, supplies, software licenses, professional fees (e.g., legal and accounting expenses), travel, marketing and other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Depreciation is provided on our property and equipment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for buildings. Leasehold improvements and deemed assets from landlord building construction are amortized on a straight-line basis over the shorter of the estimated useful life of the improvement or the associated remaining lease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Amortization relates to finite-lived intangible assets recognized as expense using the straight-line method or using an accelerated method over their estimated useful lives, which range in term from 17 months to 15 years.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Income tax provision consists of federal, state and local taxes on income in multiple jurisdictions. Our income tax is impacted by the pre-tax earnings in jurisdictions with varying tax rates and any related tax credits that may be available to us. Our current and future provision for income taxes will vary from statutory rates due to the impact of valuation allowances in certain countries, income tax incentives, certain non-deductible expenses, and other discrete items.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 evaluate the performance of our business, we utilize a variety of financial and performance metrics. These key measures include new business awards, cancellations and backlog.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Business Awards, Cancellations and Backlog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Cancellations arise in the normal course of business and are reflected when we receive written confirmation from the customer to cease work on a contractual agreement. The majority of our customers can terminate our contracts without cause upon 30 days’ notice. Similar to new business awards, the number and amount of cancellations can vary significantly period over period due to timing of customer correspondence and study-specific circumstances. Total cancellations in a period are offset against gross new business awards received in a period to determine net new business awards in our backlog calculation. Net new business awards were $93.9 million and $106.4 million for the three months ended March 31, 2017 and 2016, respectively.</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Backlog represents anticipated future net service revenue from net new business awards that have not commenced or are currently in process but not complete. Reported backlog will fluctuate based on new business awards, changes in the scope of existing contracts, cancellations, revenue recognition on existing contracts and foreign exchange adjustments from non-U.S. dollar denominated backlog. As of March 31, 2017, our backlog increased by $35.7 million, or 8.0%, to $483.8 million compared to $448.1 million as of March 31, 2016. Included within backlog as of March 31, 2017 was approximately $258 million to $268 million that we expect to convert to net service revenue over the next twelve months, with the remainder expected to convert to net service revenue thereafter.</w:t>
      </w:r>
    </w:p>
    <w:p>
      <w:pPr>
        <w:spacing w:after="0" w:line="18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effect of foreign currency adjustments on backlog was as follows: unfavorable foreign currency adjustments of $0.2 million for the three months ended March 31, 2017 and no net foreign currency adjustments for the three months ended March 31, 2016.</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Backlog and net new business award metrics may not be reliable indicators of our future period revenue as they are subject to a variety of factors that may cause material fluctuations from period to period. These factors include, but are not limited to, changes in the scope of projects, cancellations, and duration and timing of services provided.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Fluctuations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majority of our contracts and operational transactions are U.S. dollar denominated. The Euro represents the largest foreign currency denomination of our contractual and operational exposure. As a result, a portion of our revenue and expenses are subject to exchange rate fluctuations. We have translated the Euro into U.S. dollars using the following average exchange rates based on data obtained from www.xe.com:</w:t>
      </w:r>
    </w:p>
    <w:p>
      <w:pPr>
        <w:spacing w:after="0" w:line="25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4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U.S. Dollars per Euro:</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2017 compared to Three Months Ended March 31, 2016</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1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Service revenue, net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Reimbursed out-of-pocket revenue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5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 costs, excluding depreciation and 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Reimbursed out-of-pocket expenses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5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Miscellaneous expense, net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 net and Reimbursed out-of-pocket revenue</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2017 service revenue, net increased by $6.0 million to $93.8 million, from $87.8 million for the three months ended March 31, 2016. This increase was primarily driven by growth within the Cardiovascular, Oncology, and AVAI therapeutic areas.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Reimbursed out-of-pocket revenue increased by $1.0 million to $12.8 million for the three months ended March 31, 2017, from $11.8 million for the three months ended March 31, 2016. Reimbursed out-of-pocket revenues can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costs, excluding depreciation and amortization and Reimbursed out-of-pocket expenses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direct costs, excluding depreciation and amortization increased by $4.1 million, to $51.1 million for the three months ended March 31, 2017 from $47.0 million for the three months ended March 31, 2016. The increase was primarily attributed to increases in employee related costs for additional personnel and contracted services to support the growth in project activities. The employee related costs portion of direct costs, excluding depreciation and amortization increased by $3.6 million for the three months ended March 31, 2017, compared to the same period in the prior year. The contracted services costs increased by $0.5 million for the three months ended March 31, 2017, compared to the same period in the prior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$1.6 million, to $15.2 million for the three months ended March 31, 2017 from $13.5 million for the three months ended March 31, 2016. This increase was primarily driven by an increase in employee related costs for additional personnel of $1.7 million for the three months ended March 31, 2017, compared to the same period in the prior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decreased by $2.9 million, to $11.6 million for the three months ended March 31, 2017 from $14.4 for the three months ended March 31, 2016. The decrease in depreciation and amortization were primarily related to the continued amortization of our definite lived intangible assets, which are amortized on an accelerated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Miscellaneous expense, net</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Miscellaneous expense, net decreased by $0.6 million to $0.4 million of expense for the three months ended March 31, 2017 from $0.9 million of expense for the three months ended March 31, 2016. These changes were mainly attributable to foreign exchange gains or losses that arise in connection with the revaluation of short-term intercompany balances between our domestic and international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58" w:right="259" w:bottom="1440" w:gutter="0" w:footer="0" w:header="0"/>
        </w:sectPr>
      </w:pPr>
    </w:p>
    <w:bookmarkStart w:id="18" w:name="page19"/>
    <w:bookmarkEnd w:id="18"/>
    <w:p>
      <w:pPr>
        <w:ind w:right="460"/>
        <w:spacing w:after="0" w:line="282" w:lineRule="auto"/>
        <w:rPr>
          <w:sz w:val="20"/>
          <w:szCs w:val="20"/>
          <w:color w:val="auto"/>
        </w:rPr>
      </w:pPr>
      <w:r>
        <w:rPr>
          <w:rFonts w:ascii="Times New Roman" w:cs="Times New Roman" w:eastAsia="Times New Roman" w:hAnsi="Times New Roman"/>
          <w:sz w:val="18"/>
          <w:szCs w:val="18"/>
          <w:color w:val="auto"/>
        </w:rPr>
        <w:t>subsidiaries, and gains or losses from foreign currency transactions, such as those resulting from the settlement of third-party accounts receivables and payables denominated in a currency other than the local currency of the entity making the payment.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expense, net decreased by $4.2 million to $1.8 million for the three months ended March 31, 2017 from $6.0 million for the three months ended March 31, 2016. The decrease in interest expense, net was related to the average lower outstanding balance under our Senior Secured Term Loan Facility (as defined below), as well as a lower effective interest rate as a result of the new credit agreement entered into in December 2016 (as described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Income tax provision increased by $2.8 million, to $5.3 million for the three months ended March 31, 2017 from $2.5 million for the three months ended March 31, 2016. The overall effective tax rate for the three months ended March 31, 2017 was 38.7%, compared to an overall effective tax rate of 42.2% for the three months ended March 31, 2016. The change in effective tax rates and the increase in income tax provision was primarily due to the increases in projected pre-tax book income for the three months ended March 31, 2017 coupled with relatively consistent year over year rate reconciliation drivers.</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principal sources of liquidity are operating cash flows and funds available for borrowing under our Senior Secured Revolving Credit Facility (as defined below). As of March 31, 2017, we had cash and cash equivalents of $29.6 million, including approximately $0.3 million of restricted cash, primarily related to advanced payments received pursuant to certain sponsor contracts. Approximately $11.6 million of cash and cash equivalents, none of which was restricted, was held by our foreign subsidiaries as of March 31, 2017. On December 8, 2016, the Company entered into a credit agreement (the “Senior Secured Credit Agreement”) consisting of a $165.0 million term loan (the “Senior Secured Term Loan Facility”) and a $150.0 million revolving credit facility (the “Senior Secured Revolving Credit Facility” and, together with the Senior Secured Term Loan Facility, the “Senior Secured Credit Facilities”). As of March 31, 2017, we had $150.0 million available for borrowing under our Senior Secured Revolving Credit Facility. Our expected primary cash needs on both a short and long-term basis are for investment in operational growth, capital expenditures, payment of debt, share repurchases, selective strategic bolt-on acquisitions, other investments, and other general corporate needs for the next 12 months and on a longer-term basis. We have historically funded our operations and growth with cash flow from operations and borrowings under our credit facilities. We expect to continue expanding our operations through organic growth and potentially highly selective bolt-on acquisitions and investments. We expect these activities will be funded from existing cash, cash flow from operations and, if necessary, borrowings under our existing or future credit facilities. We have deemed that foreign earnings will be indefinitely reinvested and therefore we have not provided taxes on these earnings. While we do not anticipate the need to repatriate these foreign earnings for liquidity purposes given our cash flows from operations and available borrowings under existing and future credit facilities, we would incur taxes on these earnings if the need for repatriation due to liquidity purposes arises. We believe that our sources of liquidity and capital will be sufficient to finance our cash needs for the next 12 months and on a longer-term basis. However, we cannot assure you that our business will generate sufficient cash flow from operations, or that future borrowings will be available to us under our Senior Secured Credit Facilities or otherwise, in an amount sufficient to fund our liquidity needs. If our cash flows and capital resources are insufficient to service our indebtedness,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and any proceeds that we could realize from any such dispositions may not be adequate to meet our debt service obligations then due. See “Risk Factors—Risks Relating to our Indebtedness—We may not be able to generate sufficient cash to service all of our indebtedness, and may be forced to take other actions to satisfy our obligations under our indebtedness that may not be successful” in Item 1A of Part I of the 2016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28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w:t>
            </w:r>
          </w:p>
        </w:tc>
      </w:tr>
      <w:tr>
        <w:trPr>
          <w:trHeight w:val="162"/>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28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Months</w:t>
            </w:r>
          </w:p>
        </w:tc>
      </w:tr>
      <w:tr>
        <w:trPr>
          <w:trHeight w:val="162"/>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62"/>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860" w:type="dxa"/>
            <w:vAlign w:val="bottom"/>
            <w:tcBorders>
              <w:bottom w:val="single" w:sz="8" w:color="CFF0FC"/>
            </w:tcBorders>
          </w:tcPr>
          <w:p>
            <w:pPr>
              <w:ind w:left="2740"/>
              <w:spacing w:after="0"/>
              <w:rPr>
                <w:sz w:val="20"/>
                <w:szCs w:val="20"/>
                <w:color w:val="auto"/>
              </w:rPr>
            </w:pPr>
            <w:r>
              <w:rPr>
                <w:rFonts w:ascii="Times New Roman" w:cs="Times New Roman" w:eastAsia="Times New Roman" w:hAnsi="Times New Roman"/>
                <w:sz w:val="14"/>
                <w:szCs w:val="14"/>
                <w:b w:val="1"/>
                <w:bCs w:val="1"/>
                <w:color w:val="auto"/>
              </w:rPr>
              <w:t>Cash Flows (Amounts in thousands)</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FF0FC"/>
            </w:tcBorders>
          </w:tcPr>
          <w:p>
            <w:pPr>
              <w:spacing w:after="0"/>
              <w:rPr>
                <w:sz w:val="15"/>
                <w:szCs w:val="15"/>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(4,358)</w:t>
            </w:r>
          </w:p>
        </w:tc>
        <w:tc>
          <w:tcPr>
            <w:tcW w:w="2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(3,424)</w:t>
            </w: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(3,305)</w:t>
            </w: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Cash flows from operations are driven mainly by net income and net movement in accounts receivable and unbilled, net, advanced billings, pre-funded liabilities, accounts payable and accrued expenses. Accounts receivable and unbilled, net, advanced billings and pre-funded liabilities fluctuate on a regular basis as we perform our services, bill our customers and ultimately collect on those receivables. We attempt to negotiate payment terms in order to provide for payments prior to or soon after the provision of services, but this timing of collection can vary significantly on a period by period comparative basis.</w:t>
      </w:r>
    </w:p>
    <w:p>
      <w:pPr>
        <w:spacing w:after="0" w:line="18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Net cash flows used in operating activities was $(0.7) million for the three months ended March 31, 2017 beginning with net income of $8.4 million. Adjustments to reconcile net income to net cash used in operating activities were $12.1 million, primarily related to amortization of intangibles of $9.4 million, depreciation of $2.1 million and stock based compensation expense of $1.0 million, offset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0" w:name="page21"/>
    <w:bookmarkEnd w:id="20"/>
    <w:p>
      <w:pPr>
        <w:ind w:right="40"/>
        <w:spacing w:after="0" w:line="266" w:lineRule="auto"/>
        <w:rPr>
          <w:sz w:val="20"/>
          <w:szCs w:val="20"/>
          <w:color w:val="auto"/>
        </w:rPr>
      </w:pPr>
      <w:r>
        <w:rPr>
          <w:rFonts w:ascii="Times New Roman" w:cs="Times New Roman" w:eastAsia="Times New Roman" w:hAnsi="Times New Roman"/>
          <w:sz w:val="18"/>
          <w:szCs w:val="18"/>
          <w:color w:val="auto"/>
        </w:rPr>
        <w:t>by $0.4 million of benefit from deferred taxes. Changes in operating assets and liabilities used $21.2 million in operating cash flows and was primarily driven by decreased accrued expenses of $10.5 million, increased accounts receivable and unbilled, net of $2.3 million, decreased pre-funded study costs of $3.5 million and decreased advanced billings of $5.2 million, offset by an increase in other assets and liabilities, net of $1.9 million.</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Net cash flows provided by operating activities was $12.6 million for the three months ended March 31, 2016 beginning with net income of $3.4 million. Adjustments to reconcile net income to net cash provided by operating activities were $15.9 million primarily related to amortization of intangibles of $12.7 million, depreciation of $1.8 million and stock based compensation expense of $1.0 million, offset by $0.3 million of benefit from deferred taxes. Changes in operating assets and liabilities used $6.7 million in operating cash flows and was primarily driven by increased accounts receivable and unbilled services, net of $9.9 million, decreased accrued expenses of $5.0 million and decreased accounts payable of $2.0 million offset by an increase in advanced billings of $9.7 million and an increase in pre-funded study costs of $1.3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121"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$4.4 million for the three months ended March 31, 2017 primarily consisting of property and equipment expenditures.</w:t>
      </w:r>
    </w:p>
    <w:p>
      <w:pPr>
        <w:spacing w:after="0" w:line="16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$3.4 million for the three months ended March 31, 2016 primarily consisting of property and equipment expenditures.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$3.3 million for the three months ended March 31, 2017 primarily related to $3.1 million in principal payments on our Senior Secured Term Loan Facility.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$0.4 million for the three months ended March 31, 2016, primarily consisting of rental payments on deemed landlord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March 31, 2017, we had total indebtedness of $161.9 million, substantially all of which was attributed to outstanding borrowings on the Senior Secured Term Loan Facility. There were no outstanding borrowings under the Senior Secured Revolving Credit Facility as of March 31, 2017. In addition, as of March 31, 2017, we had $0.1 million in letters of credit outstanding related to certain operating lease obligations, which are secured by the Senior Secured Revolving Credit Facility. See Note 8 to our audited consolidated financial statements on our Annual Report on Form 10-K for details regarding our Senior Secured Credit Facilities.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have various contractual obligations, which are recorded as liabilities in our condensed consolidated financial statements. Other items, such as operating lease obligations, are not recognized as liabilities in our condensed consolidated financial statements but are required to be disclosed.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of the ordinary course of business, to our contractual obligations as previously disclosed in our Annual Report on Form 10-K for the fiscal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Off balance sheet arrangements refer to any transaction, agreement or other contractual arrangement to which an entity not consolidated under our entity structure exists, where we have an obligation arising under a guarantee contract, derivative instrument or variable interest or a retained or contingent interest in assets transferred to such an entity or similar arrangement that serves as credit, liquidity or market risk support for such assets. We have no off balance sheet arrangements currently.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generally accepted accounting principles in the United States of America, or U.S. GAAP, requires us to make a variety of decisions which affect reported amounts and related disclosures, including the selection of appropriate accounting principles and the assumptions on which to base accounting estimates. In reaching such decisions, we apply judgment based on our understanding and analysis of the relevant circumstances, including our historical experience and other assumptions. Actual results could differ from our estimates. We are committed to incorporating accounting principles, assumptions and estimates that promote the representational faithfulness, verifiability, neutrality and transparency of the accounting information included in the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the critical accounting policies and estimates as previously described in our Annual Report on Form 10-K for the fiscal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In November 2016, the Financial Accounting Standards Board ("FASB") issued Accounting Standard Update (“ASU”) 2016-18,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230): Restricted Cash</w:t>
      </w:r>
      <w:r>
        <w:rPr>
          <w:rFonts w:ascii="Times New Roman" w:cs="Times New Roman" w:eastAsia="Times New Roman" w:hAnsi="Times New Roman"/>
          <w:sz w:val="18"/>
          <w:szCs w:val="18"/>
          <w:color w:val="auto"/>
        </w:rPr>
        <w:t>. The new guidance is intended to reduce diversity in practice by requiring the statement of cash flows to explain the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period in the total of cash, cash equivalents and amounts generally described as restricted cash and restricted cash equivalents. ASU 2016-18 is effective for fiscal years beginning after December 15, 2017, and for interim periods within those fiscal years. The Company, as permitted, early adopted ASU 2016-18 in the fourth quarter of 2016. As a result of this adoption, cash flows resulting from changes in restricted cash balances, are no longer presented as a component of net cash provided by operating activities in the Company’s condensed consolidated statements of cash flows, but have been reclassified and combined within Increases/(Decreases) in Cash and Cash Equivalents and Restricted Cash. This reclassification was retrospectively applied to all periods presented within the condensed consolidated statements of cash flows.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Improvements to Employee Share-Based Payment Accounting</w:t>
      </w:r>
      <w:r>
        <w:rPr>
          <w:rFonts w:ascii="Times New Roman" w:cs="Times New Roman" w:eastAsia="Times New Roman" w:hAnsi="Times New Roman"/>
          <w:sz w:val="18"/>
          <w:szCs w:val="18"/>
          <w:color w:val="auto"/>
        </w:rPr>
        <w:t>. The new guidance is intended to simplify certain aspects of accounting for share based payments to employees, including the accounting for income taxes, forfeitures, and statutory tax withholding requirements, as well as classification in the statement of cash flows. The Company elected to adopt this ASU in the first quarter of 2017 as required. The following summarizes the effects of the adoption on the Company's condensed consolidated financial statements:</w:t>
      </w:r>
    </w:p>
    <w:p>
      <w:pPr>
        <w:spacing w:after="0" w:line="180" w:lineRule="exact"/>
        <w:rPr>
          <w:sz w:val="20"/>
          <w:szCs w:val="20"/>
          <w:color w:val="auto"/>
        </w:rPr>
      </w:pPr>
    </w:p>
    <w:p>
      <w:pPr>
        <w:ind w:left="760" w:right="60" w:hanging="374"/>
        <w:spacing w:after="0" w:line="25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Upon adoption of this standard, all excess tax benefits and tax deficiencies (including tax benefits of dividends, if distributed,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share-based payment awards) are recognized as income tax expense or benefit in the statement of operations. The tax effects of exercised or vested awards are treated as discrete items in the reporting period in which they occur. As a result, the Company recognized discrete adjustments to income tax expense for the three months ended March 31, 2017 of less than $0.1 million related to excess tax benefits. The Company also recognizes excess tax benefits regardless of whether the benefit reduces taxes payable in the current period. The Company applied the prospective adoption approach for any unrecognized excess tax benefits beginning in 2017, which did not result in any cumulative-effect adjustment upon adoption. Prior periods have not been adjusted.</w:t>
      </w:r>
    </w:p>
    <w:p>
      <w:pPr>
        <w:spacing w:after="0" w:line="183" w:lineRule="exact"/>
        <w:rPr>
          <w:rFonts w:ascii="Times New Roman" w:cs="Times New Roman" w:eastAsia="Times New Roman" w:hAnsi="Times New Roman"/>
          <w:sz w:val="18"/>
          <w:szCs w:val="18"/>
          <w:color w:val="auto"/>
        </w:rPr>
      </w:pPr>
    </w:p>
    <w:p>
      <w:pPr>
        <w:ind w:left="760" w:right="80" w:hanging="374"/>
        <w:spacing w:after="0" w:line="257"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 Prior to adoption, share-based compensation expense was recognized on a straight line basis, net of estimated forfeitures, such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was recognized only for share-based awards that were expected to vest. A forfeiture rate was estimated annually and revised, if necessary, in subsequent periods if actual forfeitures differed from initial estimates. Upon adoption, the Company no longer applies a forfeiture rate and instead accounts for forfeitures as they occur. The Company applied the modified retrospective adoption approach beginning in 2017 and booked an immaterial cumulative-effect adjustment to additional paid-in-capital and retained earnings within Shareholders’ Equity. Prior periods have not been adjusted.</w:t>
      </w:r>
    </w:p>
    <w:p>
      <w:pPr>
        <w:spacing w:after="0" w:line="182" w:lineRule="exact"/>
        <w:rPr>
          <w:rFonts w:ascii="Times New Roman" w:cs="Times New Roman" w:eastAsia="Times New Roman" w:hAnsi="Times New Roman"/>
          <w:sz w:val="18"/>
          <w:szCs w:val="18"/>
          <w:color w:val="auto"/>
        </w:rPr>
      </w:pPr>
    </w:p>
    <w:p>
      <w:pPr>
        <w:jc w:val="both"/>
        <w:ind w:left="760" w:right="280" w:hanging="374"/>
        <w:spacing w:after="0" w:line="267"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Statements of Cash Flows </w:t>
      </w:r>
      <w:r>
        <w:rPr>
          <w:rFonts w:ascii="Times New Roman" w:cs="Times New Roman" w:eastAsia="Times New Roman" w:hAnsi="Times New Roman"/>
          <w:sz w:val="18"/>
          <w:szCs w:val="18"/>
          <w:color w:val="auto"/>
        </w:rPr>
        <w:t>- The Company historically accounted for excess tax benefits on the Statement of Cash Flows as a financing activity.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adoption of this standard, excess tax benefits are classified along with other income tax cash flows as an operating activity. The Company elected to adopt this portion of the standard on a prospective basis beginning in 2017. Prior periods have not been adjusted.</w:t>
      </w:r>
    </w:p>
    <w:p>
      <w:pPr>
        <w:spacing w:after="0" w:line="173" w:lineRule="exact"/>
        <w:rPr>
          <w:rFonts w:ascii="Times New Roman" w:cs="Times New Roman" w:eastAsia="Times New Roman" w:hAnsi="Times New Roman"/>
          <w:sz w:val="18"/>
          <w:szCs w:val="18"/>
          <w:color w:val="auto"/>
        </w:rPr>
      </w:pPr>
    </w:p>
    <w:p>
      <w:pPr>
        <w:ind w:left="760" w:right="100" w:hanging="374"/>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 The Company uses the treasury stock method to compute diluted earnings per share, unless the effect would be anti-dilutive.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method, the Company is no longer required to estimate the tax rate and apply it to the dilutive share calculation for determining the dilutive earnings per share. The Company utilized the prospective adoption approach and applied this methodology beginning in 2017. Prior periods have not been adjusted.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adoption, no other aspects of ASU 2016-09 had an effect on the Company's condensed consolidated financial statements or related footnote disclosures.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The guidance in ASU 2016-02 supersedes the lease recognition requirements in ASC Topic 840, Leases (FAS 13). ASU 2016-02 requires an entity to recognize assets and liabilities arising from a lease for both financing and operating leases, along with additional qualitative and quantitative disclosures. ASU 2016-02 will be applied on a modified retrospective basis and to each prior reporting period presented and is effective for fiscal years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 w:name="page23"/>
    <w:bookmarkEnd w:id="22"/>
    <w:p>
      <w:pPr>
        <w:ind w:right="220"/>
        <w:spacing w:after="0" w:line="282" w:lineRule="auto"/>
        <w:rPr>
          <w:sz w:val="20"/>
          <w:szCs w:val="20"/>
          <w:color w:val="auto"/>
        </w:rPr>
      </w:pPr>
      <w:r>
        <w:rPr>
          <w:rFonts w:ascii="Times New Roman" w:cs="Times New Roman" w:eastAsia="Times New Roman" w:hAnsi="Times New Roman"/>
          <w:sz w:val="18"/>
          <w:szCs w:val="18"/>
          <w:color w:val="auto"/>
        </w:rPr>
        <w:t>beginning after December 15, 2018, with early adoption permitted. The Company is currently evaluating the effect this standard will have on its condensed consolidated financial statements.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 clarify the principles of recognizing revenue and create common revenue recognition guidance between US GAAP and International Financial Reporting Standards. In March 2016, the FASB issued ASU 2016-08, Revenue from Contracts with Customers (Topic 606): Principal versus Agent Considerations (Reporting Revenue Gross versus Net). In April 2016, the FASB issued ASU 2016-10, Revenue from Contracts with Customers (Topic 606): Identifying Performance Obligations and Licensing. In May 2016, the FASB issued ASU 2016-12, Narrow-Scope Improvements and Practical Expedients. ASUs’ 2016-12, 2016-10 and 2016-08 all clarify the interpretation guidance in ASU No. 2014-09, “Revenue from Contracts with Customers” specifically related to narrowing specific aspects of Topic 606 and adding illustrative examples to assist in the application of the guidance. The effective date and transition requirements in ASUs’ 2016-12, 2016-10, and 2016-08 are the same as the effective date and transition requirements of ASU 2014-09. ASU 2015-14, Revenue from Contracts with Customers (Topic 606): Deferral of the Effective Date, defers the effective date of ASU 2014-09 by one year. The new standard allows for either a retrospective or modified retrospective approach to transition upon adoption. The new standard will be effective for annual reporting periods beginning after December 15, 2017. Early adoption is permitted for annual reporting periods beginning after December 15, 2016. The Company will adopt ASU 2014-09 as well as the clarified guidance in ASUs’ 2016-12, 2016-10, 2016-08 during the first quarter of 2018, as required, but is still evaluating its transition approach upon adoption. The Company is currently evaluating the impact of this new standard on its condensed consolidated financial statements. In 2017, the Company will continue to rewrite its revenue recognition accounting policy and draft new revenue disclosures to reflect the requirements of this standard. The Company also continues to evaluate the impact this guidance will have on our condensed consolidated financial statements including but not limited to review of its performance obligations in its fixed fee contracts.</w:t>
      </w:r>
    </w:p>
    <w:p>
      <w:pPr>
        <w:spacing w:after="0" w:line="22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the critical accounting policies and estimates as previously described in our Annual Report on Form 10-K for the fiscal year ended December 31, 2016.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compared to the quantitative and qualitative disclosures about market risk described in our Annual Report on Form 10-K for the fiscal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identified in connection with the evaluation of our internal control performed during the fiscal quarter ended March 31, 2017, that has materially affected, or is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incidental to our business. While the outcome of these matters could differ from management’s expectations, we do not believe that the resolution of these matters is reasonably likely to have a material adverse effect to our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the heading “Risk Factors” in our Annual Report on Form 10-K for the fiscal year ended December 31, 2016. There have been no significant changes from the risk factors previously disclosed in our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January 10, 2017, an employee exercised stock options granted under the 2014 Equity Incentive Plan to purchase a total of 1,851 shares of our common stock at a price of $16.21 per share for an aggregate purchase price of approximately $30,000.</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2, 2017, employees exercised stock options granted under the 2014 Equity Incentive Plan to purchase a 925 shares of our common stock at a price of $14.41 per share for an aggregate purchase price of approximately $13,300 and 277 shares of our common stock at a price of $16.21 per share for an aggregate purchase price of approximately $4,500.</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February 10, 2017, an employee exercised stock options granted under the 2014 Equity Incentive Plan to purchase a total of 1,000 shares of our common stock at a price of $14.41 per share for an aggregate purchase price of approximately $14,400.</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February 15, 2017, an employee exercised stock options granted under the 2014 Equity Incentive Plan to purchase a total of 1,851 shares of our common stock at a price of $16.21 per share for an aggregate purchase price of approximately $30,000.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21, 2017, employees exercised stock options granted under the 2014 Equity Incentive Plan to purchase a 1,500 shares of our common stock at a price of $14.41 per share for an aggregate purchase price of approximately $21,600 and 462 shares of our common stock at a price of $16.89 per share for an aggregate purchase price of approximately $7,800.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28, 2017, employees exercised stock options granted under the 2014 Equity Incentive Plan to purchase a 2,555 shares of our common stock at a price of $14.41 per share for an aggregate purchase price of approximately $36,800 and 832 shares of our common stock at a price of $16.21 per share for an aggregate purchase price of approximately $13,500.</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March 2, 2017, employees exercised stock options granted under the 2014 Equity Incentive Plan to purchase a 1,185 shares of our common stock at a price of $14.41 per share for an aggregate purchase price of approximately $17,100 and 250 shares of our common stock at a price of $16.21 per share for an aggregate purchase price of approximately $4,100.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exhibits in the accompanying Exhibit Index following the signature page are filed or furnished as a part of this report and are incorporated herein by reference.</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24" w:name="page25"/>
    <w:bookmarkEnd w:id="24"/>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MEDPACE HOLDINGS, INC.</w:t>
      </w:r>
    </w:p>
    <w:p>
      <w:pPr>
        <w:spacing w:after="0" w:line="25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Jesse J. Geiger</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Jesse J. Geiger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7"/>
          <w:szCs w:val="17"/>
          <w:i w:val="1"/>
          <w:iCs w:val="1"/>
          <w:color w:val="auto"/>
        </w:rPr>
        <w:t>Chief Financial Officer, and Chief Operating Officer, Laboratory</w:t>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i w:val="1"/>
          <w:iCs w:val="1"/>
          <w:color w:val="auto"/>
        </w:rPr>
        <w:t>Operations</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i w:val="1"/>
          <w:iCs w:val="1"/>
          <w:color w:val="auto"/>
        </w:rPr>
        <w:t>(Authorized Officer and Principal Financial Officer)</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May 2, 2017</w:t>
      </w:r>
    </w:p>
    <w:p>
      <w:pPr>
        <w:spacing w:after="0" w:line="200" w:lineRule="exact"/>
        <w:rPr>
          <w:sz w:val="20"/>
          <w:szCs w:val="20"/>
          <w:color w:val="auto"/>
        </w:rPr>
      </w:pPr>
    </w:p>
    <w:p>
      <w:pPr>
        <w:spacing w:after="0" w:line="28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240" w:top="117" w:right="67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Filed/</w:t>
            </w:r>
          </w:p>
        </w:tc>
        <w:tc>
          <w:tcPr>
            <w:tcW w:w="0" w:type="dxa"/>
            <w:vAlign w:val="bottom"/>
          </w:tcPr>
          <w:p>
            <w:pPr>
              <w:spacing w:after="0"/>
              <w:rPr>
                <w:sz w:val="1"/>
                <w:szCs w:val="1"/>
                <w:color w:val="auto"/>
              </w:rPr>
            </w:pPr>
          </w:p>
        </w:tc>
      </w:tr>
      <w:tr>
        <w:trPr>
          <w:trHeight w:val="158"/>
        </w:trPr>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Filing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Furnished</w:t>
            </w:r>
          </w:p>
        </w:tc>
        <w:tc>
          <w:tcPr>
            <w:tcW w:w="0" w:type="dxa"/>
            <w:vAlign w:val="bottom"/>
          </w:tcPr>
          <w:p>
            <w:pPr>
              <w:spacing w:after="0"/>
              <w:rPr>
                <w:sz w:val="1"/>
                <w:szCs w:val="1"/>
                <w:color w:val="auto"/>
              </w:rPr>
            </w:pPr>
          </w:p>
        </w:tc>
      </w:tr>
      <w:tr>
        <w:trPr>
          <w:trHeight w:val="227"/>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80" w:type="dxa"/>
            <w:vAlign w:val="bottom"/>
          </w:tcPr>
          <w:p>
            <w:pPr>
              <w:spacing w:after="0"/>
              <w:rPr>
                <w:sz w:val="19"/>
                <w:szCs w:val="19"/>
                <w:color w:val="auto"/>
              </w:rPr>
            </w:pPr>
          </w:p>
        </w:tc>
        <w:tc>
          <w:tcPr>
            <w:tcW w:w="41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120" w:type="dxa"/>
            <w:vAlign w:val="bottom"/>
          </w:tcPr>
          <w:p>
            <w:pPr>
              <w:spacing w:after="0"/>
              <w:rPr>
                <w:sz w:val="19"/>
                <w:szCs w:val="19"/>
                <w:color w:val="auto"/>
              </w:rPr>
            </w:pPr>
          </w:p>
        </w:tc>
        <w:tc>
          <w:tcPr>
            <w:tcW w:w="11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Form</w:t>
            </w:r>
          </w:p>
        </w:tc>
        <w:tc>
          <w:tcPr>
            <w:tcW w:w="140" w:type="dxa"/>
            <w:vAlign w:val="bottom"/>
          </w:tcPr>
          <w:p>
            <w:pPr>
              <w:spacing w:after="0"/>
              <w:rPr>
                <w:sz w:val="19"/>
                <w:szCs w:val="19"/>
                <w:color w:val="auto"/>
              </w:rPr>
            </w:pPr>
          </w:p>
        </w:tc>
        <w:tc>
          <w:tcPr>
            <w:tcW w:w="1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120" w:type="dxa"/>
            <w:vAlign w:val="bottom"/>
          </w:tcPr>
          <w:p>
            <w:pPr>
              <w:spacing w:after="0"/>
              <w:rPr>
                <w:sz w:val="19"/>
                <w:szCs w:val="19"/>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Herewith</w:t>
            </w: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1">
            <w:col w:w="11420"/>
          </w:cols>
          <w:pgMar w:left="240" w:top="117" w:right="239" w:bottom="1440" w:gutter="0" w:footer="0" w:header="0"/>
        </w:sectPr>
      </w:pPr>
    </w:p>
    <w:tbl>
      <w:tblPr>
        <w:tblLayout w:type="fixed"/>
        <w:tblInd w:w="0" w:type="dxa"/>
        <w:tblCellMar>
          <w:top w:w="0" w:type="dxa"/>
          <w:left w:w="0" w:type="dxa"/>
          <w:bottom w:w="0" w:type="dxa"/>
          <w:right w:w="0" w:type="dxa"/>
        </w:tblCellMar>
      </w:tblP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4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Rule 13a-14(a) / 15d-14(a) Certification of Chief Executive</w:t>
            </w:r>
          </w:p>
        </w:tc>
      </w:tr>
      <w:tr>
        <w:trPr>
          <w:trHeight w:val="222"/>
        </w:trPr>
        <w:tc>
          <w:tcPr>
            <w:tcW w:w="98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Officer</w:t>
            </w: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4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Rule 13a-14(a) / 15d-14(a) Certification of Chief Financial</w:t>
            </w:r>
          </w:p>
        </w:tc>
      </w:tr>
      <w:tr>
        <w:trPr>
          <w:trHeight w:val="222"/>
        </w:trPr>
        <w:tc>
          <w:tcPr>
            <w:tcW w:w="98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Officer</w:t>
            </w:r>
          </w:p>
        </w:tc>
      </w:tr>
      <w:tr>
        <w:trPr>
          <w:trHeight w:val="40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4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1350 Certification of Chief Executive Officer</w:t>
            </w:r>
          </w:p>
        </w:tc>
      </w:tr>
      <w:tr>
        <w:trPr>
          <w:trHeight w:val="40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4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1350 Certification of Chief Financial Officer</w:t>
            </w:r>
          </w:p>
        </w:tc>
      </w:tr>
      <w:tr>
        <w:trPr>
          <w:trHeight w:val="40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4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XBRL Instance Document</w:t>
            </w:r>
          </w:p>
        </w:tc>
      </w:tr>
      <w:tr>
        <w:trPr>
          <w:trHeight w:val="40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4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40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4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XBRL Taxonomy Calculation Linkbase Document</w:t>
            </w: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4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XBRL Taxonomy Extension Definition Linkbase</w:t>
            </w:r>
          </w:p>
        </w:tc>
      </w:tr>
      <w:tr>
        <w:trPr>
          <w:trHeight w:val="222"/>
        </w:trPr>
        <w:tc>
          <w:tcPr>
            <w:tcW w:w="98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Document</w:t>
            </w:r>
          </w:p>
        </w:tc>
      </w:tr>
      <w:tr>
        <w:trPr>
          <w:trHeight w:val="40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4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40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4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XBRL Taxonomy Extension Presentation</w:t>
            </w:r>
          </w:p>
        </w:tc>
      </w:tr>
    </w:tbl>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226" w:lineRule="exact"/>
        <w:rPr>
          <w:sz w:val="20"/>
          <w:szCs w:val="20"/>
          <w:color w:val="auto"/>
        </w:rPr>
      </w:pPr>
    </w:p>
    <w:p>
      <w:pPr>
        <w:sectPr>
          <w:pgSz w:w="11900" w:h="16838" w:orient="portrait"/>
          <w:cols w:equalWidth="0" w:num="2">
            <w:col w:w="10100" w:space="720"/>
            <w:col w:w="600"/>
          </w:cols>
          <w:pgMar w:left="240" w:top="117" w:right="239" w:bottom="1440" w:gutter="0" w:footer="0" w:header="0"/>
          <w:type w:val="continuous"/>
        </w:sect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- 26 -</w:t>
      </w:r>
    </w:p>
    <w:p>
      <w:pPr>
        <w:sectPr>
          <w:pgSz w:w="11900" w:h="16838" w:orient="portrait"/>
          <w:cols w:equalWidth="0" w:num="1">
            <w:col w:w="11420"/>
          </w:cols>
          <w:pgMar w:left="240" w:top="117" w:right="239" w:bottom="1440" w:gutter="0" w:footer="0" w:header="0"/>
          <w:type w:val="continuous"/>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August J. Troendle, certify that:</w:t>
      </w:r>
    </w:p>
    <w:p>
      <w:pPr>
        <w:spacing w:after="0" w:line="77" w:lineRule="exact"/>
        <w:rPr>
          <w:sz w:val="20"/>
          <w:szCs w:val="20"/>
          <w:color w:val="auto"/>
        </w:rPr>
      </w:pPr>
    </w:p>
    <w:p>
      <w:pPr>
        <w:ind w:left="540" w:hanging="532"/>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Medpace Holdings, Inc.;</w:t>
      </w:r>
    </w:p>
    <w:p>
      <w:pPr>
        <w:spacing w:after="0" w:line="76" w:lineRule="exact"/>
        <w:rPr>
          <w:rFonts w:ascii="Times New Roman" w:cs="Times New Roman" w:eastAsia="Times New Roman" w:hAnsi="Times New Roman"/>
          <w:sz w:val="18"/>
          <w:szCs w:val="18"/>
          <w:color w:val="auto"/>
        </w:rPr>
      </w:pPr>
    </w:p>
    <w:p>
      <w:pPr>
        <w:jc w:val="both"/>
        <w:ind w:left="540" w:right="420" w:hanging="532"/>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540" w:right="380" w:hanging="532"/>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540" w:right="600" w:hanging="532"/>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 w:lineRule="exact"/>
        <w:rPr>
          <w:rFonts w:ascii="Times New Roman" w:cs="Times New Roman" w:eastAsia="Times New Roman" w:hAnsi="Times New Roman"/>
          <w:sz w:val="18"/>
          <w:szCs w:val="18"/>
          <w:color w:val="auto"/>
        </w:rPr>
      </w:pPr>
    </w:p>
    <w:p>
      <w:pPr>
        <w:ind w:left="1000" w:right="200" w:hanging="519"/>
        <w:spacing w:after="0" w:line="266"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000" w:hanging="519"/>
        <w:spacing w:after="0"/>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76" w:lineRule="exact"/>
        <w:rPr>
          <w:rFonts w:ascii="Times New Roman" w:cs="Times New Roman" w:eastAsia="Times New Roman" w:hAnsi="Times New Roman"/>
          <w:sz w:val="18"/>
          <w:szCs w:val="18"/>
          <w:color w:val="auto"/>
        </w:rPr>
      </w:pPr>
    </w:p>
    <w:p>
      <w:pPr>
        <w:jc w:val="both"/>
        <w:ind w:left="1000" w:right="680" w:hanging="519"/>
        <w:spacing w:after="0" w:line="282"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ind w:left="1000" w:right="200" w:hanging="519"/>
        <w:spacing w:after="0" w:line="266"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left="540" w:right="300" w:hanging="532"/>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000" w:right="100" w:hanging="519"/>
        <w:spacing w:after="0" w:line="282"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000" w:right="60" w:hanging="519"/>
        <w:spacing w:after="0" w:line="282"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2017</w:t>
      </w:r>
    </w:p>
    <w:p>
      <w:pPr>
        <w:spacing w:after="0" w:line="252"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/s/ August J. Troendle</w:t>
      </w:r>
    </w:p>
    <w:p>
      <w:pPr>
        <w:spacing w:after="0" w:line="2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Dr. August J. Troendle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-130810</wp:posOffset>
            </wp:positionV>
            <wp:extent cx="24701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w:t>
      </w:r>
    </w:p>
    <w:p>
      <w:pPr>
        <w:spacing w:after="0" w:line="9"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i w:val="1"/>
          <w:iCs w:val="1"/>
          <w:color w:val="auto"/>
        </w:rPr>
        <w:t>the Board of Directors</w:t>
      </w:r>
    </w:p>
    <w:p>
      <w:pPr>
        <w:spacing w:after="0" w:line="9"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347"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Jesse Geiger, certify that:</w:t>
      </w:r>
    </w:p>
    <w:p>
      <w:pPr>
        <w:spacing w:after="0" w:line="77" w:lineRule="exact"/>
        <w:rPr>
          <w:sz w:val="20"/>
          <w:szCs w:val="20"/>
          <w:color w:val="auto"/>
        </w:rPr>
      </w:pPr>
    </w:p>
    <w:p>
      <w:pPr>
        <w:ind w:left="540" w:hanging="532"/>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Medpace Holdings, Inc.;</w:t>
      </w:r>
    </w:p>
    <w:p>
      <w:pPr>
        <w:spacing w:after="0" w:line="76" w:lineRule="exact"/>
        <w:rPr>
          <w:rFonts w:ascii="Times New Roman" w:cs="Times New Roman" w:eastAsia="Times New Roman" w:hAnsi="Times New Roman"/>
          <w:sz w:val="18"/>
          <w:szCs w:val="18"/>
          <w:color w:val="auto"/>
        </w:rPr>
      </w:pPr>
    </w:p>
    <w:p>
      <w:pPr>
        <w:jc w:val="both"/>
        <w:ind w:left="540" w:right="420" w:hanging="532"/>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540" w:right="380" w:hanging="532"/>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540" w:right="600" w:hanging="532"/>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 w:lineRule="exact"/>
        <w:rPr>
          <w:rFonts w:ascii="Times New Roman" w:cs="Times New Roman" w:eastAsia="Times New Roman" w:hAnsi="Times New Roman"/>
          <w:sz w:val="18"/>
          <w:szCs w:val="18"/>
          <w:color w:val="auto"/>
        </w:rPr>
      </w:pPr>
    </w:p>
    <w:p>
      <w:pPr>
        <w:ind w:left="1000" w:right="200" w:hanging="519"/>
        <w:spacing w:after="0" w:line="266" w:lineRule="auto"/>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000" w:hanging="519"/>
        <w:spacing w:after="0"/>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76" w:lineRule="exact"/>
        <w:rPr>
          <w:rFonts w:ascii="Times New Roman" w:cs="Times New Roman" w:eastAsia="Times New Roman" w:hAnsi="Times New Roman"/>
          <w:sz w:val="18"/>
          <w:szCs w:val="18"/>
          <w:color w:val="auto"/>
        </w:rPr>
      </w:pPr>
    </w:p>
    <w:p>
      <w:pPr>
        <w:jc w:val="both"/>
        <w:ind w:left="1000" w:right="680" w:hanging="519"/>
        <w:spacing w:after="0" w:line="282" w:lineRule="auto"/>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ind w:left="1000" w:right="200" w:hanging="519"/>
        <w:spacing w:after="0" w:line="266" w:lineRule="auto"/>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left="540" w:right="300" w:hanging="532"/>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000" w:right="100" w:hanging="519"/>
        <w:spacing w:after="0" w:line="282" w:lineRule="auto"/>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000" w:right="60" w:hanging="519"/>
        <w:spacing w:after="0" w:line="282" w:lineRule="auto"/>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2017</w:t>
      </w:r>
    </w:p>
    <w:p>
      <w:pPr>
        <w:spacing w:after="0" w:line="252"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/s/ Jesse Geiger</w:t>
      </w:r>
    </w:p>
    <w:p>
      <w:pPr>
        <w:spacing w:after="0" w:line="27"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Jesse Geiger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-130810</wp:posOffset>
            </wp:positionV>
            <wp:extent cx="2470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Chief Financial Officer and Chief Operating Officer,</w:t>
      </w:r>
    </w:p>
    <w:p>
      <w:pPr>
        <w:spacing w:after="0" w:line="9"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i w:val="1"/>
          <w:iCs w:val="1"/>
          <w:color w:val="auto"/>
        </w:rPr>
        <w:t>Laboratory Operations</w:t>
      </w:r>
    </w:p>
    <w:p>
      <w:pPr>
        <w:spacing w:after="0" w:line="9"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347"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Medpace Holdings, Inc. (the “Company”) on Form 10-Q for the quarter ended March 31, 2017 filed with the Securities and Exchange Commission on the date hereof (the “Report”), I, Dr. August J. Troendle, President, Chief Executive Officer and Chairman of the Board of Directors of the Company, do hereby certify, pursuant to 18 U.S.C. Section 1350, as adopted pursuant to Section 906 of the Sarbanes-Oxley Act of 2002, that:</w:t>
      </w:r>
    </w:p>
    <w:p>
      <w:pPr>
        <w:spacing w:after="0" w:line="72"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2017</w:t>
      </w:r>
    </w:p>
    <w:p>
      <w:pPr>
        <w:spacing w:after="0" w:line="252" w:lineRule="exact"/>
        <w:rPr>
          <w:sz w:val="20"/>
          <w:szCs w:val="20"/>
          <w:color w:val="auto"/>
        </w:rPr>
      </w:pPr>
    </w:p>
    <w:tbl>
      <w:tblPr>
        <w:tblLayout w:type="fixed"/>
        <w:tblInd w:w="6280" w:type="dxa"/>
        <w:tblCellMar>
          <w:top w:w="0" w:type="dxa"/>
          <w:left w:w="0" w:type="dxa"/>
          <w:bottom w:w="0" w:type="dxa"/>
          <w:right w:w="0" w:type="dxa"/>
        </w:tblCellMar>
      </w:tblPr>
      <w:tr>
        <w:trPr>
          <w:trHeight w:val="241"/>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August J. Troendle</w:t>
            </w:r>
          </w:p>
        </w:tc>
      </w:tr>
      <w:tr>
        <w:trPr>
          <w:trHeight w:val="209"/>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Dr. August J. Troendle</w:t>
            </w:r>
          </w:p>
        </w:tc>
      </w:tr>
      <w:tr>
        <w:trPr>
          <w:trHeight w:val="216"/>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w:t>
            </w:r>
          </w:p>
        </w:tc>
      </w:tr>
      <w:tr>
        <w:trPr>
          <w:trHeight w:val="218"/>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tc>
      </w:tr>
      <w:tr>
        <w:trPr>
          <w:trHeight w:val="234"/>
        </w:trPr>
        <w:tc>
          <w:tcPr>
            <w:tcW w:w="6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347"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Medpace Holdings, Inc. (the “Company”) on Form 10-Q for the quarter ended March 31, 2017 filed with the Securities and Exchange Commission on the date hereof (the “Report”), I, Jesse Geiger, Chief Financial Officer and Chief Operating Officer, Laboratory Operations of the Company, do hereby certify, pursuant to 18 U.S.C. Section 1350, as adopted pursuant to Section 906 of the Sarbanes-Oxley Act of 2002, that:</w:t>
      </w:r>
    </w:p>
    <w:p>
      <w:pPr>
        <w:spacing w:after="0" w:line="72" w:lineRule="exact"/>
        <w:rPr>
          <w:sz w:val="20"/>
          <w:szCs w:val="20"/>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2017</w:t>
      </w:r>
    </w:p>
    <w:p>
      <w:pPr>
        <w:spacing w:after="0" w:line="252" w:lineRule="exact"/>
        <w:rPr>
          <w:sz w:val="20"/>
          <w:szCs w:val="20"/>
          <w:color w:val="auto"/>
        </w:rPr>
      </w:pPr>
    </w:p>
    <w:tbl>
      <w:tblPr>
        <w:tblLayout w:type="fixed"/>
        <w:tblInd w:w="6280" w:type="dxa"/>
        <w:tblCellMar>
          <w:top w:w="0" w:type="dxa"/>
          <w:left w:w="0" w:type="dxa"/>
          <w:bottom w:w="0" w:type="dxa"/>
          <w:right w:w="0" w:type="dxa"/>
        </w:tblCellMar>
      </w:tblPr>
      <w:tr>
        <w:trPr>
          <w:trHeight w:val="241"/>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Geiger</w:t>
            </w:r>
          </w:p>
        </w:tc>
      </w:tr>
      <w:tr>
        <w:trPr>
          <w:trHeight w:val="209"/>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Jesse Geiger</w:t>
            </w:r>
          </w:p>
        </w:tc>
      </w:tr>
      <w:tr>
        <w:trPr>
          <w:trHeight w:val="216"/>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Chief Operating Officer,</w:t>
            </w:r>
          </w:p>
        </w:tc>
      </w:tr>
      <w:tr>
        <w:trPr>
          <w:trHeight w:val="218"/>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Laboratory Operations</w:t>
            </w:r>
          </w:p>
        </w:tc>
      </w:tr>
      <w:tr>
        <w:trPr>
          <w:trHeight w:val="234"/>
        </w:trPr>
        <w:tc>
          <w:tcPr>
            <w:tcW w:w="6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3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2019-12-29T06:28:04Z</dcterms:created>
  <dcterms:modified xsi:type="dcterms:W3CDTF">2019-12-29T06:28:04Z</dcterms:modified>
</cp:coreProperties>
</file>