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5943.xml.htm"/>
      <w:bookmarkStart w:id="1" w:name="kswkform4_17909759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McCarthy Cornelius P.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MEDPACE HOLDINGS,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5375 MEDPACE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CINCINNATI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Medpace Holdings, Inc.</w:t>
              </w:r>
            </w:hyperlink>
            <w:r>
              <w:rPr/>
              <w:t xml:space="preserve"> [ </w:t>
            </w:r>
            <w:r>
              <w:rPr>
                <w:rFonts w:ascii="Times;serif" w:hAnsi="Times;serif"/>
                <w:color w:val="0000FF"/>
                <w:sz w:val="24"/>
                <w:shd w:fill="FFFFFF" w:val="clear"/>
              </w:rPr>
              <w:t>MEDP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12,303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52"/>
        <w:gridCol w:w="44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5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4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MEDP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November 28, 2025, the Reporting Person was granted 113 restricted stock units vesting in four approximately equal installments on March 31, 2026, June 30, 2026, September 30, 2026 and December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P. Ewald, Attorney-in-Fact for Cornelius P. McCarthy III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0355" TargetMode="External"/><Relationship Id="rId5" Type="http://schemas.openxmlformats.org/officeDocument/2006/relationships/hyperlink" Target="http://www.sec.gov/cgi-bin/browse-edgar?action=getcompany&amp;CIK=00016683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637</Words>
  <Characters>3430</Characters>
  <CharactersWithSpaces>3986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