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60"/>
        <w:spacing w:after="0"/>
        <w:tabs>
          <w:tab w:leader="none" w:pos="6760" w:val="left"/>
          <w:tab w:leader="none" w:pos="7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Medpace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p>
      <w:pPr>
        <w:spacing w:after="0" w:line="273" w:lineRule="exact"/>
        <w:rPr>
          <w:sz w:val="24"/>
          <w:szCs w:val="24"/>
          <w:color w:val="auto"/>
        </w:rPr>
      </w:pPr>
    </w:p>
    <w:p>
      <w:pPr>
        <w:ind w:left="28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32-0434904</w:t>
      </w:r>
    </w:p>
    <w:p>
      <w:pPr>
        <w:spacing w:after="0" w:line="31" w:lineRule="exact"/>
        <w:rPr>
          <w:sz w:val="24"/>
          <w:szCs w:val="24"/>
          <w:color w:val="auto"/>
        </w:rPr>
      </w:pPr>
    </w:p>
    <w:p>
      <w:pPr>
        <w:sectPr>
          <w:pgSz w:w="11900" w:h="16838" w:orient="portrait"/>
          <w:cols w:equalWidth="0" w:num="2">
            <w:col w:w="7080" w:space="720"/>
            <w:col w:w="3640"/>
          </w:cols>
          <w:pgMar w:left="240" w:top="328" w:right="219" w:bottom="1440" w:gutter="0" w:footer="0" w:header="0"/>
          <w:type w:val="continuous"/>
        </w:sectPr>
      </w:pPr>
    </w:p>
    <w:p>
      <w:pPr>
        <w:spacing w:after="0" w:line="12" w:lineRule="exact"/>
        <w:rPr>
          <w:sz w:val="24"/>
          <w:szCs w:val="24"/>
          <w:color w:val="auto"/>
        </w:rPr>
      </w:pPr>
    </w:p>
    <w:p>
      <w:pPr>
        <w:ind w:left="2280"/>
        <w:spacing w:after="0"/>
        <w:rPr>
          <w:sz w:val="20"/>
          <w:szCs w:val="20"/>
          <w:color w:val="auto"/>
        </w:rPr>
      </w:pPr>
      <w:r>
        <w:rPr>
          <w:rFonts w:ascii="Arial" w:cs="Arial" w:eastAsia="Arial" w:hAnsi="Arial"/>
          <w:sz w:val="13"/>
          <w:szCs w:val="13"/>
          <w:b w:val="1"/>
          <w:bCs w:val="1"/>
          <w:color w:val="auto"/>
        </w:rPr>
        <w:t>(State or other jurisdiction of</w:t>
      </w:r>
    </w:p>
    <w:p>
      <w:pPr>
        <w:ind w:left="22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6940" w:space="720"/>
            <w:col w:w="3780"/>
          </w:cols>
          <w:pgMar w:left="240" w:top="328" w:right="2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5375 Medpace Way, Cincinnati, OH 45227</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(513) 579-9911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type w:val="continuous"/>
        </w:sectPr>
      </w:pPr>
    </w:p>
    <w:p>
      <w:pPr>
        <w:spacing w:after="0" w:line="260" w:lineRule="exact"/>
        <w:rPr>
          <w:sz w:val="24"/>
          <w:szCs w:val="24"/>
          <w:color w:val="auto"/>
        </w:rPr>
      </w:pPr>
    </w:p>
    <w:p>
      <w:pPr>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spacing w:after="0"/>
              <w:rPr>
                <w:sz w:val="19"/>
                <w:szCs w:val="19"/>
                <w:color w:val="auto"/>
              </w:rPr>
            </w:pPr>
          </w:p>
        </w:tc>
        <w:tc>
          <w:tcPr>
            <w:tcW w:w="326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(Do not check if a smaller reporting company)</w:t>
            </w:r>
          </w:p>
        </w:tc>
        <w:tc>
          <w:tcPr>
            <w:tcW w:w="3260" w:type="dxa"/>
            <w:vAlign w:val="bottom"/>
          </w:tcPr>
          <w:p>
            <w:pPr>
              <w:ind w:left="10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9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7540" w:type="dxa"/>
            <w:vAlign w:val="bottom"/>
            <w:gridSpan w:val="4"/>
          </w:tcPr>
          <w:p>
            <w:pPr>
              <w:spacing w:after="0"/>
              <w:rPr>
                <w:sz w:val="20"/>
                <w:szCs w:val="20"/>
                <w:color w:val="auto"/>
              </w:rPr>
            </w:pPr>
            <w:r>
              <w:rPr>
                <w:rFonts w:ascii="Arial" w:cs="Arial" w:eastAsia="Arial" w:hAnsi="Arial"/>
                <w:sz w:val="18"/>
                <w:szCs w:val="18"/>
                <w:color w:val="auto"/>
                <w:w w:val="92"/>
              </w:rPr>
              <w:t>new or revised financial accounting standards provided pursuant to Section 13(a) of the Exchange Act.</w:t>
            </w:r>
          </w:p>
        </w:tc>
        <w:tc>
          <w:tcPr>
            <w:tcW w:w="38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11400" w:type="dxa"/>
            <w:vAlign w:val="bottom"/>
            <w:gridSpan w:val="4"/>
          </w:tcPr>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1400" w:type="dxa"/>
            <w:vAlign w:val="bottom"/>
            <w:gridSpan w:val="4"/>
          </w:tcPr>
          <w:p>
            <w:pPr>
              <w:ind w:left="5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Class</w:t>
            </w:r>
          </w:p>
        </w:tc>
        <w:tc>
          <w:tcPr>
            <w:tcW w:w="1720" w:type="dxa"/>
            <w:vAlign w:val="bottom"/>
          </w:tcPr>
          <w:p>
            <w:pPr>
              <w:spacing w:after="0"/>
              <w:rPr>
                <w:sz w:val="23"/>
                <w:szCs w:val="23"/>
                <w:color w:val="auto"/>
              </w:rPr>
            </w:pPr>
          </w:p>
        </w:tc>
        <w:tc>
          <w:tcPr>
            <w:tcW w:w="3880" w:type="dxa"/>
            <w:vAlign w:val="bottom"/>
          </w:tcPr>
          <w:p>
            <w:pPr>
              <w:jc w:val="center"/>
              <w:ind w:right="1639"/>
              <w:spacing w:after="0"/>
              <w:rPr>
                <w:sz w:val="20"/>
                <w:szCs w:val="20"/>
                <w:color w:val="auto"/>
              </w:rPr>
            </w:pPr>
            <w:r>
              <w:rPr>
                <w:rFonts w:ascii="Arial" w:cs="Arial" w:eastAsia="Arial" w:hAnsi="Arial"/>
                <w:sz w:val="14"/>
                <w:szCs w:val="14"/>
                <w:b w:val="1"/>
                <w:bCs w:val="1"/>
                <w:color w:val="auto"/>
                <w:w w:val="92"/>
              </w:rPr>
              <w:t>Number of Shares Outstanding</w:t>
            </w:r>
          </w:p>
        </w:tc>
        <w:tc>
          <w:tcPr>
            <w:tcW w:w="20" w:type="dxa"/>
            <w:vAlign w:val="bottom"/>
          </w:tcPr>
          <w:p>
            <w:pPr>
              <w:spacing w:after="0"/>
              <w:rPr>
                <w:sz w:val="23"/>
                <w:szCs w:val="23"/>
                <w:color w:val="auto"/>
              </w:rPr>
            </w:pPr>
          </w:p>
        </w:tc>
      </w:tr>
      <w:tr>
        <w:trPr>
          <w:trHeight w:val="228"/>
        </w:trPr>
        <w:tc>
          <w:tcPr>
            <w:tcW w:w="20" w:type="dxa"/>
            <w:vAlign w:val="bottom"/>
          </w:tcPr>
          <w:p>
            <w:pPr>
              <w:spacing w:after="0"/>
              <w:rPr>
                <w:sz w:val="19"/>
                <w:szCs w:val="19"/>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00" w:type="dxa"/>
            <w:vAlign w:val="bottom"/>
          </w:tcPr>
          <w:p>
            <w:pPr>
              <w:spacing w:after="0"/>
              <w:rPr>
                <w:sz w:val="19"/>
                <w:szCs w:val="19"/>
                <w:color w:val="auto"/>
              </w:rPr>
            </w:pPr>
          </w:p>
        </w:tc>
        <w:tc>
          <w:tcPr>
            <w:tcW w:w="56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37,606,244 shares outstanding as of October 27, 2017</w:t>
            </w:r>
          </w:p>
        </w:tc>
        <w:tc>
          <w:tcPr>
            <w:tcW w:w="20" w:type="dxa"/>
            <w:vAlign w:val="bottom"/>
          </w:tcPr>
          <w:p>
            <w:pPr>
              <w:spacing w:after="0"/>
              <w:rPr>
                <w:sz w:val="19"/>
                <w:szCs w:val="19"/>
                <w:color w:val="auto"/>
              </w:rPr>
            </w:pPr>
          </w:p>
        </w:tc>
      </w:tr>
      <w:tr>
        <w:trPr>
          <w:trHeight w:val="117"/>
        </w:trPr>
        <w:tc>
          <w:tcPr>
            <w:tcW w:w="20" w:type="dxa"/>
            <w:vAlign w:val="bottom"/>
          </w:tcPr>
          <w:p>
            <w:pPr>
              <w:spacing w:after="0"/>
              <w:rPr>
                <w:sz w:val="10"/>
                <w:szCs w:val="10"/>
                <w:color w:val="auto"/>
              </w:rPr>
            </w:pPr>
          </w:p>
        </w:tc>
        <w:tc>
          <w:tcPr>
            <w:tcW w:w="5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QUARTERLY PERIOD ENDED SEPTEMBER 30, 2017</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Item Number</w:t>
            </w:r>
          </w:p>
        </w:tc>
        <w:tc>
          <w:tcPr>
            <w:tcW w:w="3240" w:type="dxa"/>
            <w:vAlign w:val="bottom"/>
            <w:gridSpan w:val="1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560" w:type="dxa"/>
            <w:vAlign w:val="bottom"/>
            <w:gridSpan w:val="9"/>
            <w:vMerge w:val="restart"/>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7"/>
        </w:trPr>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40" w:type="dxa"/>
            <w:vAlign w:val="bottom"/>
            <w:tcBorders>
              <w:bottom w:val="single" w:sz="8" w:color="0000EE"/>
            </w:tcBorders>
            <w:gridSpan w:val="12"/>
            <w:vMerge w:val="continue"/>
          </w:tcPr>
          <w:p>
            <w:pPr>
              <w:spacing w:after="0"/>
              <w:rPr>
                <w:sz w:val="14"/>
                <w:szCs w:val="14"/>
                <w:color w:val="auto"/>
              </w:rPr>
            </w:pPr>
          </w:p>
        </w:tc>
        <w:tc>
          <w:tcPr>
            <w:tcW w:w="6560" w:type="dxa"/>
            <w:vAlign w:val="bottom"/>
            <w:gridSpan w:val="9"/>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42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2017 and December 31, 2016</w:t>
              </w:r>
            </w:hyperlink>
          </w:p>
        </w:tc>
        <w:tc>
          <w:tcPr>
            <w:tcW w:w="3220" w:type="dxa"/>
            <w:vAlign w:val="bottom"/>
            <w:gridSpan w:val="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2017 and 2016</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2017 and 2016</w:t>
              </w:r>
            </w:hyperlink>
          </w:p>
        </w:tc>
        <w:tc>
          <w:tcPr>
            <w:tcW w:w="38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2017 and 2016</w:t>
              </w:r>
            </w:hyperlink>
          </w:p>
        </w:tc>
        <w:tc>
          <w:tcPr>
            <w:tcW w:w="1960" w:type="dxa"/>
            <w:vAlign w:val="bottom"/>
            <w:gridSpan w:val="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800" w:type="dxa"/>
            <w:vAlign w:val="bottom"/>
            <w:gridSpan w:val="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440" w:type="dxa"/>
            <w:vAlign w:val="bottom"/>
            <w:gridSpan w:val="6"/>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8020" w:type="dxa"/>
            <w:vAlign w:val="bottom"/>
            <w:gridSpan w:val="1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6860" w:type="dxa"/>
            <w:vAlign w:val="bottom"/>
            <w:gridSpan w:val="10"/>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460" w:type="dxa"/>
            <w:vAlign w:val="bottom"/>
            <w:gridSpan w:val="1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980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5460" w:type="dxa"/>
            <w:vAlign w:val="bottom"/>
            <w:gridSpan w:val="7"/>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7480" w:type="dxa"/>
            <w:vAlign w:val="bottom"/>
            <w:gridSpan w:val="1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8040" w:type="dxa"/>
            <w:vAlign w:val="bottom"/>
            <w:gridSpan w:val="1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9200" w:type="dxa"/>
            <w:vAlign w:val="bottom"/>
            <w:gridSpan w:val="1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74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 INDEX</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9420" w:type="dxa"/>
            <w:vAlign w:val="bottom"/>
            <w:gridSpan w:val="19"/>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69"/>
        </w:trPr>
        <w:tc>
          <w:tcPr>
            <w:tcW w:w="2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300" w:type="dxa"/>
            <w:vAlign w:val="bottom"/>
            <w:gridSpan w:val="15"/>
          </w:tcPr>
          <w:p>
            <w:pPr>
              <w:jc w:val="right"/>
              <w:ind w:right="1760"/>
              <w:spacing w:after="0"/>
              <w:rPr>
                <w:sz w:val="20"/>
                <w:szCs w:val="20"/>
                <w:color w:val="auto"/>
              </w:rPr>
            </w:pPr>
            <w:r>
              <w:rPr>
                <w:rFonts w:ascii="Arial" w:cs="Arial" w:eastAsia="Arial" w:hAnsi="Arial"/>
                <w:sz w:val="18"/>
                <w:szCs w:val="18"/>
                <w:color w:val="auto"/>
              </w:rPr>
              <w:t>- 2 -</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 except share amounts)</w:t>
            </w:r>
          </w:p>
        </w:tc>
        <w:tc>
          <w:tcPr>
            <w:tcW w:w="200" w:type="dxa"/>
            <w:vAlign w:val="bottom"/>
          </w:tcPr>
          <w:p>
            <w:pPr>
              <w:spacing w:after="0"/>
              <w:rPr>
                <w:sz w:val="14"/>
                <w:szCs w:val="14"/>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Accounts receivable and unbilled, net (includes $0.8 million and $2.3 million with related parties at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September 30, 2017 and December 31, 2016, respectively)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108,234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948,876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979,105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9,972</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tcPr>
          <w:p>
            <w:pPr>
              <w:ind w:left="260"/>
              <w:spacing w:after="0"/>
              <w:rPr>
                <w:sz w:val="20"/>
                <w:szCs w:val="20"/>
                <w:color w:val="auto"/>
              </w:rPr>
            </w:pPr>
            <w:r>
              <w:rPr>
                <w:rFonts w:ascii="Arial" w:cs="Arial" w:eastAsia="Arial" w:hAnsi="Arial"/>
                <w:sz w:val="18"/>
                <w:szCs w:val="18"/>
                <w:color w:val="auto"/>
                <w:w w:val="97"/>
              </w:rPr>
              <w:t>Pre-funded study costs (includes $1.5 million and $3.9 million with related parties at September 30,</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360"/>
              <w:spacing w:after="0"/>
              <w:rPr>
                <w:sz w:val="20"/>
                <w:szCs w:val="20"/>
                <w:color w:val="auto"/>
              </w:rPr>
            </w:pPr>
            <w:r>
              <w:rPr>
                <w:rFonts w:ascii="Arial" w:cs="Arial" w:eastAsia="Arial" w:hAnsi="Arial"/>
                <w:sz w:val="18"/>
                <w:szCs w:val="18"/>
                <w:color w:val="auto"/>
              </w:rPr>
              <w:t>2017 and December 31, 2016, respectively)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53,246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Advanced billings (includes $2.7 million and $7.6 million with related parties at September 30, 2017</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2016, respectively)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68,341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172,363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less current portion</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Deemed landlord liability, less current portion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Deferred credit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7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398,626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(see Note 11)</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Preferred stock - $0.01 par-value; 5,000,000 shares authorized; no shares issued and outstanding at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September 30, 2017 and December 31, 2016, respectively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20" w:type="dxa"/>
            <w:vAlign w:val="bottom"/>
          </w:tcPr>
          <w:p>
            <w:pPr>
              <w:ind w:left="260"/>
              <w:spacing w:after="0"/>
              <w:rPr>
                <w:sz w:val="20"/>
                <w:szCs w:val="20"/>
                <w:color w:val="auto"/>
              </w:rPr>
            </w:pPr>
            <w:r>
              <w:rPr>
                <w:rFonts w:ascii="Arial" w:cs="Arial" w:eastAsia="Arial" w:hAnsi="Arial"/>
                <w:sz w:val="18"/>
                <w:szCs w:val="18"/>
                <w:color w:val="auto"/>
                <w:w w:val="91"/>
              </w:rPr>
              <w:t>Common stock - $0.01 par-value; 250,000,000 shares authorized at September 30, 2017 and December</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60"/>
              <w:spacing w:after="0"/>
              <w:rPr>
                <w:sz w:val="20"/>
                <w:szCs w:val="20"/>
                <w:color w:val="auto"/>
              </w:rPr>
            </w:pPr>
            <w:r>
              <w:rPr>
                <w:rFonts w:ascii="Arial" w:cs="Arial" w:eastAsia="Arial" w:hAnsi="Arial"/>
                <w:sz w:val="18"/>
                <w:szCs w:val="18"/>
                <w:color w:val="auto"/>
                <w:w w:val="95"/>
              </w:rPr>
              <w:t>31, 2016, respectively; 37,403,764 and 40,662,856 shares issued and outstanding at September 30,</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2017 and December 31, 2016, respectively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(77,420)</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(9,584)</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(1,263)</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550,250</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948,876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979,105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 except per share amounts)</w:t>
            </w: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260"/>
              <w:spacing w:after="0"/>
              <w:rPr>
                <w:sz w:val="20"/>
                <w:szCs w:val="20"/>
                <w:color w:val="auto"/>
              </w:rPr>
            </w:pPr>
            <w:r>
              <w:rPr>
                <w:rFonts w:ascii="Arial" w:cs="Arial" w:eastAsia="Arial" w:hAnsi="Arial"/>
                <w:sz w:val="18"/>
                <w:szCs w:val="18"/>
                <w:color w:val="auto"/>
              </w:rPr>
              <w:t>Service revenue, net (includes $2.0 million and $6.9 million with related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parties for the three months ended September 30, 2017 and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w w:val="95"/>
              </w:rPr>
              <w:t>respectively, and $8.9 million and $19.3 million with related parties for the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nine months ended September 30, 2017 and 2016, respectively)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98,681</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94,812</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287,014</w:t>
            </w:r>
          </w:p>
        </w:tc>
        <w:tc>
          <w:tcPr>
            <w:tcW w:w="160" w:type="dxa"/>
            <w:vAlign w:val="bottom"/>
          </w:tcPr>
          <w:p>
            <w:pPr>
              <w:spacing w:after="0"/>
              <w:rPr>
                <w:sz w:val="20"/>
                <w:szCs w:val="20"/>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Reimbursed out-of-pocket revenue (includes $0.2 million and $1.4 million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6"/>
              </w:rPr>
              <w:t>with related parties for the three months ended September 30, 2017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8"/>
              </w:rPr>
              <w:t>2016, respectively, and $1.3 million and $4.3 million with related parties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8"/>
              </w:rPr>
              <w:t>for the nine months ended September 30, 2017 and 2016, respectively)</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11,962</w:t>
            </w:r>
          </w:p>
        </w:tc>
        <w:tc>
          <w:tcPr>
            <w:tcW w:w="24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2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110,643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323,470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Direct costs, excluding 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53,144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Reimbursed out-of-pocket expenses (includes $0.2 million and $1.4 million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6"/>
              </w:rPr>
              <w:t>with related parties for the three months ended September 30, 2017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8"/>
              </w:rPr>
              <w:t>2016, respectively, and $1.3 million and $4.3 million with related parties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8"/>
              </w:rPr>
              <w:t>for the nine months ended September 30, 2017 and 2016, respectively)</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11,962</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16,606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16,391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93,445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95,182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274,049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17,198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Miscellaneous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(1,906)</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(4,656)</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(16,550)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27,831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shareholders: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38,579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40" w:type="dxa"/>
            <w:vAlign w:val="bottom"/>
          </w:tcPr>
          <w:p>
            <w:pPr>
              <w:spacing w:after="0"/>
              <w:rPr>
                <w:sz w:val="14"/>
                <w:szCs w:val="14"/>
                <w:color w:val="auto"/>
              </w:rPr>
            </w:pPr>
          </w:p>
        </w:tc>
        <w:tc>
          <w:tcPr>
            <w:tcW w:w="188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5,036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5,212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9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27,831</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13,446</w:t>
            </w:r>
          </w:p>
        </w:tc>
        <w:tc>
          <w:tcPr>
            <w:tcW w:w="120" w:type="dxa"/>
            <w:vAlign w:val="bottom"/>
          </w:tcPr>
          <w:p>
            <w:pPr>
              <w:spacing w:after="0"/>
              <w:rPr>
                <w:sz w:val="19"/>
                <w:szCs w:val="19"/>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6,468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38,004</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and discount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(615)</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w:t>
            </w: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and unbilled, net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(16,606)</w:t>
            </w: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(8,733)</w:t>
            </w: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(467)</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(943)</w:t>
            </w: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(4,840)</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Pre-funded study costs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6,810</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Advanced billings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16,560</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liabilities, net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(2,368)</w:t>
            </w:r>
          </w:p>
        </w:tc>
      </w:tr>
      <w:tr>
        <w:trPr>
          <w:trHeight w:val="223"/>
        </w:trPr>
        <w:tc>
          <w:tcPr>
            <w:tcW w:w="79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68,733</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62,667</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Property and equipment expenditures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(8,329)</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(7,843)</w:t>
            </w: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intangibles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(569)</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(8,854)</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(7,760)</w:t>
            </w:r>
          </w:p>
        </w:tc>
        <w:tc>
          <w:tcPr>
            <w:tcW w:w="120" w:type="dxa"/>
            <w:vAlign w:val="bottom"/>
            <w:shd w:val="clear" w:color="auto" w:fill="CFF0FC"/>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for common stock issuance costs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(2,719)</w:t>
            </w: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Proceeds from stock option exercises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(95,260)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Payment of debt</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(9,281)</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(225,054)</w:t>
            </w: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loan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Payments on revolving loan</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(10,000)</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deemed landlord liability</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(1,129)</w:t>
            </w: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common stock issued, net of underwriters discount</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173,578</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(74,594)</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(54,872)</w:t>
            </w:r>
          </w:p>
        </w:tc>
        <w:tc>
          <w:tcPr>
            <w:tcW w:w="120" w:type="dxa"/>
            <w:vAlign w:val="bottom"/>
            <w:shd w:val="clear" w:color="auto" w:fill="CFF0FC"/>
          </w:tcPr>
          <w:p>
            <w:pPr>
              <w:spacing w:after="0"/>
              <w:rPr>
                <w:sz w:val="19"/>
                <w:szCs w:val="19"/>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EFFECT OF EXCHANGE RATES ON CASH, CASH EQUIVALENTS, AND</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(13,160)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37,407</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24,247</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MEDPACE HOLDINGS, INC. AND SUBSIDIARIES NOTES TO CONDENSED CONSOLIDATED FINANCIAL STATEMENTS (Unaudited) September 30, 2017</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principally based in North America, Europe, and 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 As such, the information included in this quarterly report on Form 10-Q should be read in conjunction with the Company’s audited consolidated financial statements and related notes included in the Company’s Annual Report on Form 10-K for the year ended December 31,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2017, the Board of Directors of the Company (the “Board”) members who are not affiliated with Cinven (the “Disinterested Directors”) approved a stock repurchase agreement with Medpace Limited Partnership, a Guernsey limited partnership (the “Limited Partnership” acting through its general partner, Medpace GP Limited, a Guernsey company, the “General Partner” and, the Limited Partnership acting through the General Partner, “Cinven”), pursuant to which the Company repurchased 2,000,000 shares of the Company’s common stock from Cinven for aggregate consideration of approximately $60.5 million, representing a purchase price of $30.27 per share. The Company funded the repurchase with cash on hand and $40.0 million in borrowings under the Senior Secured Revolving Credit Facility.</w:t>
      </w:r>
    </w:p>
    <w:p>
      <w:pPr>
        <w:spacing w:after="0" w:line="8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April 2017, the Board of the Company authorized a share repurchase program with an authorized repurchase level of $50.0 million. The share repurchase program, according to its terms, will expire in April 2018. Repurchases under the repurchase program may take place in the open market or negotiated transactions, at the discretion of the Company’s management. During the three and nine months ended September 30, 2017, the Company repurchased 300,331 and 1,342,786 shares of its outstanding common stock for $8.3 million and $34.7 million, respectively, under this share repurchase program.</w:t>
      </w:r>
    </w:p>
    <w:p>
      <w:pPr>
        <w:spacing w:after="0" w:line="4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has elected to constructively retire all repurchased shares with all amounts paid in excess of Common stock par value reflected within Accumulated deficit in the Company’s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2017-01, Business Combinations. The standard changes the definition of a business to assist entities with evaluating when a set of transferred assets and activities is a business. Under the new guidance, an entity first determines whether substantially all of the fair value of the gross assets acquired is concentrated in a single identifiable asset or a group of similar identifiable assets. If this threshold is met, the set is not a business. If it’s not met, the entity then evaluates whether the set meets the requirement that a business include, at a minimum, an input and a substantive process that together significantly contribute to the ability to create outputs. ASU 2017-01 is effective for fiscal years beginning after December 15, 2017, and for interim periods within those fiscal years. The Company, as permitted, early adopted ASU 2017-01 using the prospective method in the second quarter of 2017. ASU 2017-01 was considered in the asset acquisition described in Note 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60"/>
        <w:spacing w:after="0" w:line="254" w:lineRule="auto"/>
        <w:rPr>
          <w:sz w:val="20"/>
          <w:szCs w:val="20"/>
          <w:color w:val="auto"/>
        </w:rPr>
      </w:pPr>
      <w:r>
        <w:rPr>
          <w:rFonts w:ascii="Arial" w:cs="Arial" w:eastAsia="Arial" w:hAnsi="Arial"/>
          <w:sz w:val="18"/>
          <w:szCs w:val="18"/>
          <w:color w:val="auto"/>
        </w:rPr>
        <w:t>In November 2016, the FASB issued ASU 2016-18, Statement of Cash Flows (Topic 230): Restricted Cash. The new guidance is intended to reduce diversity in practice by requiring the statement of cash flows to explain the change during the period in the total of cash, cash equivalents and amounts generally described as restricted cash and restricted cash equivalents. ASU 2016-18 is effective for fiscal years beginning after December 15, 2017, and for interim periods within those fiscal years. The Company, as permitted, early adopted ASU 2016-18 in the fourth quarter of 2016. As a result of this adoption, cash flows resulting from changes in restricted cash balances, are no longer presented as a component of net cash provided by operating activities in the Company’s condensed consolidated statements of cash flows, but have been reclassified and combined within (Decreases)/Increases in Cash, Cash Equivalents and Restricted Cash. This reclassification was retrospectively applied to all periods presented within the condensed consolidated statements of cash flows.</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Improvements to Employee Share-Based Payment Accounting</w:t>
      </w:r>
      <w:r>
        <w:rPr>
          <w:rFonts w:ascii="Arial" w:cs="Arial" w:eastAsia="Arial" w:hAnsi="Arial"/>
          <w:sz w:val="16"/>
          <w:szCs w:val="16"/>
          <w:color w:val="auto"/>
        </w:rPr>
        <w:t>. The new guidance is intended to simplify certain aspects of accounting for share based payments to employees, including the accounting for income taxes, forfeitures, and statutory tax withholding requirements, as well as classification in the statement of cash flows. The Company elected to adopt this ASU in the first quarter of 2017 as required. The following summarizes the effects of the adoption on the Company's condensed consolidated financial statements:</w:t>
      </w:r>
    </w:p>
    <w:p>
      <w:pPr>
        <w:spacing w:after="0" w:line="154" w:lineRule="exact"/>
        <w:rPr>
          <w:sz w:val="20"/>
          <w:szCs w:val="20"/>
          <w:color w:val="auto"/>
        </w:rPr>
      </w:pPr>
    </w:p>
    <w:p>
      <w:pPr>
        <w:ind w:left="760" w:right="60" w:hanging="374"/>
        <w:spacing w:after="0" w:line="272"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Upon adoption of this standard, all excess tax benefits and tax deficiencies (including tax benefits of dividends, if distributed, on</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payment awards) are recognized as income tax expense or benefit in the statement of operations. The tax effects of exercised or vested awards are treated as discrete items in the reporting period in which they occur. As a result, the Company recognized discrete adjustments to income tax expense for the nine months ended September 30, 2017 of less than $0.1 million related to excess tax benefits. The Company also recognizes excess tax benefits regardless of whether the benefit reduces taxes payable in the current period. The Company applied the prospective adoption approach for any unrecognized excess tax benefits beginning in 2017, which did not result in any cumulative-effect adjustment upon adoption. Prior periods have not been adjusted.</w:t>
      </w:r>
    </w:p>
    <w:p>
      <w:pPr>
        <w:spacing w:after="0" w:line="177" w:lineRule="exact"/>
        <w:rPr>
          <w:rFonts w:ascii="Arial" w:cs="Arial" w:eastAsia="Arial" w:hAnsi="Arial"/>
          <w:sz w:val="17"/>
          <w:szCs w:val="17"/>
          <w:color w:val="auto"/>
        </w:rPr>
      </w:pPr>
    </w:p>
    <w:p>
      <w:pPr>
        <w:ind w:left="760" w:right="80" w:hanging="374"/>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 Prior to adoption, share-based compensation expense was recognized on a straight line basis, net of estimated forfeitures, such that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recognized only for share-based awards that were expected to vest. A forfeiture rate was estimated annually and revised, if necessary, in subsequent periods if actual forfeitures differed from initial estimates. Upon adoption, the Company no longer applies a forfeiture rate and instead accounts for forfeitures as they occur. The Company applied the modified retrospective adoption approach beginning in 2017 and booked an immaterial cumulative-effect adjustment to additional paid-in-capital and retained earnings within Shareholders’ Equity. Prior periods have not been adjusted.</w:t>
      </w:r>
    </w:p>
    <w:p>
      <w:pPr>
        <w:spacing w:after="0" w:line="193" w:lineRule="exact"/>
        <w:rPr>
          <w:rFonts w:ascii="Arial" w:cs="Arial" w:eastAsia="Arial" w:hAnsi="Arial"/>
          <w:sz w:val="18"/>
          <w:szCs w:val="18"/>
          <w:color w:val="auto"/>
        </w:rPr>
      </w:pPr>
    </w:p>
    <w:p>
      <w:pPr>
        <w:ind w:left="760" w:right="60" w:hanging="374"/>
        <w:spacing w:after="0" w:line="31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Statements of Cash Flows </w:t>
      </w:r>
      <w:r>
        <w:rPr>
          <w:rFonts w:ascii="Arial" w:cs="Arial" w:eastAsia="Arial" w:hAnsi="Arial"/>
          <w:sz w:val="16"/>
          <w:szCs w:val="16"/>
          <w:color w:val="auto"/>
        </w:rPr>
        <w:t>- The Company historically accounted for excess tax benefits on the condensed consolidated statements of cash flows as</w:t>
      </w:r>
      <w:r>
        <w:rPr>
          <w:rFonts w:ascii="Arial" w:cs="Arial" w:eastAsia="Arial" w:hAnsi="Arial"/>
          <w:sz w:val="16"/>
          <w:szCs w:val="16"/>
          <w:i w:val="1"/>
          <w:iCs w:val="1"/>
          <w:color w:val="auto"/>
        </w:rPr>
        <w:t xml:space="preserve"> </w:t>
      </w:r>
      <w:r>
        <w:rPr>
          <w:rFonts w:ascii="Arial" w:cs="Arial" w:eastAsia="Arial" w:hAnsi="Arial"/>
          <w:sz w:val="16"/>
          <w:szCs w:val="16"/>
          <w:color w:val="auto"/>
        </w:rPr>
        <w:t>a financing activity. Upon adoption of this standard, excess tax benefits are classified along with other income tax cash flows as an operating activity. The Company elected to adopt this portion of the standard on a prospective basis beginning in 2017. Prior periods have not been adjusted.</w:t>
      </w:r>
    </w:p>
    <w:p>
      <w:pPr>
        <w:spacing w:after="0" w:line="146" w:lineRule="exact"/>
        <w:rPr>
          <w:rFonts w:ascii="Arial" w:cs="Arial" w:eastAsia="Arial" w:hAnsi="Arial"/>
          <w:sz w:val="16"/>
          <w:szCs w:val="16"/>
          <w:color w:val="auto"/>
        </w:rPr>
      </w:pPr>
    </w:p>
    <w:p>
      <w:pPr>
        <w:ind w:left="760" w:right="100" w:hanging="374"/>
        <w:spacing w:after="0" w:line="25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Company uses the treasury stock method to compute diluted earnings per share, unless the effect would be anti-dilutive.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method, the Company is no longer required to estimate the tax rate and apply it to the dilutive share calculation for determining the dilutive earnings per share. The Company utilized the prospective adoption approach and applied this methodology beginning in 2017. Prior periods have not been adjusted.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Upon adoption, no other aspects of ASU 2016-09 had an effect on the Company's condensed consolidated financial statements or related footnote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4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February 2016, the FASB issued ASU 2016-02, Leases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The guidance in ASU 2016-02 supersedes the lease recognition requirements in ASC Topic 840, </w:t>
      </w:r>
      <w:r>
        <w:rPr>
          <w:rFonts w:ascii="Arial" w:cs="Arial" w:eastAsia="Arial" w:hAnsi="Arial"/>
          <w:sz w:val="17"/>
          <w:szCs w:val="17"/>
          <w:i w:val="1"/>
          <w:iCs w:val="1"/>
          <w:color w:val="auto"/>
        </w:rPr>
        <w:t>Leases (FAS 13)</w:t>
      </w:r>
      <w:r>
        <w:rPr>
          <w:rFonts w:ascii="Arial" w:cs="Arial" w:eastAsia="Arial" w:hAnsi="Arial"/>
          <w:sz w:val="17"/>
          <w:szCs w:val="17"/>
          <w:color w:val="auto"/>
        </w:rPr>
        <w:t>. ASU 2016-02 requires an entity to recognize assets and liabilities arising from a lease for both financing and operating leases, along with additional qualitative and quantitative disclosures. ASU 2016-02 will be applied on a modified retrospective basis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to clarify the principles of recognizing revenue and create common revenue recognition guidance between US GAAP and International Financial Reporting Standards. In March 2016, the FASB issued ASU 2016-08, Revenue from Contracts with Customers (Topic 606): Principal versus Agent Considerations (Reporting Revenue Gross versus Net). In April 2016, the FASB issued ASU 2016-10, Revenue from Contracts with Customers (Topic 606): Identifying Performance Obligations and Licensing. In May 2016, the FASB issued ASU 2016-12, Narrow-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80"/>
        <w:spacing w:after="0" w:line="271" w:lineRule="auto"/>
        <w:rPr>
          <w:sz w:val="20"/>
          <w:szCs w:val="20"/>
          <w:color w:val="auto"/>
        </w:rPr>
      </w:pPr>
      <w:r>
        <w:rPr>
          <w:rFonts w:ascii="Arial" w:cs="Arial" w:eastAsia="Arial" w:hAnsi="Arial"/>
          <w:sz w:val="17"/>
          <w:szCs w:val="17"/>
          <w:color w:val="auto"/>
        </w:rPr>
        <w:t>Scope Improvements and Practical Expedients. In December 2016, the FASB issued ASU 2016-20 Technical Corrections and Improvements to Topic 606, Revenue From Contracts with Customers. ASUs’ 2016-20,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2016-20, 2016-12, 2016-10, and 2016-08 are the same as the effective date and transition requirements of ASU 2014-09. ASU 2015-14, Revenue from Contracts with Customers (Topic 606): Deferral of the Effective Date, deferred the original effective date of ASU 2014-09 by one year. The new standard allows for either a retrospective or modified retrospective approach to transition upon adoption. The new standard will be effective for annual reporting periods beginning after December 15, 2017. Early adoption is permitted for annual reporting periods beginning after December 15, 2016.</w:t>
      </w:r>
    </w:p>
    <w:p>
      <w:pPr>
        <w:spacing w:after="0" w:line="1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continues to evaluate the potential impact of adopting this standard on its business policies, processes and systems, internal control over financial reporting environment, and financial reporting disclosures.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expects that the majority of its contracts will have a single performance obligation that is satisfied over time, with revenue recognized based on overall project progress measured as of the financial statement date. This represents a change in the Company’s current revenue accounting methodology as a majority of contracts are accounted for with multiple units of account under the multiple element arrangement guidance. Under the current accounting methodology, certain revenue related to reimbursable expenses is presented either as a separate line item within Reimbursable out-of-pocket revenue or net of related expenses within Service revenue, net in the condensed consolidated statements of operations. As a result of having a single performance obligation, the Company anticipates that all revenue related to reimbursable expenses will prospectively be accounted for gross within a single revenue line item with related expenses presented gross within Direct Costs, excluding depreciation and amortization. Measurement of progress on contracts with customers will generally be based on the input measurement of cost incurred relative to the total expected costs to satisfy the performance obligation.</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will adopt ASU 2014-09 as well as the clarified guidance in ASUs’ 2016-20, 2016-12, 2016-10, 2016-08, utilizing the modified retrospective approach, during the first quarter of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2017, the Company acquired out of bankruptcy NephroGenex, Inc. (“Nephrogenex” or the “Debtor”), a publicly-held pharmaceutical company that had previously filed for relief under Chapter 11 of the United States Bankruptcy Code. The Company, which was the largest unsecured creditor of Nephrogenex, entered into an agreement through the bankruptcy process, to exchange its unsecured claim for 100% of the common stock in the post-bankruptcy, debt free Debtor. The assets of the acquired Debtor consist primarily of tax attributes as well as in-process research and development and other intangible assets. An analysis by the Company determined that substantially all the fair value of the assets on the date of acquisition is captured in the tax attributes, as the intangible assets account for a relatively immaterial portion of the fair market value of the total assets received. The acquisition of the Debtor was accounted for as an asset purchase.</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allocated its consideration paid of $1.2 million, consisting of accounts receivable and unbilled receivables and transaction related costs, on a pro rata basis to the assets acquired based on their respective fair values. Acquired assets include intangible assets of $0.5 million, deferred tax assets of $22.2 million, consisting of tax effected net operating losses in the amount of $21.1 (partially offset with a $7.6 million valuation allowance), tax effected capitalized research and development expenses of $8.5 million and tax effected federal tax credits of $1.4 million (partially offset with a $1.2 million valuation allowance) and deferred tax liabilities of $0.1 million. The excess amount of fair value received over consideration paid of $21.4 million was recorded as a Deferred credit in the condensed consolidated balance sheets and will be recognized within Income tax provision in proportion to the realization of the deferred tax assets and federal tax credits prospectively.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Restricted Stock Awards (“RSAs”) are considered participating securities because they are legally issued at the date of grant and holders are entitled to receive non-forfeitable dividends during the vesting term.</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computation of diluted EPS includes additional common shares, such as unvested stock options with exercise prices less than the average market price of the Company’s common stock during the period (“in-the-money options”), which would be considered outstanding under the treasury stock method. The treasury stock method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2017 and 2016, (in thousands, except for earnings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51"/>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Weighted-average shares:</w:t>
            </w: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Common shares outstanding</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38,579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39,803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34,138</w:t>
            </w:r>
          </w:p>
        </w:tc>
        <w:tc>
          <w:tcPr>
            <w:tcW w:w="28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RSAs</w:t>
            </w:r>
          </w:p>
        </w:tc>
        <w:tc>
          <w:tcPr>
            <w:tcW w:w="3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weighted-average shares</w:t>
            </w:r>
          </w:p>
        </w:tc>
        <w:tc>
          <w:tcPr>
            <w:tcW w:w="3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38,641</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39,863</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34,138</w:t>
            </w:r>
          </w:p>
        </w:tc>
        <w:tc>
          <w:tcPr>
            <w:tcW w:w="28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share—Basic</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66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9,831</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5,036</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27,831</w:t>
            </w:r>
          </w:p>
        </w:tc>
        <w:tc>
          <w:tcPr>
            <w:tcW w:w="26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13,446</w:t>
            </w:r>
          </w:p>
        </w:tc>
        <w:tc>
          <w:tcPr>
            <w:tcW w:w="28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Undistributed earnings allocated to RSAs</w:t>
            </w:r>
          </w:p>
        </w:tc>
        <w:tc>
          <w:tcPr>
            <w:tcW w:w="3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6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9"/>
              </w:rPr>
              <w:t>Net income available to common shareholders—Basic</w:t>
            </w:r>
          </w:p>
        </w:tc>
        <w:tc>
          <w:tcPr>
            <w:tcW w:w="38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9,815</w:t>
            </w:r>
          </w:p>
        </w:tc>
        <w:tc>
          <w:tcPr>
            <w:tcW w:w="2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27,789</w:t>
            </w:r>
          </w:p>
        </w:tc>
        <w:tc>
          <w:tcPr>
            <w:tcW w:w="2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13,446</w:t>
            </w:r>
          </w:p>
        </w:tc>
        <w:tc>
          <w:tcPr>
            <w:tcW w:w="280" w:type="dxa"/>
            <w:vAlign w:val="bottom"/>
            <w:tcBorders>
              <w:bottom w:val="single" w:sz="8" w:color="CFF0FC"/>
            </w:tcBorders>
          </w:tcPr>
          <w:p>
            <w:pPr>
              <w:spacing w:after="0"/>
              <w:rPr>
                <w:sz w:val="22"/>
                <w:szCs w:val="22"/>
                <w:color w:val="auto"/>
              </w:rPr>
            </w:pPr>
          </w:p>
        </w:tc>
      </w:tr>
      <w:tr>
        <w:trPr>
          <w:trHeight w:val="210"/>
        </w:trPr>
        <w:tc>
          <w:tcPr>
            <w:tcW w:w="4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6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per common share—Basic</w:t>
            </w:r>
          </w:p>
        </w:tc>
        <w:tc>
          <w:tcPr>
            <w:tcW w:w="38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Borders>
              <w:bottom w:val="single" w:sz="8" w:color="CFF0FC"/>
            </w:tcBorders>
          </w:tcPr>
          <w:p>
            <w:pPr>
              <w:spacing w:after="0"/>
              <w:rPr>
                <w:sz w:val="22"/>
                <w:szCs w:val="22"/>
                <w:color w:val="auto"/>
              </w:rPr>
            </w:pPr>
          </w:p>
        </w:tc>
      </w:tr>
      <w:tr>
        <w:trPr>
          <w:trHeight w:val="210"/>
        </w:trPr>
        <w:tc>
          <w:tcPr>
            <w:tcW w:w="4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38,579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39,803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34,138</w:t>
            </w:r>
          </w:p>
        </w:tc>
        <w:tc>
          <w:tcPr>
            <w:tcW w:w="28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diluted shares</w:t>
            </w:r>
          </w:p>
        </w:tc>
        <w:tc>
          <w:tcPr>
            <w:tcW w:w="3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FF0FC"/>
          </w:tcPr>
          <w:p>
            <w:pPr>
              <w:spacing w:after="0"/>
              <w:rPr>
                <w:sz w:val="19"/>
                <w:szCs w:val="19"/>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8"/>
                <w:szCs w:val="18"/>
                <w:color w:val="auto"/>
              </w:rPr>
              <w:t>Diluted weighted-average shares outstanding</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39,329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40,537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34,365</w:t>
            </w:r>
          </w:p>
        </w:tc>
        <w:tc>
          <w:tcPr>
            <w:tcW w:w="2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8"/>
                <w:szCs w:val="18"/>
                <w:color w:val="auto"/>
              </w:rPr>
              <w:t>Net income per common share—Diluted</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During the three months ended September 30, 2017 and 2016, respectively, there were 158,034 and 61,896 shares excluded from the computation of EPS because they were anti-dilutive under the treasury method calculation of diluted weighted average shares outstanding. During the nine months ended September 30, 2017 and 2016, respectively, there were 90,553 and 25,699 shares excluded from the computation of EPS because they were anti-dilutive under the treasury method calculation of diluted weighted average shares outstanding.</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three months ended September 30, 2017, there were 27,500 stock options that were excluded from the computation of EPS due to the exercise price exceeding the average fair value of the Company’s common stock during the period. During the nine months ended September 30, 2017 and 2016, respectively, there were 27,500 and 643,680 stock options that were excluded from the computation of EPS due to the exercise price exceeding the average fair value of the Company’s common stock during the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Valuations based on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Valuations based on directly observable inputs or unobservable inputs corroborated by market data.</w:t>
      </w:r>
    </w:p>
    <w:p>
      <w:pPr>
        <w:spacing w:after="0" w:line="117"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Level 3: Valuations based on unobservable inputs supported by little or no market activity representing management’s determination of assumptions of how market participants would price the assets or liabilities.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does not have any recurring fair value measurements as of September 30, 2017. There were no transfers between Level 1, Level 2 or Level 3 during the three or nine months ended September 30, 2017 and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Accounts Receivable And Unbilled, Net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Accounts receivable and unbilled, net includes service revenue and reimbursed out-of-pocket revenue. Accounts receivable and unbilled, net consisted of the following (in thousands):</w:t>
      </w:r>
    </w:p>
    <w:p>
      <w:pPr>
        <w:spacing w:after="0" w:line="180"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As of</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50,973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48,270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Unbilled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25,947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Total accounts receivable and unbilled, net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74,708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Intangible Assets, Net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2"/>
          </w:tcPr>
          <w:p>
            <w:pPr>
              <w:spacing w:after="0"/>
              <w:rPr>
                <w:sz w:val="20"/>
                <w:szCs w:val="20"/>
                <w:color w:val="auto"/>
              </w:rPr>
            </w:pPr>
            <w:r>
              <w:rPr>
                <w:rFonts w:ascii="Arial" w:cs="Arial" w:eastAsia="Arial" w:hAnsi="Arial"/>
                <w:sz w:val="18"/>
                <w:szCs w:val="18"/>
                <w:color w:val="auto"/>
              </w:rPr>
              <w:t>Intangible assets, net consisted of the following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Finite-lived intangible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Carrying amount: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Arial" w:cs="Arial" w:eastAsia="Arial" w:hAnsi="Arial"/>
                <w:sz w:val="18"/>
                <w:szCs w:val="18"/>
                <w:color w:val="auto"/>
              </w:rPr>
              <w:t>Backlog</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Arial" w:cs="Arial" w:eastAsia="Arial" w:hAnsi="Arial"/>
                <w:sz w:val="18"/>
                <w:szCs w:val="18"/>
                <w:color w:val="auto"/>
              </w:rPr>
              <w:t>Developed technologies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275,230</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274,661</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(72,630)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(72,630)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(86,063)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(66,267)</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Arial" w:cs="Arial" w:eastAsia="Arial" w:hAnsi="Arial"/>
                <w:sz w:val="18"/>
                <w:szCs w:val="18"/>
                <w:color w:val="auto"/>
              </w:rPr>
              <w:t>Developed technologies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(38,133)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(29,961)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(1,816)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accumulated amortization</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(198,642)</w:t>
            </w:r>
          </w:p>
        </w:tc>
        <w:tc>
          <w:tcPr>
            <w:tcW w:w="200" w:type="dxa"/>
            <w:vAlign w:val="bottom"/>
            <w:tcBorders>
              <w:bottom w:val="single" w:sz="8" w:color="CFF0FC"/>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(170,236)</w:t>
            </w:r>
          </w:p>
        </w:tc>
        <w:tc>
          <w:tcPr>
            <w:tcW w:w="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finite-lived intangible assets, net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76,588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104,425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Trade name (indefinite-lived)</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31,646</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31,646</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108,234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September 30, 2017, estimated amortization expense of the Company’s intangible assets for each of the next five years and thereafter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Amortization</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2017</w:t>
            </w:r>
          </w:p>
        </w:tc>
        <w:tc>
          <w:tcPr>
            <w:tcW w:w="3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9,495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2018</w:t>
            </w:r>
          </w:p>
        </w:tc>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29,561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14,828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2020</w:t>
            </w:r>
          </w:p>
        </w:tc>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Later years</w:t>
            </w:r>
          </w:p>
        </w:tc>
        <w:tc>
          <w:tcPr>
            <w:tcW w:w="3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300" w:type="dxa"/>
            <w:vAlign w:val="bottom"/>
            <w:tcBorders>
              <w:bottom w:val="single" w:sz="8" w:color="CFF0FC"/>
            </w:tcBorders>
            <w:shd w:val="clear" w:color="auto" w:fill="CFF0FC"/>
          </w:tcPr>
          <w:p>
            <w:pPr>
              <w:spacing w:after="0"/>
              <w:rPr>
                <w:sz w:val="19"/>
                <w:szCs w:val="19"/>
                <w:color w:val="auto"/>
              </w:rPr>
            </w:pPr>
          </w:p>
        </w:tc>
        <w:tc>
          <w:tcPr>
            <w:tcW w:w="3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76,588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vMerge w:val="restart"/>
          </w:tcPr>
          <w:p>
            <w:pPr>
              <w:jc w:val="right"/>
              <w:ind w:right="1890"/>
              <w:spacing w:after="0"/>
              <w:rPr>
                <w:sz w:val="20"/>
                <w:szCs w:val="20"/>
                <w:color w:val="auto"/>
              </w:rPr>
            </w:pPr>
            <w:r>
              <w:rPr>
                <w:rFonts w:ascii="Arial" w:cs="Arial" w:eastAsia="Arial" w:hAnsi="Arial"/>
                <w:sz w:val="18"/>
                <w:szCs w:val="18"/>
                <w:color w:val="auto"/>
              </w:rPr>
              <w:t>- 11 -</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410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16,989</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21,453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2,964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accrued expenses</w:t>
            </w:r>
          </w:p>
        </w:tc>
        <w:tc>
          <w:tcPr>
            <w:tcW w:w="7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20,085</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24,417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Debt</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0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0" w:type="dxa"/>
            <w:vAlign w:val="bottom"/>
            <w:gridSpan w:val="3"/>
          </w:tcPr>
          <w:p>
            <w:pPr>
              <w:spacing w:after="0"/>
              <w:rPr>
                <w:sz w:val="20"/>
                <w:szCs w:val="20"/>
                <w:color w:val="auto"/>
              </w:rPr>
            </w:pPr>
            <w:r>
              <w:rPr>
                <w:rFonts w:ascii="Arial" w:cs="Arial" w:eastAsia="Arial" w:hAnsi="Arial"/>
                <w:sz w:val="18"/>
                <w:szCs w:val="18"/>
                <w:color w:val="auto"/>
              </w:rPr>
              <w:t>Debt consisted of the following (in thousands):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Revolving credit facility</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Term loan</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155,719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Less unamortized discount</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gridSpan w:val="2"/>
          </w:tcPr>
          <w:p>
            <w:pPr>
              <w:ind w:left="500"/>
              <w:spacing w:after="0"/>
              <w:rPr>
                <w:sz w:val="20"/>
                <w:szCs w:val="20"/>
                <w:color w:val="auto"/>
              </w:rPr>
            </w:pPr>
            <w:r>
              <w:rPr>
                <w:rFonts w:ascii="Arial" w:cs="Arial" w:eastAsia="Arial" w:hAnsi="Arial"/>
                <w:sz w:val="18"/>
                <w:szCs w:val="18"/>
                <w:color w:val="auto"/>
              </w:rPr>
              <w:t>Less unamortized term loan debt issuance costs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current portion of long-term debt</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(15,469)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23"/>
        </w:trPr>
        <w:tc>
          <w:tcPr>
            <w:tcW w:w="6400" w:type="dxa"/>
            <w:vAlign w:val="bottom"/>
            <w:gridSpan w:val="3"/>
          </w:tcPr>
          <w:p>
            <w:pPr>
              <w:ind w:left="1720"/>
              <w:spacing w:after="0"/>
              <w:rPr>
                <w:sz w:val="20"/>
                <w:szCs w:val="20"/>
                <w:color w:val="auto"/>
              </w:rPr>
            </w:pPr>
            <w:r>
              <w:rPr>
                <w:rFonts w:ascii="Arial" w:cs="Arial" w:eastAsia="Arial" w:hAnsi="Arial"/>
                <w:sz w:val="18"/>
                <w:szCs w:val="18"/>
                <w:color w:val="auto"/>
              </w:rPr>
              <w:t>Long-term debt, net, less current portion</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169,152</w:t>
            </w:r>
          </w:p>
        </w:tc>
        <w:tc>
          <w:tcPr>
            <w:tcW w:w="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151,267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Principal payments on debt are due as follows (in thousands):</w:t>
            </w:r>
          </w:p>
        </w:tc>
        <w:tc>
          <w:tcPr>
            <w:tcW w:w="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40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4680" w:type="dxa"/>
            <w:vAlign w:val="bottom"/>
            <w:gridSpan w:val="2"/>
          </w:tcPr>
          <w:p>
            <w:pPr>
              <w:ind w:left="580"/>
              <w:spacing w:after="0"/>
              <w:rPr>
                <w:sz w:val="20"/>
                <w:szCs w:val="20"/>
                <w:color w:val="auto"/>
              </w:rPr>
            </w:pPr>
            <w:r>
              <w:rPr>
                <w:rFonts w:ascii="Arial" w:cs="Arial" w:eastAsia="Arial" w:hAnsi="Arial"/>
                <w:sz w:val="18"/>
                <w:szCs w:val="18"/>
                <w:color w:val="auto"/>
              </w:rPr>
              <w:t>2017 (remaining)</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3,094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16,500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20,625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129,000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w w:val="89"/>
              </w:rPr>
              <w:t>185,719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estimated fair value of the Company’s debt based on Level 2 inputs using the market approach, which is primarily based on rates at which the debt is traded among financial institutions, approximates the carrying value as of September 30, 2017 and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 and Stock-Based Compensation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granted 974,896 awards to employees under the 2016 Incentive Award Plan, during the nine months ended September 30, 2017, consisting of 777,550 stock option awards, 118,000 restricted stock awards (“RSA”) and 38,000 restricted stock units (“RSU”), all vesting after four years. The Company granted an additional 41,346 stock option awards, vesting over one year, to non-employee directors under the 2016 Incentive Award Plan, during the nine months ended September 30, 2017.</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granted 45,923 Awards under the 2014 Equity Incentive Plan, consisting of 34,812 stock options vesting equally over four years and 11,111 fully-vested shares, during the nine months ended September 30, 2016. The Company also granted 643,680 stock options under the 2016 Plan during the nine months ended September 30, 2016, consisting of 626,650 stock options vesting after four years and 17,030 stock options with one-third vesting on October 31, 2016, and the remainder vesting in eight equal monthly installments beginning in November 2016.</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Award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stock option activity: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3"/>
                <w:szCs w:val="13"/>
                <w:b w:val="1"/>
                <w:bCs w:val="1"/>
                <w:color w:val="auto"/>
                <w:w w:val="90"/>
              </w:rPr>
              <w:t>Nine Months Ended September 30, 2017</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Pr>
          <w:p>
            <w:pPr>
              <w:jc w:val="center"/>
              <w:ind w:left="652"/>
              <w:spacing w:after="0"/>
              <w:rPr>
                <w:sz w:val="20"/>
                <w:szCs w:val="20"/>
                <w:color w:val="auto"/>
              </w:rPr>
            </w:pPr>
            <w:r>
              <w:rPr>
                <w:rFonts w:ascii="Arial" w:cs="Arial" w:eastAsia="Arial" w:hAnsi="Arial"/>
                <w:sz w:val="13"/>
                <w:szCs w:val="13"/>
                <w:b w:val="1"/>
                <w:bCs w:val="1"/>
                <w:color w:val="auto"/>
                <w:w w:val="86"/>
              </w:rPr>
              <w:t>Weighted Average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80" w:type="dxa"/>
            <w:vAlign w:val="bottom"/>
            <w:tcBorders>
              <w:bottom w:val="single" w:sz="8" w:color="CFF0FC"/>
            </w:tcBorders>
          </w:tcPr>
          <w:p>
            <w:pPr>
              <w:spacing w:after="0"/>
              <w:rPr>
                <w:sz w:val="13"/>
                <w:szCs w:val="13"/>
                <w:color w:val="auto"/>
              </w:rPr>
            </w:pPr>
          </w:p>
        </w:tc>
        <w:tc>
          <w:tcPr>
            <w:tcW w:w="182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w w:val="90"/>
              </w:rPr>
              <w:t>Stock Options</w:t>
            </w: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center"/>
              <w:ind w:left="652"/>
              <w:spacing w:after="0"/>
              <w:rPr>
                <w:sz w:val="20"/>
                <w:szCs w:val="20"/>
                <w:color w:val="auto"/>
              </w:rPr>
            </w:pPr>
            <w:r>
              <w:rPr>
                <w:rFonts w:ascii="Arial" w:cs="Arial" w:eastAsia="Arial" w:hAnsi="Arial"/>
                <w:sz w:val="13"/>
                <w:szCs w:val="13"/>
                <w:b w:val="1"/>
                <w:bCs w:val="1"/>
                <w:color w:val="auto"/>
                <w:w w:val="87"/>
              </w:rPr>
              <w:t>Exercise Price</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Outstanding - beginning of period</w:t>
            </w:r>
          </w:p>
        </w:tc>
        <w:tc>
          <w:tcPr>
            <w:tcW w:w="18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2,350,166</w:t>
            </w:r>
          </w:p>
        </w:tc>
        <w:tc>
          <w:tcPr>
            <w:tcW w:w="380" w:type="dxa"/>
            <w:vAlign w:val="bottom"/>
            <w:shd w:val="clear" w:color="auto" w:fill="CFF0FC"/>
          </w:tcPr>
          <w:p>
            <w:pPr>
              <w:spacing w:after="0"/>
              <w:rPr>
                <w:sz w:val="13"/>
                <w:szCs w:val="13"/>
                <w:color w:val="auto"/>
              </w:rPr>
            </w:pPr>
          </w:p>
        </w:tc>
        <w:tc>
          <w:tcPr>
            <w:tcW w:w="2040" w:type="dxa"/>
            <w:vAlign w:val="bottom"/>
            <w:gridSpan w:val="2"/>
            <w:shd w:val="clear" w:color="auto" w:fill="CFF0FC"/>
          </w:tcPr>
          <w:p>
            <w:pPr>
              <w:jc w:val="right"/>
              <w:ind w:right="19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17.57</w:t>
            </w:r>
          </w:p>
        </w:tc>
        <w:tc>
          <w:tcPr>
            <w:tcW w:w="100" w:type="dxa"/>
            <w:vAlign w:val="bottom"/>
            <w:shd w:val="clear" w:color="auto" w:fill="CFF0FC"/>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gridSpan w:val="2"/>
          </w:tcPr>
          <w:p>
            <w:pPr>
              <w:ind w:left="260"/>
              <w:spacing w:after="0"/>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rPr>
                <w:sz w:val="20"/>
                <w:szCs w:val="20"/>
                <w:color w:val="auto"/>
              </w:rPr>
            </w:pPr>
            <w:r>
              <w:rPr>
                <w:rFonts w:ascii="Arial" w:cs="Arial" w:eastAsia="Arial" w:hAnsi="Arial"/>
                <w:sz w:val="14"/>
                <w:szCs w:val="14"/>
                <w:color w:val="auto"/>
              </w:rPr>
              <w:t>818,896</w:t>
            </w:r>
          </w:p>
        </w:tc>
        <w:tc>
          <w:tcPr>
            <w:tcW w:w="380" w:type="dxa"/>
            <w:vAlign w:val="bottom"/>
          </w:tcPr>
          <w:p>
            <w:pPr>
              <w:spacing w:after="0"/>
              <w:rPr>
                <w:sz w:val="14"/>
                <w:szCs w:val="14"/>
                <w:color w:val="auto"/>
              </w:rPr>
            </w:pPr>
          </w:p>
        </w:tc>
        <w:tc>
          <w:tcPr>
            <w:tcW w:w="2040" w:type="dxa"/>
            <w:vAlign w:val="bottom"/>
            <w:gridSpan w:val="2"/>
          </w:tcPr>
          <w:p>
            <w:pPr>
              <w:jc w:val="right"/>
              <w:ind w:right="19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Exercised</w:t>
            </w: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(83,675)</w:t>
            </w:r>
          </w:p>
        </w:tc>
        <w:tc>
          <w:tcPr>
            <w:tcW w:w="2040" w:type="dxa"/>
            <w:vAlign w:val="bottom"/>
            <w:gridSpan w:val="2"/>
            <w:shd w:val="clear" w:color="auto" w:fill="CFF0FC"/>
          </w:tcPr>
          <w:p>
            <w:pPr>
              <w:jc w:val="right"/>
              <w:ind w:right="19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FF0FC"/>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gridSpan w:val="2"/>
          </w:tcPr>
          <w:p>
            <w:pPr>
              <w:ind w:left="260"/>
              <w:spacing w:after="0"/>
              <w:rPr>
                <w:sz w:val="20"/>
                <w:szCs w:val="20"/>
                <w:color w:val="auto"/>
              </w:rPr>
            </w:pPr>
            <w:r>
              <w:rPr>
                <w:rFonts w:ascii="Arial" w:cs="Arial" w:eastAsia="Arial" w:hAnsi="Arial"/>
                <w:sz w:val="14"/>
                <w:szCs w:val="14"/>
                <w:color w:val="auto"/>
              </w:rPr>
              <w:t>Forfeited/Expired</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(225,051)</w:t>
            </w:r>
          </w:p>
        </w:tc>
        <w:tc>
          <w:tcPr>
            <w:tcW w:w="2040" w:type="dxa"/>
            <w:vAlign w:val="bottom"/>
            <w:gridSpan w:val="2"/>
          </w:tcPr>
          <w:p>
            <w:pPr>
              <w:jc w:val="right"/>
              <w:ind w:right="19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Outstanding - end of period</w:t>
            </w:r>
          </w:p>
        </w:tc>
        <w:tc>
          <w:tcPr>
            <w:tcW w:w="182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2,860,336</w:t>
            </w:r>
          </w:p>
        </w:tc>
        <w:tc>
          <w:tcPr>
            <w:tcW w:w="380" w:type="dxa"/>
            <w:vAlign w:val="bottom"/>
            <w:tcBorders>
              <w:top w:val="single" w:sz="8" w:color="CFF0FC"/>
              <w:bottom w:val="single" w:sz="8" w:color="CFF0FC"/>
            </w:tcBorders>
            <w:shd w:val="clear" w:color="auto" w:fill="CFF0FC"/>
          </w:tcPr>
          <w:p>
            <w:pPr>
              <w:spacing w:after="0"/>
              <w:rPr>
                <w:sz w:val="13"/>
                <w:szCs w:val="13"/>
                <w:color w:val="auto"/>
              </w:rPr>
            </w:pPr>
          </w:p>
        </w:tc>
        <w:tc>
          <w:tcPr>
            <w:tcW w:w="2040" w:type="dxa"/>
            <w:vAlign w:val="bottom"/>
            <w:tcBorders>
              <w:top w:val="single" w:sz="8" w:color="CFF0FC"/>
              <w:bottom w:val="single" w:sz="8" w:color="CFF0FC"/>
            </w:tcBorders>
            <w:gridSpan w:val="2"/>
            <w:shd w:val="clear" w:color="auto" w:fill="CFF0FC"/>
          </w:tcPr>
          <w:p>
            <w:pPr>
              <w:jc w:val="right"/>
              <w:ind w:right="191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20.46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tcBorders>
              <w:bottom w:val="single" w:sz="8" w:color="CFF0FC"/>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02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Exercisable - end of period</w:t>
            </w:r>
          </w:p>
        </w:tc>
        <w:tc>
          <w:tcPr>
            <w:tcW w:w="18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939,835</w:t>
            </w:r>
          </w:p>
        </w:tc>
        <w:tc>
          <w:tcPr>
            <w:tcW w:w="380" w:type="dxa"/>
            <w:vAlign w:val="bottom"/>
            <w:tcBorders>
              <w:bottom w:val="single" w:sz="8" w:color="CFF0FC"/>
            </w:tcBorders>
            <w:shd w:val="clear" w:color="auto" w:fill="CFF0FC"/>
          </w:tcPr>
          <w:p>
            <w:pPr>
              <w:spacing w:after="0"/>
              <w:rPr>
                <w:sz w:val="13"/>
                <w:szCs w:val="13"/>
                <w:color w:val="auto"/>
              </w:rPr>
            </w:pPr>
          </w:p>
        </w:tc>
        <w:tc>
          <w:tcPr>
            <w:tcW w:w="2040" w:type="dxa"/>
            <w:vAlign w:val="bottom"/>
            <w:tcBorders>
              <w:bottom w:val="single" w:sz="8" w:color="CFF0FC"/>
            </w:tcBorders>
            <w:gridSpan w:val="2"/>
            <w:shd w:val="clear" w:color="auto" w:fill="CFF0FC"/>
          </w:tcPr>
          <w:p>
            <w:pPr>
              <w:jc w:val="right"/>
              <w:ind w:right="19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15.34</w:t>
            </w: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gridSpan w:val="2"/>
          </w:tcPr>
          <w:p>
            <w:pPr>
              <w:spacing w:after="0"/>
              <w:rPr>
                <w:sz w:val="20"/>
                <w:szCs w:val="20"/>
                <w:color w:val="auto"/>
              </w:rPr>
            </w:pPr>
            <w:r>
              <w:rPr>
                <w:rFonts w:ascii="Arial" w:cs="Arial" w:eastAsia="Arial" w:hAnsi="Arial"/>
                <w:sz w:val="18"/>
                <w:szCs w:val="18"/>
                <w:color w:val="auto"/>
              </w:rPr>
              <w:t>The following table sets forth the Company’s RSA/RSU activity:</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jc w:val="center"/>
              <w:ind w:left="672"/>
              <w:spacing w:after="0"/>
              <w:rPr>
                <w:sz w:val="20"/>
                <w:szCs w:val="20"/>
                <w:color w:val="auto"/>
              </w:rPr>
            </w:pPr>
            <w:r>
              <w:rPr>
                <w:rFonts w:ascii="Arial" w:cs="Arial" w:eastAsia="Arial" w:hAnsi="Arial"/>
                <w:sz w:val="14"/>
                <w:szCs w:val="14"/>
                <w:b w:val="1"/>
                <w:bCs w:val="1"/>
                <w:color w:val="auto"/>
                <w:w w:val="94"/>
              </w:rPr>
              <w:t>Nine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bottom w:val="single" w:sz="8" w:color="auto"/>
            </w:tcBorders>
          </w:tcPr>
          <w:p>
            <w:pPr>
              <w:jc w:val="center"/>
              <w:ind w:left="672"/>
              <w:spacing w:after="0"/>
              <w:rPr>
                <w:sz w:val="20"/>
                <w:szCs w:val="20"/>
                <w:color w:val="auto"/>
              </w:rPr>
            </w:pPr>
            <w:r>
              <w:rPr>
                <w:rFonts w:ascii="Arial" w:cs="Arial" w:eastAsia="Arial" w:hAnsi="Arial"/>
                <w:sz w:val="14"/>
                <w:szCs w:val="14"/>
                <w:b w:val="1"/>
                <w:bCs w:val="1"/>
                <w:color w:val="auto"/>
                <w:w w:val="91"/>
              </w:rPr>
              <w:t>September 30, 2017</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Outstanding and unvested - beginning of period</w:t>
            </w: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bottom w:val="single" w:sz="8" w:color="auto"/>
            </w:tcBorders>
          </w:tcPr>
          <w:p>
            <w:pPr>
              <w:jc w:val="center"/>
              <w:ind w:left="692"/>
              <w:spacing w:after="0" w:line="155" w:lineRule="exact"/>
              <w:rPr>
                <w:sz w:val="20"/>
                <w:szCs w:val="20"/>
                <w:color w:val="auto"/>
              </w:rPr>
            </w:pPr>
            <w:r>
              <w:rPr>
                <w:rFonts w:ascii="Arial" w:cs="Arial" w:eastAsia="Arial" w:hAnsi="Arial"/>
                <w:sz w:val="14"/>
                <w:szCs w:val="14"/>
                <w:b w:val="1"/>
                <w:bCs w:val="1"/>
                <w:color w:val="auto"/>
                <w:w w:val="91"/>
              </w:rPr>
              <w:t>Shares/Units</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0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60"/>
              <w:spacing w:after="0"/>
              <w:rPr>
                <w:sz w:val="20"/>
                <w:szCs w:val="20"/>
                <w:color w:val="auto"/>
              </w:rPr>
            </w:pPr>
            <w:r>
              <w:rPr>
                <w:rFonts w:ascii="Arial" w:cs="Arial" w:eastAsia="Arial" w:hAnsi="Arial"/>
                <w:sz w:val="18"/>
                <w:szCs w:val="18"/>
                <w:color w:val="auto"/>
              </w:rPr>
              <w:t>Vested</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Outstanding and unvested - end of period</w:t>
            </w:r>
          </w:p>
        </w:tc>
        <w:tc>
          <w:tcPr>
            <w:tcW w:w="96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215,258</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Cumulative vested shares - end of period</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1,854,658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Stock-based compensation expense recognized in the condensed consolidated statements of operations related to all outstanding stock based compensation awards is summarized below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40" w:type="dxa"/>
            <w:vAlign w:val="bottom"/>
            <w:gridSpan w:val="5"/>
          </w:tcPr>
          <w:p>
            <w:pPr>
              <w:jc w:val="right"/>
              <w:ind w:right="74"/>
              <w:spacing w:after="0"/>
              <w:rPr>
                <w:sz w:val="20"/>
                <w:szCs w:val="20"/>
                <w:color w:val="auto"/>
              </w:rPr>
            </w:pPr>
            <w:r>
              <w:rPr>
                <w:rFonts w:ascii="Arial" w:cs="Arial" w:eastAsia="Arial" w:hAnsi="Arial"/>
                <w:sz w:val="14"/>
                <w:szCs w:val="14"/>
                <w:b w:val="1"/>
                <w:bCs w:val="1"/>
                <w:color w:val="auto"/>
                <w:w w:val="99"/>
              </w:rPr>
              <w:t>Three Months Ended September 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8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10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effective income tax rate was 35.1% and 35.7% for the three and nine months ended September 30, 2017, respectively. The Company’s effective income tax rate was 33.6% and 38.1% for the three and nine months ended September 30, 2016, respectively. The Company’s effective income tax rate for the three and nine months ended September 30, 2017 varied from the U.S. statutory rate of 35.0% primarily due to the impact of state taxes, domestic and foreign uncertain tax positions and the tax impact associated with acquired tax attributes.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actions were immaterial as of September 30, 2017 and December 31, 2016. There is a reasonable possibility that a loss exceeding amounts already recognized may be incurred related to these actions; however, the Company believes that such potential losses were immaterial as of September 30,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Loans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periodically extends short term loans or advances to employees, typically upon commencement of employment. Total receivables as a result of these employee advances of $0.2 million existed at September 30, 2017 and December 31,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3" w:name="page14"/>
    <w:bookmarkEnd w:id="13"/>
    <w:p>
      <w:pPr>
        <w:ind w:right="480"/>
        <w:spacing w:after="0" w:line="277" w:lineRule="auto"/>
        <w:rPr>
          <w:sz w:val="20"/>
          <w:szCs w:val="20"/>
          <w:color w:val="auto"/>
        </w:rPr>
      </w:pPr>
      <w:r>
        <w:rPr>
          <w:rFonts w:ascii="Arial" w:cs="Arial" w:eastAsia="Arial" w:hAnsi="Arial"/>
          <w:sz w:val="18"/>
          <w:szCs w:val="18"/>
          <w:color w:val="auto"/>
        </w:rPr>
        <w:t>respectively, and are included in the Prepaid expenses and other current assets and Other assets line items of the condensed consolidated balance sheets, respectively, depending on the contractual repayment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pays fees for director services provided by Cinven employees that are members of the Company’s Board of Directors and any related committees. The director fees are paid directly to Cinven in accordance with the Company’s non-employee director compensation policy. During the three and nine months ended September 30, 2017, the Company incurred board of director fees to Cinven of less than $0.1 million and $0.1 million, respectively, in the Company’s condensed consolidated statement of operations. During the three and nine months ended September 30, 2016, the Company incurred management fees to Cinven of less than $0.1 million and $0.2 million, respectively, in the Company’s condensed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Symplmed Pharmaceuticals, LLC (“Symplmed”)</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Medpace Investors LLC, a noncontrolling shareholder of the Company that is owned by employees of the Company and managed by the Company’s chief executive officer, has a majority ownership interest in Symplmed, a private pharmaceutical development company. In addition, the chief executive officer and other executives of the Company are board members of Symplmed. The Company has operated under a Master Services Agreement (“MSA”) with Symplmed since 2013 (amended in 2014) to perform clinical trial related services. Certain task orders governed by this arrangement were amended in the third quarter of 2016, changing the fee structure from unitized in nature to time and materials and revised pricing to more appropriately reflect market pricing based on the Company’s leveraging of this work to develop and enhance certain new service capabilities. The Company has evaluated its relationship with Symplmed and concluded that Symplmed is not a variable interest entity because the Company has no direct ownership interest or relationship other than the MSA. During the three months ended September 30, 2017 and 2016, the Company recognized service revenue from Symplmed of less than $0.1 million and negative service revenue adjustments from Symplmed of $0.4 million, respectively, and during the nine months ended September 30, 2017 and 2016, the Company recognized service revenue from Symplmed of less than $0.1 million and negative service revenue adjustments from Symplmed of less than $0.1 million, respectively, in the Company’s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Coherus BioSciences, Inc. (“Coherus”)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chief executive officer of the Company is a member of Coherus’s board of directors. During the three months ended September 30, 2017 and 2016, the Company recognized service revenue from Coherus of $1.4 million and $6.8 million, respectively, and during the nine months ended September 30, 2017 and 2016, the Company recognized service revenue from Coherus of $6.5 million and $18.2 million, respectively, in the Company’s condensed consolidated statements of operations. In addition, the company recognized Reimbursed out-of-pocket revenue and Reimbursed out-of-pocket expenses with Coherus in the condensed consolidated statements of operations of $0.1 million and $1.3 million during the three months ended September 30, 2017 and 2016, respectively, and $1.1 million and $4.2 million during the nine months ended September 30, 2017 and 2016. As of September 30, 2017 and December 31, 2016, respectively, the Company had Accounts receivable and unbilled, net from Coherus of $0.3 million and $2.0 million recorded in the condensed consolidated balance sheets. As of September 30, 2017 and December 31, 2016, respectively, the Company had, from Coherus, $2.6 million and $6.3 million of Advanced billings and $1.5 million and $3.8 million of Pre-funded study costs, in the condensed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Xenon Pharmaceuticals, Inc. (“Xenon”)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executives and employees of the Company, including the chief executive officer, have held equity investments in Xenon, a clinical-stage biopharmaceutical company. During the second quarter of 2017, the chief executive officer sold his entire equity position held in Xenon. Xenon is no longer considered to be a related party subsequent to this sale. During July 2015 the Company and Xenon entered into an amended MSA agreement for the Company to provide clinical trial related services. The Company recognized service revenue from Xenon of $0.4 million during the three months ended September 30, 2016, and service revenue from Xenon of $0.6 million and $0.8 million during the six months ended June 30, 2017 and nine months ended September 30, 2016, respectively, in the Company’s condensed consolidated statements of operations. As of December 31, 2016, the Company had, from Xenon, $1.3 million of Advanced billings and $0.1 million of Pre-funded study costs in the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Cymabay Therapeutics, Inc. (“Cymabay”)</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Cymabay is a clinical-stage biopharmaceutical company developing therapies to treat metabolic diseases with high unmet medical need, including serious rare and orphan disorders. During the first quarter of 2016, it was announced that a Medpace employee would join Cymabay’s board of directors. The Company and Cymabay entered into a MSA dated October 21, 2016. Subsequently, the Company and Cymabay have entered into several task orders for the Company to perform clinical trial related services. During the three months ended September 30, 2017 and 2016, the Company recognized service revenue from Cymabay of $0.2 million and $0.1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ind w:right="460"/>
        <w:spacing w:after="0" w:line="277" w:lineRule="auto"/>
        <w:rPr>
          <w:sz w:val="20"/>
          <w:szCs w:val="20"/>
          <w:color w:val="auto"/>
        </w:rPr>
      </w:pPr>
      <w:r>
        <w:rPr>
          <w:rFonts w:ascii="Arial" w:cs="Arial" w:eastAsia="Arial" w:hAnsi="Arial"/>
          <w:sz w:val="18"/>
          <w:szCs w:val="18"/>
          <w:color w:val="auto"/>
        </w:rPr>
        <w:t>million, respectively, and during the nine months ended September 30, 2017 and 2016, the Company recognized service revenue from Cymabay of $0.4 million and $0.3 million, respectively, in the Company’s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 Therapeutics LLC (“LIB”)</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Certain executives and employees of the Company, including the chief executive officer, are members of LIB’s board of managers. The Company entered into a MSA dated November 24, 2015 with LIB, a company that engages in research, development, marketing and commercialization of pharmaceutical drugs. Subsequently, the Company and LIB have entered into several task orders for the Company to perform clinical trial related services. During the three months ended September 30, 2017 and 2016, the Company recognized service revenue from LIB of $0.5 million and $0.1 million, respectively, and during the nine months ended September 30, 2017 and 2016, the Company recognized service revenue from LIB of $1.1 million and $0.1 million, respectively, in the Company’s condensed consolidated statements of operations. As of September 30, 2017 and December 31, 2016, respectively, the Company had Accounts receivable and unbilled, net from LIB of $0.2 million and less than $0.1 million recorded in the condensed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CinRx Pharma, LLC (“CinRx”)</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executives and employees of the Company, including the chief executive officer, are members of CinRx’s board of managers and/or have equity investments in CinRx, a biotech company. The Company and CinRx have entered into several task orders for the Company to perform clinical trial related services. During the three and nine months ended September 30, 2017, the Company recognized service revenue from CinRx of $0.1 million and $0.3 million, respectively, in the Company’s condensed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Medpace Investors, LLC</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Medpace Investors is a noncontrolling shareholder and related party of Medpace Holdings, Inc. Medpace Investors is owned and managed by employees of the Company. The chief executive officer of Medpace is also the manager and majority unit holder of Medpace Investors. The Company acted as a paying agent for Medpace Investors with taxing authorities principally in instances when employee tax payments or remittance of withholdings related to equity compensation are required. During the three and nine months ended September 30, 2016, the Company paid $0.1 million and $0.8 million to various taxing authorities on behalf of Medpace Investors.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Real Estate Properties</w:t>
      </w:r>
    </w:p>
    <w:p>
      <w:pPr>
        <w:spacing w:after="0" w:line="11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December 2016, the Company entered into a purchase agreement for four parcels of real estate property that are closely situated to the Medpace campus in Cincinnati, Ohio, from AT Redevelopment Company, LLC, which is wholly-owned by the Company’s chief executive officer. The purchase price of the real estate property was $0.4 million as determined by an independent third party broker's opinion of value. The transaction closed on January 11,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Real Estate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 Lease</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entered into an operating lease for its corporate headquarters with an entity that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 The lease for headquarters is for an initial term of twelve years through November 2022 with a renewal option for one 10-year term at prevailing market rates. The Company pays rent, taxes, insurance, and maintenance expenses that arise from the use of the property. Annual base rent for the corporate headquarters allows for adjustments to the rental rate annually for increases in the consumer price index. Lease expense recognized for each of the three months ended September 30, 2017 and 2016 was $0.5 million, respectively, and lease expense recognized for each of the nine months ended September 30, 2017 and 2016 was $1.6 million, respectively. The lease expense was allocated between Direct costs, excluding depreciation and amortization, and Selling, general and administrative in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Deemed Assets and Deemed Landlord Liabilities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entered into two multi-year lease agreements governing the occupancy of space of two buildings in Cincinnati, Ohio with an entity that is wholly owned by the Company’s chief executive officer and certain members of his immediate family. In accordance with the accounting guidance related to leases, the Company was deemed in substance to be the owner of the property during the construction phase and at completion. Accordingly, the Company reflected the buildings and related liabilities as deemed assets from landlord building construction in Property and equipment, net, Other current liabilities, and Deemed landlord liability, less current portion, respectively, on the condensed consolidated balance sheets. The Company assumed occupancy in 2012 and the leases expire in 2027 with the Company having one 10-year option to extend the lease term. The deemed assets are being fully depreciated,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ind w:right="80"/>
        <w:spacing w:after="0" w:line="291" w:lineRule="auto"/>
        <w:rPr>
          <w:sz w:val="20"/>
          <w:szCs w:val="20"/>
          <w:color w:val="auto"/>
        </w:rPr>
      </w:pPr>
      <w:r>
        <w:rPr>
          <w:rFonts w:ascii="Arial" w:cs="Arial" w:eastAsia="Arial" w:hAnsi="Arial"/>
          <w:sz w:val="16"/>
          <w:szCs w:val="16"/>
          <w:color w:val="auto"/>
        </w:rPr>
        <w:t>on a straight line basis, over the 15-year term of the lease. Deemed landlord liabilities are recorded at their net present value when the Company enters into qualifying leases and are reduced as the Company makes periodic lease payments on the properties. Accretion expense is being recorded over the term of the lease as a component of Interest expense, net in the Company’s condensed consolidated statements of operations. The Company paid $0.9 million during the three months ended September 30, 2017 and 2016, respectively, and $2.8 million during the nine months ended September 30, 2017 and 2016. The current and long-term portions of the Deemed landlord liability at September 30, 2017 were $1.8 million and $27.1 million, respectively. The current and long-term portions of the Deemed landlord liability at December 31, 2016 were $1.7 million and $28.5 million, respectively. The Company has recognized deemed assets, net of $16.8 million and $18.1 million at September 30, 2017 and December 31, 2016, respectively, in the condensed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Travel Services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that is owned by the chief executive officer and the executive vice president of operations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$0.3 million during the three months ended September 30, 2017 and 2016, respectively, and $0.9 million and $0.8 during the nine months ended September 30, 2017 and 2016, respectively, related to these travel services. These travel expenses are recorded in Selling, general and administrative 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Cash Flow Statement- Supplemental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2017, the Company engaged in the following significant non-cash investing and financing activities:</w:t>
      </w:r>
    </w:p>
    <w:p>
      <w:pPr>
        <w:spacing w:after="0" w:line="196" w:lineRule="exact"/>
        <w:rPr>
          <w:sz w:val="20"/>
          <w:szCs w:val="20"/>
          <w:color w:val="auto"/>
        </w:rPr>
      </w:pPr>
    </w:p>
    <w:p>
      <w:pPr>
        <w:ind w:left="760" w:right="80" w:hanging="374"/>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Acquired net assets totaling $0.7 million consisting of net Deferred tax assets of $22.2 million, offset by net Deferred tax liabilities of $0.1 million and Deferred credits of $21.4 million in exchange for Accounts receivable and unbilled, net of $0.6 million and Other assets of $0.1 million.</w:t>
      </w:r>
    </w:p>
    <w:p>
      <w:pPr>
        <w:spacing w:after="0" w:line="366" w:lineRule="exact"/>
        <w:rPr>
          <w:rFonts w:ascii="Arial" w:cs="Arial" w:eastAsia="Arial" w:hAnsi="Arial"/>
          <w:sz w:val="16"/>
          <w:szCs w:val="16"/>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in conjunction with our condensed consolidated financial statements and the notes thereto included elsewhere in this Quarterly Report on Form 10-Q, with our audited consolidated financial statements and the notes thereto included in our Annual Report on Form 10-K for the fiscal year ended December 31, 2016 and with the information under the heading “Management Discussion and Analysis of Financial Condition and Results of Operations” in our Annual Report on Form 10-K for the fiscal year ended December 31, 2016. This item and the related discussion contain forward-looking statements reflecting current expectations that involve risks and uncertainties. Actual results and the timing of events may differ materially from those indicated in such forward-looking statements. Important factors that may cause such differences include, but are not limited to, those discussed under the “Forward-Looking Statements” below and “Risk Factors” in “Item 1A Risk Factors” of Part I of our Annual Report on Form 10-K for the fiscal year ended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including statements regarding our future results of operations and financial position, business strategy, product approvals and plans and our objectives for future operations, are forward looking statements. The words “expect,” “anticipate,” “intend,” “plan,” “believe,” “seek,” “see,” “will,” “would,” “target,” and similar expressions are intended to identify forward looking statements.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 looking statements we may make. In light of these risks, uncertainties and assumptions, the forward looking events and circumstances discussed may not occur and actual results could differ materially and adversely from those anticipated or implied in the forward looking statements. We caution you therefore against relying on these forward looking statements.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Part I of our Annual Report on Form 10-K for the fiscal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focus on conducting clinical trials across all major therapeutic areas, with particular strength in Cardiology, Metabolic Disease, Oncology, Endocrinology, Central Nervous System (“CNS”), Antiviral and Anti-infective (“AVAI”), as well as therapeutic expertise in Medical Devices. Our global platform includes approximately 2,500 employees across 35 countries, providing our customers with broad access to diverse markets and patient populations as well as local regulatory expertise and market knowledge.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2017, the Company acquired out of bankruptcy NephroGenex, Inc. (“Nephrogenex” or the “Debtor”), a publicly-held pharmaceutical company that had previously filed for relief under Chapter 11 of the United States Bankruptcy Code. The Company, which was the largest unsecured creditor of Nephrogenex, entered into an agreement through the bankruptcy process, to exchange its unsecured claim for 100% of the common stock in the post-bankruptcy, debt free Debtor. The assets of the acquired Debtor consist primarily of tax attributes as well as in-process research and development and other intangible assets. An analysis by the Company determined that substantially all the fair value of the assets on the date of acquisition is captured in the tax attributes, as the intangible assets account for a relatively immaterial portion of the fair market value of the total assets received. The acquisition of the Debtor was accounted for as an asset purchase. The Company allocated its consideration paid of $1.2 million, consisting of accounts receivable and unbilled receivables and transaction related costs, on a pro rata basis to the assets acquired based on their respective fair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right="20"/>
        <w:spacing w:after="0" w:line="297" w:lineRule="auto"/>
        <w:rPr>
          <w:sz w:val="20"/>
          <w:szCs w:val="20"/>
          <w:color w:val="auto"/>
        </w:rPr>
      </w:pPr>
      <w:r>
        <w:rPr>
          <w:rFonts w:ascii="Arial" w:cs="Arial" w:eastAsia="Arial" w:hAnsi="Arial"/>
          <w:sz w:val="16"/>
          <w:szCs w:val="16"/>
          <w:color w:val="auto"/>
        </w:rPr>
        <w:t>values. Acquired assets include intangible assets of $0.5 million, deferred tax assets of $22.2 million, consisting of tax effected net operating losses in the amount of $21.1 (partially offset with a $7.6 million valuation allowance), tax effected capitalized research and development expenses of $8.5 million and tax effected federal tax credits of $1.4 million (partially offset with a $1.2 million valuation allowance) and deferred tax liabilities of $0.1 million. The excess amount of fair value received over consideration paid of $21.4 million was recorded as a Deferred credit in the condensed consolidated balance sheets and will be recognized within Income tax provision in proportion to the realization of the deferred tax assets and federal tax credits prospectively.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revenue consists of net service revenue and reimbursed-out-of-pocket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Service Revenue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subject to negotiation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and or study life cycle stage.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Reimbursed Out-of-Pocket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condensed consolidated statements of operations with no resulting effect on our revenue or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costs and expenses are comprised primarily of our direct costs, selling, general and administrative costs, depreciation and amortization and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noted above, we also have reimbursed out-of-pocket expenditures that are directly offset by our reimbursed out-of-pocket revenue.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 Excluding Depreciation and Amortization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 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Selling, general and administrative expenses are primarily driven by compensation and related employee benefits, as well as rent, utilities, supplies, software licenses, professional fees (e.g., legal and accounting expenses), bad debt expense, travel, marketing and other operating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relates to finite-lived intangible assets recognized as expense using the straight-line method or using an accelerated method over their estimated useful lives, which range in term from 17 months to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Income tax provision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evaluate the performance of our business, we utilize a variety of financial and performance metrics. These key measures include new business awards, cancellations and backlog.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Business Awards, Cancellations and Backlog</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8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 Net new business awards were $112.1 million and $109.1 million for the three months ended September 30, 2017 and 2016, respectively, and net new business awards were $311.3 million and $327.2 million for the nine months ended September 30, 2017 and 2016, respectively.</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Backlog represents anticipated future net service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September 30, 2017, our backlog increased by $29.6 million, or 6.2%, to $510.0 million compared to $480.4 million as of September 30, 2016. Included within backlog as of September 30, 2017 was approximately $275 million to $285 million that we expect to convert to net service revenue over the next twelve months, with the remainder expected to convert to net service revenue thereafter.</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effect of foreign currency adjustments on backlog was as follows: favorable foreign currency adjustments of $1.5 million for the three months ended September 30, 2017; favorable foreign currency adjustments of $2.6 million for the nine months 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right="660"/>
        <w:spacing w:after="0" w:line="277" w:lineRule="auto"/>
        <w:rPr>
          <w:sz w:val="20"/>
          <w:szCs w:val="20"/>
          <w:color w:val="auto"/>
        </w:rPr>
      </w:pPr>
      <w:r>
        <w:rPr>
          <w:rFonts w:ascii="Arial" w:cs="Arial" w:eastAsia="Arial" w:hAnsi="Arial"/>
          <w:sz w:val="18"/>
          <w:szCs w:val="18"/>
          <w:color w:val="auto"/>
        </w:rPr>
        <w:t>September 30, 2017; favorable foreign currency adjustments of $0.4 million for the three months ended September 30, 2016; and unfavorable foreign currency adjustments of $1.0 million for the nine months ended September 30, 2016.</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2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vMerge w:val="restart"/>
          </w:tcPr>
          <w:p>
            <w:pPr>
              <w:ind w:left="1720"/>
              <w:spacing w:after="0"/>
              <w:rPr>
                <w:sz w:val="20"/>
                <w:szCs w:val="20"/>
                <w:color w:val="auto"/>
              </w:rPr>
            </w:pPr>
            <w:r>
              <w:rPr>
                <w:rFonts w:ascii="Arial" w:cs="Arial" w:eastAsia="Arial" w:hAnsi="Arial"/>
                <w:sz w:val="18"/>
                <w:szCs w:val="18"/>
                <w:color w:val="auto"/>
              </w:rPr>
              <w:t>U.S. Dollars per Euro:</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8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w w:val="85"/>
              </w:rPr>
              <w:t>1.17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48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gridSpan w:val="9"/>
          </w:tcPr>
          <w:p>
            <w:pPr>
              <w:spacing w:after="0"/>
              <w:rPr>
                <w:sz w:val="20"/>
                <w:szCs w:val="20"/>
                <w:color w:val="auto"/>
              </w:rPr>
            </w:pPr>
            <w:r>
              <w:rPr>
                <w:rFonts w:ascii="Arial" w:cs="Arial" w:eastAsia="Arial" w:hAnsi="Arial"/>
                <w:sz w:val="18"/>
                <w:szCs w:val="18"/>
                <w:b w:val="1"/>
                <w:bCs w:val="1"/>
                <w:i w:val="1"/>
                <w:iCs w:val="1"/>
                <w:color w:val="auto"/>
                <w:w w:val="93"/>
              </w:rPr>
              <w:t>Three Months Ended September 30, 2017 compared to Three Months Ended September 30, 2016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2017</w:t>
            </w: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40" w:type="dxa"/>
            <w:vAlign w:val="bottom"/>
            <w:gridSpan w:val="2"/>
            <w:vMerge w:val="restart"/>
          </w:tcPr>
          <w:p>
            <w:pPr>
              <w:jc w:val="right"/>
              <w:ind w:right="344"/>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vMerge w:val="restart"/>
          </w:tcPr>
          <w:p>
            <w:pPr>
              <w:spacing w:after="0"/>
              <w:rPr>
                <w:sz w:val="16"/>
                <w:szCs w:val="16"/>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8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FF0FC"/>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FF0F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 net</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98,681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94,812</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3,869</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Reimbursed out-of-pocket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11,962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(1,025)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gridSpan w:val="3"/>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110,643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107,799</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2,844</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Direct costs, excluding depreciation and amortization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53,144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51,221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1,923</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Reimbursed out-of-pocket expenses</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11,962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(1,025)</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16,606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16,391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2,237</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9,496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12,668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(3,172)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gridSpan w:val="3"/>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93,445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95,182</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24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17,198</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12,617</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4,581</w:t>
            </w: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Miscellaneous expense, net</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(1,906)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(4,656)</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2,750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15,147</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7,583</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7,564</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provision</w:t>
            </w: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5,316</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2,547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2,769</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9,831</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4,795</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1200" w:type="dxa"/>
            <w:vAlign w:val="bottom"/>
            <w:gridSpan w:val="3"/>
          </w:tcPr>
          <w:p>
            <w:pPr>
              <w:jc w:val="right"/>
              <w:ind w:right="45"/>
              <w:spacing w:after="0"/>
              <w:rPr>
                <w:sz w:val="20"/>
                <w:szCs w:val="20"/>
                <w:color w:val="auto"/>
              </w:rPr>
            </w:pPr>
            <w:r>
              <w:rPr>
                <w:rFonts w:ascii="Arial" w:cs="Arial" w:eastAsia="Arial" w:hAnsi="Arial"/>
                <w:sz w:val="18"/>
                <w:szCs w:val="18"/>
                <w:color w:val="auto"/>
              </w:rPr>
              <w:t>- 20 -</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Nine Months Ended September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 net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287,014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275,245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11,769</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Reimbursed out-of-pocket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36,456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323,470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313,339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Direct costs, excluding 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156,204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147,436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8,768</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Reimbursed out-of-pocket expenses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(1,638)</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46,515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1,791</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28,406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(9,598)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274,049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273,739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49,421</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39,600</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Miscellaneous expense, net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(642)</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(1,319)</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(5,508)</w:t>
            </w:r>
          </w:p>
        </w:tc>
        <w:tc>
          <w:tcPr>
            <w:tcW w:w="3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(16,550)</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11,042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43,271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21,731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27,831</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14,385</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 net and Reimbursed out-of-pocket revenue</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the three months ended September 30, 2017 service revenue, net increased by $3.9 million to $98.7 million, from $94.8 million for the three months ended September 30, 2016. For the nine months ended September 30, 2017 service revenue, net increased by $11.8 million to $287.0 million, from $275.2 million. The increase for the three and nine months ended September 30, 2017, compared to the same periods in the prior year, were primarily driven by growth within the Oncology, Metabolic, and other uncategorized therapeutic areas.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Reimbursed out-of-pocket revenue decreased by $1.0 million to $12.0 million for the three months ended September 30, 2017, from $13.0 million for the three months ended September 30, 2016. Reimbursed out-of-pocket revenue decreased by $1.6 million to $36.5 million for the nine months ended September 30, 2017, from $38.1 million for the nine months ended September 30, 2016. Reimbursed out-of-pocket revenues can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excluding depreciation and amortization and Reimbursed out-of-pocket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direct costs, excluding depreciation and amortization increased by $1.9 million, to $53.1 million for the three months ended September 30, 2017 from</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$51.2 million for the three months ended September 30, 2016. Our direct costs, excluding depreciation and amortization increased by $8.8 million, to $156.2 million for the nine months ended September 30, 2017 from $147.4 million for the nine months ended September 30, 2016. The increase was primarily attributed to higher personnel costs, lab related costs and office rent to support the growth in service activities. The employee related costs portion of direct costs, excluding depreciation and amortization increased by $1.3 million and $6.7 million for the three and nine months ended September 30, 2017, compared to the same period in the prior year. Lab related costs increased by $1.0 million and $0.9 million for the three months and nine months ended September 30, 2017, respectively, compared to the same periods in the prior year. Office rent costs increased by $0.2 million and $0.7 million for the three and nine months ended September 30, 2017, respectively, compared to the same periods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Selling, general and administrative expenses increased by $0.2 million, to $16.6 million for the three months ended September 30, 2017 from $16.4 million for the three months ended September 30, 2016. Selling, general and administrative expenses increased by $1.8 million, to $46.5 million for the nine months ended September 30, 2017 from $44.7 million for the nine months ended September 30, 2016. This increase for the three months ended September 30, 2017 was primarily driven by higher personnel costs of $0.1 million, compared to the same period in the prior year. The increase for the nine months ended September 30, 2017 was primarily driven by higher personnel costs of $2.6 million, compared to the same period in the prior year. The employee related cost increase was offset by a reduction in bad debt expense of $1.2 million due primarily to net bad debt recoveries for the nine months ended September 30, 2017, compared to bad debt expense in the same period in the prior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Depreciation and amortization expense decreased by $2.9 million, to $11.7 million for the three months ended September 30, 2017 from $14.6 million for the three months ended September 30, 2016. Depreciation and amortization expense decreased by $8.6 million, to $34.9 million for the nine months ended September 30, 2017 from $43.5 million for the nine months ended September 30, 2016. The decrease in depreciation and amortization was primarily related to the continued amortization of our definite lived intangible assets, which are amortized on an accelerated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Miscellaneous expense, net decreased by $0.2 million to $0.1 million of expense for the three months ended September 30, 2017 from $0.4 million of expense for the three months ended September 30, 2016. Miscellaneous expense, net decreased by $0.7 million to $0.6 million of expense for the nine months ended September 30, 2017 from $1.3 million of expense for the nine months ended September 30, 2016. The change for the nine months ended September 30, 2017 was mainly attributable to foreign exchange gains or losses that arise in connection with the revaluation of short-term intercompany balances between our domestic and international subsidiaries, gains or losses from foreign currency transactions, such as those resulting from the settlement of third-party accounts receivables and payables denominated in a currency other than the local currency of the entity making the payment and exit costs related to the previous headquarter 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Interest expense, net decreased by $2.8 million to $1.9 million for the three months ended September 30, 2017 from $4.7 million for the three months ended September 30, 2016. Interest expense, net decreased by $11.0 million to $5.5 million for the nine months ended September 30, 2017 from $16.6 million for the nine months ended September 30, 2016. The decrease in interest expense, net was related to the average lower outstanding balance under our Senior Secured Term Loan Facility (as defined below), as well as a lower effective interest rate as a result of the new credit agreement entered into in December 2016 (as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Income tax provision increased by $2.8 million, to $5.3 million for the three months ended September 30, 2017 from $2.5 million for the three months ended September 30, 2016. Income tax provision increased by $7.2 million, to $15.4 million for the nine months ended September 30, 2017 from $8.3 million for the nine months ended September 30, 2016. The overall effective tax rate for the three months ended September 30, 2017 was 35.1%, compared to an overall effective tax rate of 33.6% for the three months ended September 30, 2016. The overall effective tax rate for the nine months ended September 30, 2017 was 35.7%, compared to an overall effective tax rate of 38.1% for the nine months ended September 30, 2016. The change in effective tax rates and the increase in income tax provision was primarily due to the increases in projected pre-tax book income for the three and nine months ended September 30, 2017 partially offset with a favorable impact associated with domestic uncertain tax positions and the favorable tax impact associated with acquired tax attributes.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September 30, 2017, we had cash and cash equivalents of $24.2 million, including approximately $0.1 million of restricted cash. Approximately $12.6 million of cash and cash equivalents, none of which was restricted, was held by our foreign subsidiaries as of September 30, 2017. On December 8, 2016, the Company entered into a credit agreement (the “Senior Secured Credit Agreement”) consisting of a $165.0 million term loan (the “Senior Secured Term Loan Facility”) and a $150.0 million revolving credit facility (the “Senior Secured Revolving Credit Facility” and, together with the Senior Secured Term Loan Facility, the “Senior Secured Credit Facilities”). As of September 30, 2017, we had $119.7 million available for borrowing under our Senior Secured Revolving Credit Facility. Our expected primary cash needs on both a short and long-term basis are for investment in operational growth, capital expenditures, payment of debt, share repurchases, selective strategic bolt-on acquisitions, other investments, and other general corporate needs. We have historically funded our operations and growth with cash flow from operations and borrowings under our credit facilities. We expect to continue expanding our operations through organic growth and potentially highly selective bolt-on acquisitions and investments. We expect these activities will be funded from existing cash, cash flow from operations and, if necessary, borrowings under our existing or future credit facilities.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20"/>
        <w:spacing w:after="0" w:line="289" w:lineRule="auto"/>
        <w:rPr>
          <w:sz w:val="20"/>
          <w:szCs w:val="20"/>
          <w:color w:val="auto"/>
        </w:rPr>
      </w:pPr>
      <w:r>
        <w:rPr>
          <w:rFonts w:ascii="Arial" w:cs="Arial" w:eastAsia="Arial" w:hAnsi="Arial"/>
          <w:sz w:val="16"/>
          <w:szCs w:val="16"/>
          <w:color w:val="auto"/>
        </w:rPr>
        <w:t>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 See “Risk Factors—Risks Relating to our Indebtedness—We may not be able to generate sufficient cash to service all of our indebtedness, and may be forced to take other actions to satisfy our obligations under our indebtedness that may not be successful” in Item 1A of Part I of the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Nine</w:t>
            </w:r>
          </w:p>
        </w:tc>
      </w:t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Months</w:t>
            </w:r>
          </w:p>
        </w:tc>
      </w:t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7860" w:type="dxa"/>
            <w:vAlign w:val="bottom"/>
            <w:tcBorders>
              <w:bottom w:val="single" w:sz="8" w:color="CFF0FC"/>
            </w:tcBorders>
          </w:tcPr>
          <w:p>
            <w:pPr>
              <w:ind w:left="2740"/>
              <w:spacing w:after="0"/>
              <w:rPr>
                <w:sz w:val="20"/>
                <w:szCs w:val="20"/>
                <w:color w:val="auto"/>
              </w:rPr>
            </w:pPr>
            <w:r>
              <w:rPr>
                <w:rFonts w:ascii="Arial" w:cs="Arial" w:eastAsia="Arial" w:hAnsi="Arial"/>
                <w:sz w:val="14"/>
                <w:szCs w:val="14"/>
                <w:b w:val="1"/>
                <w:bCs w:val="1"/>
                <w:color w:val="auto"/>
              </w:rPr>
              <w:t>Cash Flows (Amounts in thousands)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62,667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(8,854)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(7,760)</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(74,594)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(54,872)</w:t>
            </w: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flows from operations are driven mainly by net income and net movement in accounts receivable and unbilled, net, advanced billings, pre-funded liabilities, accounts payable, accrued expenses, deferred taxes and deferred credits. Accounts receivable and unbilled, net,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Net cash flows provided by operating activities was $68.7 million for the nine months ended September 30, 2017 beginning with net income of $27.8 million. Adjustments to reconcile net income to net cash provided by operating activities were $37.6 million, primarily related to amortization of intangibles of $28.4 million, depreciation of $6.5 million and stock based compensation expense of $3.2 million, offset by $0.4 million of benefit from deferred taxes. Changes in operating assets and liabilities provided $3.3 million in operating cash flows and was primarily driven by decreased accounts receivable and unbilled, net of $5.3 million and increased advanced billings of $2.4 million, offset by decreased accrued expenses of $4.8 million.</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Net cash flows provided by operating activities was $62.7 million for the nine months ended September 30, 2016 beginning with net income of $13.4 million. Adjustments to reconcile net income to net cash provided by operating activities were $53.2 million primarily related to amortization of intangibles of $38.0 million, depreciation of $5.5 million and stock based compensation expense of $8.6 million, offset by $0.6 million of benefit from deferred taxes. Changes in operating assets and liabilities used $4.0 million in operating cash flows and was primarily driven by increased accounts receivable and unbilled services, net of $16.6 million, increased prepaid expenses and other current assets of $8.7 million, offset by increased accrued expenses of $1.3 million primarily related to employee related costs, a decrease in other assets and liabilities, net of $2.4 million, and an increase in advanced billings of $16.6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Net cash used in investing activities was $8.9 million for the nine months ended September 30, 2017 primarily consisting of property and equipment expenditures and an acquisition of intangible assets.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Net cash used in investing activities was $7.8 million for the nine months ended September 30, 2016 primarily consisting of property and equipment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financing activities was $74.6 million for the nine months ended September 30, 2017 primarily related to $95.2 million in repurchases of common stock, $9.3 million in principal payments on our Senior Secured Term Loan Facility and $10.0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color w:val="auto"/>
        </w:rPr>
        <w:t>million in principal payments on our Senior Secured Revolving Credit Facility, offset by $40.0 million in proceeds from the Senior Secured Revolving Credit Facility.</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used in financing activities was $54.9 million for the nine months ended September 30, 2016 primarily related to $225.0 million in principal payments on our 2014 Senior Secured Term Loan Facility, offset by the IPO proceeds received of $173.6 million. The remaining activity consisted of rental payments on deemed landlord assets and the payment of common stock issuance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August 2017, the Disinterested Directors of the Company approved a stock repurchase agreement with Medpace Limited Partnership, a Guernsey limited partnership (the “Limited Partnership” acting through its general partner, Medpace GP Limited, a Guernsey company, the “General Partner” and, the Limited Partnership acting through the General Partner, “Cinven”), pursuant to which the Company repurchased 2,000,000 shares of the Company’s common stock from Cinven for aggregate consideration of approximately $60.5 million, representing a purchase price of $30.27 per share. The Company funded the repurchase with cash on hand and $40.0 million in borrowings under our Senior Secured Revolving Credit Facility.</w:t>
      </w:r>
    </w:p>
    <w:p>
      <w:pPr>
        <w:spacing w:after="0" w:line="6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April 2017, the Board of the Company authorized a share repurchase program with an authorized level of $50.0 million. The share repurchase program, according to its terms, will expire in April 2018. Repurchases under the repurchase program may take place in the open market or negotiated transactions, at the discretion of the Company’s management. During the three and nine months ended September 30, 2017, the Company repurchased 300,331 and 1,342,786 shares of its outstanding common stock for $8.3 million and $34.7 million, respectively, under this share repurchase program.</w:t>
      </w:r>
    </w:p>
    <w:p>
      <w:pPr>
        <w:spacing w:after="0" w:line="4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has elected to constructively retire all repurchased shares with all amounts paid in excess of Common stock par value reflected within Accumulated deficit in the Company’s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September 30, 2017, we had total indebtedness of $185.7 million, which was attributed to outstanding borrowings on the Senior Secured Credit Facilities. There was $30.0 million in outstanding borrowings under the Senior Secured Revolving Credit Facility as of September 30, 2017. As of September 30, 2017, we had $0.3 million in letters of credit outstanding related to certain operating lease obligations, which are secured by the Senior Secured Revolving Credit Facility. See Note 8 to our audited consolidated financial statements on our Annual Report on Form 10-K for details regarding our Senior Secured Credit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various contractual obligations, which are recorded as liabilities in our condensed consolidated financial statements. Other items, such as operating lease obligations, are not recognized as liabilities in our condensed consolidated financial statements but are required to be disclosed. The following table summarizes future payments and interest related to indebtedness, including the $30.0 million balance on the Senior Secured Revolving Credit Facility for the partial and full years subsequent to the quarter ended September 30, 2017.</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have been no material changes, except as follows, to our contractual obligations as previously disclosed in our Annual Report on Form 10-K for the fiscal year ended December 31, 2016:</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2"/>
              </w:rPr>
              <w:t>Payments Due by Period</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9"/>
              </w:rPr>
              <w:t>Remaining 2017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1-3 years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More than 5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185,719</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33,000</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149,625</w:t>
            </w: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on long-term debt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18,004</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9,398</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2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203,723</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42,398</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156,936</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Principal payments in the above table are based on the terms contained in our agreements. Interest payments are based on the interest rate in effect on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Off 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 entity or similar arrangement that serves as credit, liquidity or market risk support for such assets. We have no off balance sheet arrangements currently.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have been no significant changes in the critical accounting policies and estimates as previously described in our Annual Report on Form 10-K for the fiscal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2017-01, Business Combinations. The standard changes the definition of a business to assist entities with evaluating when a set of transferred assets and activities is a business. Under the new guidance, an entity first determines whether substantially all of the fair value of the gross assets acquired is concentrated in a single identifiable asset or a group of similar identifiable assets. If this threshold is met, the set is not a business. If it’s not met, the entity then evaluates whether the set meets the requirement that a business include, at a minimum, an input and a substantive process that together significantly contribute to the ability to create outputs. ASU 2017-01 is effective for fiscal years beginning after December 15, 2017, and for interim periods within those fiscal years. The Company, as permitted, early adopted ASU 2017-01 using the prospective method in the second quarter of 2017. ASU 2017-01 was considered in the asset acquisition described in Note 2.</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2016, the FASB issued ASU 2016-18, Statement of Cash Flows (Topic 230): Restricted Cash. The new guidance is intended to reduce diversity in practice by requiring the statement of cash flows to explain the change during the period in the total of cash, cash equivalents and amounts generally described as restricted cash and restricted cash equivalents. ASU 2016-18 is effective for fiscal years beginning after December 15, 2017, and for interim periods within those fiscal years. The Company, as permitted, early adopted ASU 2016-18 in the fourth quarter of 2016. As a result of this adoption, cash flows resulting from changes in restricted cash balances, are no longer presented as a component of net cash provided by operating activities in the Company’s condensed consolidated statements of cash flows, but have been reclassified and combined within (Decreases)/Increases in Cash, Cash Equivalents and Restricted Cash. This reclassification was retrospectively applied to all periods presented within the condensed consolidated statements of cash flows.</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Improvements to Employee Share-Based Payment Accounting</w:t>
      </w:r>
      <w:r>
        <w:rPr>
          <w:rFonts w:ascii="Arial" w:cs="Arial" w:eastAsia="Arial" w:hAnsi="Arial"/>
          <w:sz w:val="16"/>
          <w:szCs w:val="16"/>
          <w:color w:val="auto"/>
        </w:rPr>
        <w:t>. The new guidance is intended to simplify certain aspects of accounting for share based payments to employees, including the accounting for income taxes, forfeitures, and statutory tax withholding requirements, as well as classification in the statement of cash flows. The Company elected to adopt this ASU in the first quarter of 2017 as required. The following summarizes the effects of the adoption on the Company's condensed consolidated financial statements:</w:t>
      </w:r>
    </w:p>
    <w:p>
      <w:pPr>
        <w:spacing w:after="0" w:line="154" w:lineRule="exact"/>
        <w:rPr>
          <w:sz w:val="20"/>
          <w:szCs w:val="20"/>
          <w:color w:val="auto"/>
        </w:rPr>
      </w:pPr>
    </w:p>
    <w:p>
      <w:pPr>
        <w:ind w:left="760" w:right="60" w:hanging="374"/>
        <w:spacing w:after="0" w:line="272"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Upon adoption of this standard, all excess tax benefits and tax deficiencies (including tax benefits of dividends, if distributed, on</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payment awards) are recognized as income tax expense or benefit in the statement of operations. The tax effects of exercised or vested awards are treated as discrete items in the reporting period in which they occur. As a result, the Company recognized discrete adjustments to income tax expense for the nine months ended September 30, 2017 of less than $0.1 million related to excess tax benefits. The Company also recognizes excess tax benefits regardless of whether the benefit reduces taxes payable in the current period. The Company applied the prospective adoption approach for any unrecognized excess tax benefits beginning in 2017, which did not result in any cumulative-effect adjustment upon adoption. Prior periods have not been adjusted.</w:t>
      </w:r>
    </w:p>
    <w:p>
      <w:pPr>
        <w:spacing w:after="0" w:line="177" w:lineRule="exact"/>
        <w:rPr>
          <w:rFonts w:ascii="Arial" w:cs="Arial" w:eastAsia="Arial" w:hAnsi="Arial"/>
          <w:sz w:val="17"/>
          <w:szCs w:val="17"/>
          <w:color w:val="auto"/>
        </w:rPr>
      </w:pPr>
    </w:p>
    <w:p>
      <w:pPr>
        <w:ind w:left="760" w:right="80" w:hanging="374"/>
        <w:spacing w:after="0" w:line="25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 Prior to adoption, share-based compensation expense was recognized on a straight line basis, net of estimated forfeitures, such that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recognized only for share-based awards that were expected to vest. A forfeiture rate was estimated annually and revised, if necessary, in subsequent periods if actual forfeitures differed from initial estimates. Upon adoption, the Company no longer applies a forfeiture rate and instead accounts for forfeitures as they occur. The Company applied the modified retrospective adoption approach beginning in 2017 and booked an immaterial cumulative-effect adjustment to additional paid-in-capital and retained earnings within Shareholders’ Equity. Prior periods have not been adjusted.</w:t>
      </w:r>
    </w:p>
    <w:p>
      <w:pPr>
        <w:spacing w:after="0" w:line="193"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Statements of Cash Flows </w:t>
      </w:r>
      <w:r>
        <w:rPr>
          <w:rFonts w:ascii="Arial" w:cs="Arial" w:eastAsia="Arial" w:hAnsi="Arial"/>
          <w:sz w:val="18"/>
          <w:szCs w:val="18"/>
          <w:color w:val="auto"/>
        </w:rPr>
        <w:t>- The Company historically accounted for excess tax benefits on the condensed consolidated statements of cash flows as</w:t>
      </w:r>
      <w:r>
        <w:rPr>
          <w:rFonts w:ascii="Arial" w:cs="Arial" w:eastAsia="Arial" w:hAnsi="Arial"/>
          <w:sz w:val="18"/>
          <w:szCs w:val="18"/>
          <w:i w:val="1"/>
          <w:iCs w:val="1"/>
          <w:color w:val="auto"/>
        </w:rPr>
        <w:t xml:space="preserve"> </w:t>
      </w:r>
      <w:r>
        <w:rPr>
          <w:rFonts w:ascii="Arial" w:cs="Arial" w:eastAsia="Arial" w:hAnsi="Arial"/>
          <w:sz w:val="18"/>
          <w:szCs w:val="18"/>
          <w:color w:val="auto"/>
        </w:rPr>
        <w:t>a financing activity. Upon adoption of this standard, excess tax benefits are classified along with</w:t>
      </w:r>
    </w:p>
    <w:p>
      <w:pPr>
        <w:spacing w:after="0" w:line="170" w:lineRule="exact"/>
        <w:rPr>
          <w:rFonts w:ascii="Arial" w:cs="Arial" w:eastAsia="Arial" w:hAnsi="Arial"/>
          <w:sz w:val="18"/>
          <w:szCs w:val="18"/>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 w:name="page26"/>
    <w:bookmarkEnd w:id="25"/>
    <w:p>
      <w:pPr>
        <w:ind w:left="760" w:right="40"/>
        <w:spacing w:after="0" w:line="277" w:lineRule="auto"/>
        <w:rPr>
          <w:sz w:val="20"/>
          <w:szCs w:val="20"/>
          <w:color w:val="auto"/>
        </w:rPr>
      </w:pPr>
      <w:r>
        <w:rPr>
          <w:rFonts w:ascii="Arial" w:cs="Arial" w:eastAsia="Arial" w:hAnsi="Arial"/>
          <w:sz w:val="18"/>
          <w:szCs w:val="18"/>
          <w:color w:val="auto"/>
        </w:rPr>
        <w:t>other income tax cash flows as an operating activity. The Company elected to adopt this portion of the standard on a prospective basis beginning in 2017. Prior periods have not been adjusted.</w:t>
      </w:r>
    </w:p>
    <w:p>
      <w:pPr>
        <w:spacing w:after="0" w:line="170" w:lineRule="exact"/>
        <w:rPr>
          <w:sz w:val="20"/>
          <w:szCs w:val="20"/>
          <w:color w:val="auto"/>
        </w:rPr>
      </w:pPr>
    </w:p>
    <w:p>
      <w:pPr>
        <w:ind w:left="760" w:right="100" w:hanging="374"/>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Company uses the treasury stock method to compute diluted earnings per share, unless the effect would be anti-dilutive.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method, the Company is no longer required to estimate the tax rate and apply it to the dilutive share calculation for determining the dilutive earnings per share. The Company utilized the prospective adoption approach and applied this methodology beginning in 2017. Prior periods have not been adjusted.</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Upon adoption, no other aspects of ASU 2016-09 had an effect on the Company's condensed consolidated financial statements or related footnote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4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February 2016, the FASB issued ASU 2016-02, Leases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The guidance in ASU 2016-02 supersedes the lease recognition requirements in ASC Topic 840, </w:t>
      </w:r>
      <w:r>
        <w:rPr>
          <w:rFonts w:ascii="Arial" w:cs="Arial" w:eastAsia="Arial" w:hAnsi="Arial"/>
          <w:sz w:val="17"/>
          <w:szCs w:val="17"/>
          <w:i w:val="1"/>
          <w:iCs w:val="1"/>
          <w:color w:val="auto"/>
        </w:rPr>
        <w:t>Leases (FAS 13)</w:t>
      </w:r>
      <w:r>
        <w:rPr>
          <w:rFonts w:ascii="Arial" w:cs="Arial" w:eastAsia="Arial" w:hAnsi="Arial"/>
          <w:sz w:val="17"/>
          <w:szCs w:val="17"/>
          <w:color w:val="auto"/>
        </w:rPr>
        <w:t>. ASU 2016-02 requires an entity to recognize assets and liabilities arising from a lease for both financing and operating leases, along with additional qualitative and quantitative disclosures. ASU 2016-02 will be applied on a modified retrospective basis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2014, the FASB issued ASU No. 2014-09 ‘‘Revenue from Contracts with Customers,’’ to clarify the principles of recognizing revenue and create common revenue recognition guidance between US GAAP and International Financial Reporting Standards. In March 2016, the FASB issued ASU 2016-08, Revenue from Contracts with Customers (Topic 606): Principal versus Agent Considerations (Reporting Revenue Gross versus Net). In April 2016, the FASB issued ASU 2016-10, Revenue from Contracts with Customers (Topic 606): Identifying Performance Obligations and Licensing. In May 2016, the FASB issued ASU 2016-12, Narrow-Scope Improvements and Practical Expedients. In December 2016, the FASB issued ASU 2016-20 Technical Corrections and Improvements to Topic 606, Revenue From Contracts with Customers. ASUs’ 2016-20,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2016-20, 2016-12, 2016-10, and 2016-08 are the same as the effective date and transition requirements of ASU 2014-09. ASU 2015-14, Revenue from Contracts with Customers (Topic 606): Deferral of the Effective Date, deferred the original effective date of ASU 2014-09 by one year. The new standard allows for either a retrospective or modified retrospective approach to transition upon adoption. The new standard will be effective for annual reporting periods beginning after December 15, 2017. Early adoption is permitted for annual reporting periods beginning after December 15, 2016.</w:t>
      </w:r>
    </w:p>
    <w:p>
      <w:pPr>
        <w:spacing w:after="0" w:line="1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continues to evaluate the potential impact of adopting this standard on its business policies, processes and systems, internal control over financial reporting environment, and financial reporting disclosures.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expects that the majority of its contracts will have a single performance obligation that is satisfied over time, with revenue recognized based on overall project progress measured as of the financial statement date. This represents a change in the Company’s current revenue accounting methodology as a majority of contracts are accounted for with multiple units of account under the multiple element arrangement guidance. Under the current accounting methodology, certain revenue related to reimbursable expenses is presented either as a separate line item within Reimbursable out-of-pocket revenue or net of related expenses within Service revenue, net in the condensed consolidated statements of operations. As a result of having a single performance obligation, the Company anticipates that all revenue related to reimbursable expenses will prospectively be accounted for gross within a single revenue line item with related expenses presented gross within Direct Costs, excluding depreciation and amortization. Measurement of progress on contracts with customers will generally be based on the input measurement of cost incurred relative to the total expected costs to satisfy the performance obligation.</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will adopt ASU 2014-09 as well as the clarified guidance in ASUs’ 2016-20, 2016-12, 2016-10, 2016-08, utilizing the modified retrospective approach, during the first quarter of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There have been no material changes to our quantitative and qualitative disclosures about market risk as compared to the quantitative and qualitative disclosures about market risk described in our Annual Report on Form 10-K for the fiscal year ended December 31, 2016.</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fiscal quarter ended September 30, 2017, that has materially affected, or is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are party to legal proceedings incidental to our business. While the outcome of these matters could differ from management’s expectations, we do not believe that the resolution of these matters is reasonably likely to have a material adverse effect to our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a discussion of our potential risks and uncertainties, see the information under the heading “Risk Factors” in our Annual Report on Form 10-K for the fiscal year ended December 31, 2016. There have been no significant changes from the risk factors previously disclosed in our Annual Report, except as provided in our quarterly report on Form 10-Q for the quarter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This table provides certain information with respect to our purchases of shares of the Company’s common stock during the third fiscal quarter of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Issuer’s Purchases of Equity Securities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2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w w:val="93"/>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Total Number of 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Publically Announced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Share That May Yet Be</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2"/>
              </w:rPr>
              <w:t>Share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Purchased Under the Plan</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vMerge w:val="continue"/>
          </w:tcPr>
          <w:p>
            <w:pPr>
              <w:spacing w:after="0"/>
              <w:rPr>
                <w:sz w:val="14"/>
                <w:szCs w:val="14"/>
                <w:color w:val="auto"/>
              </w:rPr>
            </w:pPr>
          </w:p>
        </w:tc>
        <w:tc>
          <w:tcPr>
            <w:tcW w:w="1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Purchased (a), (b)</w:t>
            </w:r>
          </w:p>
        </w:tc>
        <w:tc>
          <w:tcPr>
            <w:tcW w:w="2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8"/>
              </w:rPr>
              <w:t>(a), (b)</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56"/>
        </w:trPr>
        <w:tc>
          <w:tcPr>
            <w:tcW w:w="38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July 1, 2017, through July 31, 2017</w:t>
            </w:r>
          </w:p>
        </w:tc>
        <w:tc>
          <w:tcPr>
            <w:tcW w:w="1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300,311</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rPr>
              <w:t>27.65</w:t>
            </w:r>
          </w:p>
        </w:tc>
        <w:tc>
          <w:tcPr>
            <w:tcW w:w="1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300,311</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15,325,865</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August 1, 2017, through August 31, 2017</w:t>
            </w:r>
          </w:p>
        </w:tc>
        <w:tc>
          <w:tcPr>
            <w:tcW w:w="1580" w:type="dxa"/>
            <w:vAlign w:val="bottom"/>
          </w:tcPr>
          <w:p>
            <w:pPr>
              <w:jc w:val="right"/>
              <w:spacing w:after="0"/>
              <w:rPr>
                <w:sz w:val="20"/>
                <w:szCs w:val="20"/>
                <w:color w:val="auto"/>
              </w:rPr>
            </w:pPr>
            <w:r>
              <w:rPr>
                <w:rFonts w:ascii="Arial" w:cs="Arial" w:eastAsia="Arial" w:hAnsi="Arial"/>
                <w:sz w:val="14"/>
                <w:szCs w:val="14"/>
                <w:color w:val="auto"/>
              </w:rPr>
              <w:t>2,000,000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30.27</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September 1, 2017, through September 30, 2017</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Total</w:t>
            </w:r>
          </w:p>
        </w:tc>
        <w:tc>
          <w:tcPr>
            <w:tcW w:w="1580" w:type="dxa"/>
            <w:vAlign w:val="bottom"/>
          </w:tcPr>
          <w:p>
            <w:pPr>
              <w:jc w:val="right"/>
              <w:spacing w:after="0"/>
              <w:rPr>
                <w:sz w:val="20"/>
                <w:szCs w:val="20"/>
                <w:color w:val="auto"/>
              </w:rPr>
            </w:pPr>
            <w:r>
              <w:rPr>
                <w:rFonts w:ascii="Arial" w:cs="Arial" w:eastAsia="Arial" w:hAnsi="Arial"/>
                <w:sz w:val="14"/>
                <w:szCs w:val="14"/>
                <w:color w:val="auto"/>
              </w:rPr>
              <w:t>2,300,311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300,311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880" w:right="100" w:hanging="494"/>
        <w:spacing w:after="0" w:line="312"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May 1, 2017 the Company announced that its Board of Directors had authorized a share repurchase program (“2017 Repurchase Plan”) of up to $50 million of the Company’s common stock in the open market or negotiated transactions, at the discretion of our management. The 2017 Repurchase Plan expires when the entire $50 million repurchase is exhausted or on April 1, 2018, whichever occurs first.</w:t>
      </w:r>
    </w:p>
    <w:p>
      <w:pPr>
        <w:spacing w:after="0" w:line="146" w:lineRule="exact"/>
        <w:rPr>
          <w:rFonts w:ascii="Arial" w:cs="Arial" w:eastAsia="Arial" w:hAnsi="Arial"/>
          <w:sz w:val="16"/>
          <w:szCs w:val="16"/>
          <w:color w:val="auto"/>
        </w:rPr>
      </w:pPr>
    </w:p>
    <w:p>
      <w:pPr>
        <w:jc w:val="both"/>
        <w:ind w:left="880" w:right="240" w:hanging="494"/>
        <w:spacing w:after="0" w:line="264"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amounts purchased under the 2017 Repurchase Plan, these columns reflect additional share repurchases. On August 16, 2017 the Company entered into a stock repurchase agreement with Medpace Limited Partnership, a Guernsey limited partnership, pursuant to which the Company repurchased 2,000,000 shares of the Company’s common</w:t>
      </w:r>
    </w:p>
    <w:p>
      <w:pPr>
        <w:spacing w:after="0" w:line="181" w:lineRule="exact"/>
        <w:rPr>
          <w:rFonts w:ascii="Arial" w:cs="Arial" w:eastAsia="Arial" w:hAnsi="Arial"/>
          <w:sz w:val="18"/>
          <w:szCs w:val="18"/>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left="880"/>
        <w:spacing w:after="0"/>
        <w:rPr>
          <w:sz w:val="20"/>
          <w:szCs w:val="20"/>
          <w:color w:val="auto"/>
        </w:rPr>
      </w:pPr>
      <w:r>
        <w:rPr>
          <w:rFonts w:ascii="Arial" w:cs="Arial" w:eastAsia="Arial" w:hAnsi="Arial"/>
          <w:sz w:val="18"/>
          <w:szCs w:val="18"/>
          <w:color w:val="auto"/>
        </w:rPr>
        <w:t>stock from Cinven for aggregate consideration of approximately $60.5 million, representing a purchase price of $30.27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January 10, 2017, an employee exercised stock options granted under the 2014 Equity Incentive Plan to purchase a total of 1,851 shares of our common stock at a price of $16.21 per share for an aggregate purchase price of approximately $30,000.</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February 2, 2017, employees exercised stock options granted under the 2014 Equity Incentive Plan to purchase a 925 shares of our common stock at a price of $14.41 per share for an aggregate purchase price of approximately $13,300 and 277 shares of our common stock at a price of $16.21 per share for an aggregate purchase price of approximately $4,500.</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10, 2017, an employee exercised stock options granted under the 2014 Equity Incentive Plan to purchase a total of 1,000 shares of our common stock at a price of $14.41 per share for an aggregate purchase price of approximately $14,400.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15, 2017, an employee exercised stock options granted under the 2014 Equity Incentive Plan to purchase a total of 1,851 shares of our common stock at a price of $16.21 per share for an aggregate purchase price of approximately $30,000.</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February 21, 2017, employees exercised stock options granted under the 2014 Equity Incentive Plan to purchase a 1,500 shares of our common stock at a price of $14.41 per share for an aggregate purchase price of approximately $21,600 and 462 shares of our common stock at a price of $16.89 per share for an aggregate purchase price of approximately $7,800.</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February 28, 2017, employees exercised stock options granted under the 2014 Equity Incentive Plan to purchase a 2,555 shares of our common stock at a price of $14.41 per share for an aggregate purchase price of approximately $36,800 and 832 shares of our common stock at a price of $16.21 per share for an aggregate purchase price of approximately $13,500.</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2, 2017, employees exercised stock options granted under the 2014 Equity Incentive Plan to purchase a 1,185 shares of our common stock at a price of $14.41 per share for an aggregate purchase price of approximately $17,100 and 250 shares of our common stock at a price of $16.21 per share for an aggregate purchase price of approximately $4,100.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2017, employees exercised stock options granted under the 2014 Equity Incentive Plan to purchase a total of 8,154 shares of our common stock at a price of $14.41 per share for an aggregate purchase price of approximately $117,500.</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April 5, 2017, employees exercised stock options granted under the 2014 Equity Incentive Plan to purchase a total of 370 shares of our common stock at a price of $14.41 per share for an aggregate purchase price of approximately $5,300 and 1,851 shares of our common stock at a price of $18.23 per share for an aggregate purchase price of approximately $33,700.</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6, 2017, employees exercised stock options granted under the 2014 Equity Incentive Plan to purchase a total of 648 shares of our common stock at a price of $16.21 per share for an aggregate purchase price of approximately $10,500.</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 2017, employees exercised stock options granted under the 2014 Equity Incentive Plan to purchase a total of 11,648 shares of our common stock at a price of $14.41 per share for an aggregate purchase price of approximately $167,800, 4,259 shares of our common stock at a price of $16.21 per share for an aggregate purchase price of approximately $69,000 and 2,222 shares of our common stock at a price of $16.88 per share for an aggregate purchase price of approximately $37,500.</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May 5, 2017, employees exercised stock options granted under the 2014 Equity Incentive Plan to purchase a total of 9,260 shares of our common stock at a price of $16.21 per share for an aggregate purchase price of approximately $150,100.</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24, 2017, employees exercised stock options granted under the 2014 Equity Incentive Plan to purchase a total of 2,777 shares of our common stock at a price of $16.21 per share for an aggregate purchase price of approximately $45,000.</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June 12, 2017, employees exercised stock options granted under the 2014 Equity Incentive Plan to purchase a total of 6,666 shares of our common stock at a price of $14.41 per share for an aggregate purchase price of approximately $96,100 and 1,851 shares of our common stock at a price of $16.20 per share for an aggregate purchase price of approximately $30,000.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June 23, 2017, employees exercised stock options granted under the 2014 Equity Incentive Plan to purchase a total of 8,334 shares of our common stock at a price of $14.41 per share for an aggregate purchase price of approximately $120,100 and 1,851 shares of our common stock at a price of $16.20 per share for an aggregate purchase price of approximately $30,000.</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jc w:val="both"/>
        <w:ind w:right="100"/>
        <w:spacing w:after="0" w:line="277" w:lineRule="auto"/>
        <w:rPr>
          <w:sz w:val="20"/>
          <w:szCs w:val="20"/>
          <w:color w:val="auto"/>
        </w:rPr>
      </w:pPr>
      <w:r>
        <w:rPr>
          <w:rFonts w:ascii="Arial" w:cs="Arial" w:eastAsia="Arial" w:hAnsi="Arial"/>
          <w:sz w:val="18"/>
          <w:szCs w:val="18"/>
          <w:color w:val="auto"/>
        </w:rPr>
        <w:t>On July 7, 2017, employees exercised stock options granted under the 2014 Equity Incentive Plan to purchase a total of 370 shares of our common stock at a price of $16.20 per share for an aggregate purchase price of approximately $6,000.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19, 2017, employees exercised stock options granted under the 2014 Equity Incentive Plan to purchase a total of 1,852 shares of our common stock at a price of $18.23 per share for an aggregate purchase price of approximately $33,800.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25, 2017, employees exercised stock options granted under the 2014 Equity Incentive Plan to purchase a total of 1,600 shares of our common stock at a price of $14.41 per share for an aggregate purchase price of approximately $23,100.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4, 2017, employees exercised stock options granted under the 2014 Equity Incentive Plan to purchase a total of 464 shares of our common stock at a price of $14.41 per share for an aggregate purchase price of approximately $6,700.</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August 18, 2017, employees exercised stock options granted under the 2014 Equity Incentive Plan to purchase a total of 463 shares of our common stock at a price of $14.41 per share for an aggregate purchase price of approximately $6,700 and 278 shares of our common stock at a price of $16.20 per share for an aggregate purchase price of approximately $4,500.</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5, 2017, employees exercised stock options granted under the 2014 Equity Incentive Plan to purchase a total of 50 shares of our common stock at a price of $14.41 per share for an aggregate purchase price of approximately $700.</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September 25, 2017, employees exercised stock options granted under the 2014 Equity Incentive Plan to purchase a total of 4,167 shares of our common stock at a price of $14.41 per share for an aggregate purchase price of approximately $60,000 and 1,852 shares of our common stock at a price of $16.20 per share for an aggregate purchase price of approximately $30,000.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 forgoing transactions are exempt from registration pursuant to Rule 701 promulgated under the Securities Act of 1933,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exhibits in the accompanying Exhibit Index preceding the signature page are filed or furnished as a part of this report and are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Incorporated by Reference</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Filed/</w:t>
            </w: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5"/>
              </w:rPr>
              <w:t>Exhibit</w:t>
            </w: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Filing</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89"/>
              </w:rPr>
              <w:t>Furnished</w:t>
            </w:r>
          </w:p>
        </w:tc>
        <w:tc>
          <w:tcPr>
            <w:tcW w:w="0" w:type="dxa"/>
            <w:vAlign w:val="bottom"/>
          </w:tcPr>
          <w:p>
            <w:pPr>
              <w:spacing w:after="0"/>
              <w:rPr>
                <w:sz w:val="1"/>
                <w:szCs w:val="1"/>
                <w:color w:val="auto"/>
              </w:rPr>
            </w:pPr>
          </w:p>
        </w:tc>
      </w:tr>
      <w:tr>
        <w:trPr>
          <w:trHeight w:val="224"/>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Number</w:t>
            </w:r>
          </w:p>
        </w:tc>
        <w:tc>
          <w:tcPr>
            <w:tcW w:w="80" w:type="dxa"/>
            <w:vAlign w:val="bottom"/>
          </w:tcPr>
          <w:p>
            <w:pPr>
              <w:spacing w:after="0"/>
              <w:rPr>
                <w:sz w:val="19"/>
                <w:szCs w:val="19"/>
                <w:color w:val="auto"/>
              </w:rPr>
            </w:pPr>
          </w:p>
        </w:tc>
        <w:tc>
          <w:tcPr>
            <w:tcW w:w="4100" w:type="dxa"/>
            <w:vAlign w:val="bottom"/>
            <w:tcBorders>
              <w:bottom w:val="single" w:sz="8" w:color="auto"/>
            </w:tcBorders>
          </w:tcPr>
          <w:p>
            <w:pPr>
              <w:ind w:left="1340"/>
              <w:spacing w:after="0"/>
              <w:rPr>
                <w:sz w:val="20"/>
                <w:szCs w:val="20"/>
                <w:color w:val="auto"/>
              </w:rPr>
            </w:pPr>
            <w:r>
              <w:rPr>
                <w:rFonts w:ascii="Arial" w:cs="Arial" w:eastAsia="Arial" w:hAnsi="Arial"/>
                <w:sz w:val="17"/>
                <w:szCs w:val="17"/>
                <w:b w:val="1"/>
                <w:bCs w:val="1"/>
                <w:color w:val="auto"/>
              </w:rPr>
              <w:t>Exhibit Description</w:t>
            </w:r>
          </w:p>
        </w:tc>
        <w:tc>
          <w:tcPr>
            <w:tcW w:w="120" w:type="dxa"/>
            <w:vAlign w:val="bottom"/>
          </w:tcPr>
          <w:p>
            <w:pPr>
              <w:spacing w:after="0"/>
              <w:rPr>
                <w:sz w:val="19"/>
                <w:szCs w:val="19"/>
                <w:color w:val="auto"/>
              </w:rPr>
            </w:pPr>
          </w:p>
        </w:tc>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Form</w:t>
            </w:r>
          </w:p>
        </w:tc>
        <w:tc>
          <w:tcPr>
            <w:tcW w:w="140" w:type="dxa"/>
            <w:vAlign w:val="bottom"/>
          </w:tcPr>
          <w:p>
            <w:pPr>
              <w:spacing w:after="0"/>
              <w:rPr>
                <w:sz w:val="19"/>
                <w:szCs w:val="19"/>
                <w:color w:val="auto"/>
              </w:rPr>
            </w:pP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7"/>
                <w:szCs w:val="17"/>
                <w:b w:val="1"/>
                <w:bCs w:val="1"/>
                <w:color w:val="auto"/>
              </w:rPr>
              <w:t>File No.</w:t>
            </w:r>
          </w:p>
        </w:tc>
        <w:tc>
          <w:tcPr>
            <w:tcW w:w="120" w:type="dxa"/>
            <w:vAlign w:val="bottom"/>
          </w:tcPr>
          <w:p>
            <w:pPr>
              <w:spacing w:after="0"/>
              <w:rPr>
                <w:sz w:val="19"/>
                <w:szCs w:val="19"/>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Herewith</w:t>
            </w:r>
          </w:p>
        </w:tc>
        <w:tc>
          <w:tcPr>
            <w:tcW w:w="0" w:type="dxa"/>
            <w:vAlign w:val="bottom"/>
          </w:tcPr>
          <w:p>
            <w:pPr>
              <w:spacing w:after="0"/>
              <w:rPr>
                <w:sz w:val="1"/>
                <w:szCs w:val="1"/>
                <w:color w:val="auto"/>
              </w:rPr>
            </w:pPr>
          </w:p>
        </w:tc>
      </w:tr>
    </w:tbl>
    <w:p>
      <w:pPr>
        <w:spacing w:after="0" w:line="169"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31.1</w:t>
            </w:r>
          </w:p>
        </w:tc>
        <w:tc>
          <w:tcPr>
            <w:tcW w:w="408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32">
              <w:r>
                <w:rPr>
                  <w:rFonts w:ascii="Arial" w:cs="Arial" w:eastAsia="Arial" w:hAnsi="Arial"/>
                  <w:sz w:val="17"/>
                  <w:szCs w:val="17"/>
                  <w:color w:val="0000EE"/>
                  <w:w w:val="92"/>
                </w:rPr>
                <w:t>Rule 13a-14(a) / 15d-14(a) Certification of Chief Executive</w:t>
              </w:r>
            </w:hyperlink>
          </w:p>
        </w:tc>
      </w:tr>
      <w:tr>
        <w:trPr>
          <w:trHeight w:val="183"/>
        </w:trPr>
        <w:tc>
          <w:tcPr>
            <w:tcW w:w="1320" w:type="dxa"/>
            <w:vAlign w:val="bottom"/>
          </w:tcPr>
          <w:p>
            <w:pPr>
              <w:spacing w:after="0"/>
              <w:rPr>
                <w:sz w:val="15"/>
                <w:szCs w:val="15"/>
                <w:color w:val="auto"/>
              </w:rPr>
            </w:pPr>
          </w:p>
        </w:tc>
        <w:tc>
          <w:tcPr>
            <w:tcW w:w="4080" w:type="dxa"/>
            <w:vAlign w:val="bottom"/>
            <w:gridSpan w:val="5"/>
          </w:tcPr>
          <w:p>
            <w:pPr>
              <w:spacing w:after="0" w:line="183" w:lineRule="exact"/>
              <w:rPr>
                <w:rFonts w:ascii="Arial" w:cs="Arial" w:eastAsia="Arial" w:hAnsi="Arial"/>
                <w:sz w:val="17"/>
                <w:szCs w:val="17"/>
                <w:color w:val="0000EE"/>
              </w:rPr>
            </w:pPr>
            <w:hyperlink w:anchor="page32">
              <w:r>
                <w:rPr>
                  <w:rFonts w:ascii="Arial" w:cs="Arial" w:eastAsia="Arial" w:hAnsi="Arial"/>
                  <w:sz w:val="17"/>
                  <w:szCs w:val="17"/>
                  <w:color w:val="0000EE"/>
                </w:rPr>
                <w:t>Officer</w:t>
              </w:r>
            </w:hyperlink>
          </w:p>
        </w:tc>
      </w:tr>
      <w:tr>
        <w:trPr>
          <w:trHeight w:val="20"/>
        </w:trPr>
        <w:tc>
          <w:tcPr>
            <w:tcW w:w="1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31.2</w:t>
            </w:r>
          </w:p>
        </w:tc>
        <w:tc>
          <w:tcPr>
            <w:tcW w:w="4080" w:type="dxa"/>
            <w:vAlign w:val="bottom"/>
            <w:gridSpan w:val="5"/>
          </w:tcPr>
          <w:p>
            <w:pPr>
              <w:spacing w:after="0"/>
              <w:rPr>
                <w:rFonts w:ascii="Arial" w:cs="Arial" w:eastAsia="Arial" w:hAnsi="Arial"/>
                <w:sz w:val="17"/>
                <w:szCs w:val="17"/>
                <w:color w:val="0000EE"/>
                <w:w w:val="94"/>
              </w:rPr>
            </w:pPr>
            <w:hyperlink w:anchor="page33">
              <w:r>
                <w:rPr>
                  <w:rFonts w:ascii="Arial" w:cs="Arial" w:eastAsia="Arial" w:hAnsi="Arial"/>
                  <w:sz w:val="17"/>
                  <w:szCs w:val="17"/>
                  <w:color w:val="0000EE"/>
                  <w:w w:val="94"/>
                </w:rPr>
                <w:t>Rule 13a-14(a) / 15d-14(a) Certification of Chief Financial</w:t>
              </w:r>
            </w:hyperlink>
          </w:p>
        </w:tc>
      </w:tr>
      <w:tr>
        <w:trPr>
          <w:trHeight w:val="183"/>
        </w:trPr>
        <w:tc>
          <w:tcPr>
            <w:tcW w:w="1320" w:type="dxa"/>
            <w:vAlign w:val="bottom"/>
          </w:tcPr>
          <w:p>
            <w:pPr>
              <w:spacing w:after="0"/>
              <w:rPr>
                <w:sz w:val="15"/>
                <w:szCs w:val="15"/>
                <w:color w:val="auto"/>
              </w:rPr>
            </w:pPr>
          </w:p>
        </w:tc>
        <w:tc>
          <w:tcPr>
            <w:tcW w:w="4020" w:type="dxa"/>
            <w:vAlign w:val="bottom"/>
            <w:tcBorders>
              <w:top w:val="single" w:sz="8" w:color="0000EE"/>
            </w:tcBorders>
            <w:gridSpan w:val="4"/>
          </w:tcPr>
          <w:p>
            <w:pPr>
              <w:spacing w:after="0" w:line="183" w:lineRule="exact"/>
              <w:rPr>
                <w:rFonts w:ascii="Arial" w:cs="Arial" w:eastAsia="Arial" w:hAnsi="Arial"/>
                <w:sz w:val="17"/>
                <w:szCs w:val="17"/>
                <w:color w:val="0000EE"/>
              </w:rPr>
            </w:pPr>
            <w:hyperlink w:anchor="page33">
              <w:r>
                <w:rPr>
                  <w:rFonts w:ascii="Arial" w:cs="Arial" w:eastAsia="Arial" w:hAnsi="Arial"/>
                  <w:sz w:val="17"/>
                  <w:szCs w:val="17"/>
                  <w:color w:val="0000EE"/>
                </w:rPr>
                <w:t>Officer</w:t>
              </w:r>
            </w:hyperlink>
          </w:p>
        </w:tc>
        <w:tc>
          <w:tcPr>
            <w:tcW w:w="6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32.1</w:t>
            </w:r>
          </w:p>
        </w:tc>
        <w:tc>
          <w:tcPr>
            <w:tcW w:w="4080" w:type="dxa"/>
            <w:vAlign w:val="bottom"/>
            <w:gridSpan w:val="5"/>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Section 1350 Certification of Chief Executive Officer</w:t>
              </w:r>
            </w:hyperlink>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32.2</w:t>
            </w:r>
          </w:p>
        </w:tc>
        <w:tc>
          <w:tcPr>
            <w:tcW w:w="3660" w:type="dxa"/>
            <w:vAlign w:val="bottom"/>
            <w:tcBorders>
              <w:top w:val="single" w:sz="8" w:color="0000EE"/>
            </w:tcBorders>
            <w:gridSpan w:val="3"/>
          </w:tcPr>
          <w:p>
            <w:pPr>
              <w:spacing w:after="0"/>
              <w:rPr>
                <w:rFonts w:ascii="Arial" w:cs="Arial" w:eastAsia="Arial" w:hAnsi="Arial"/>
                <w:sz w:val="17"/>
                <w:szCs w:val="17"/>
                <w:color w:val="0000EE"/>
                <w:w w:val="94"/>
              </w:rPr>
            </w:pPr>
            <w:hyperlink w:anchor="page35">
              <w:r>
                <w:rPr>
                  <w:rFonts w:ascii="Arial" w:cs="Arial" w:eastAsia="Arial" w:hAnsi="Arial"/>
                  <w:sz w:val="17"/>
                  <w:szCs w:val="17"/>
                  <w:color w:val="0000EE"/>
                  <w:w w:val="94"/>
                </w:rPr>
                <w:t>Section 1350 Certification of Chief Financial Officer</w:t>
              </w:r>
            </w:hyperlink>
          </w:p>
        </w:tc>
        <w:tc>
          <w:tcPr>
            <w:tcW w:w="420" w:type="dxa"/>
            <w:vAlign w:val="bottom"/>
            <w:gridSpan w:val="2"/>
          </w:tcPr>
          <w:p>
            <w:pPr>
              <w:spacing w:after="0"/>
              <w:rPr>
                <w:sz w:val="24"/>
                <w:szCs w:val="24"/>
                <w:color w:val="auto"/>
              </w:rPr>
            </w:pPr>
          </w:p>
        </w:tc>
      </w:tr>
      <w:tr>
        <w:trPr>
          <w:trHeight w:val="422"/>
        </w:trPr>
        <w:tc>
          <w:tcPr>
            <w:tcW w:w="1320" w:type="dxa"/>
            <w:vAlign w:val="bottom"/>
          </w:tcPr>
          <w:p>
            <w:pPr>
              <w:spacing w:after="0"/>
              <w:rPr>
                <w:sz w:val="20"/>
                <w:szCs w:val="20"/>
                <w:color w:val="auto"/>
              </w:rPr>
            </w:pPr>
            <w:r>
              <w:rPr>
                <w:rFonts w:ascii="Arial" w:cs="Arial" w:eastAsia="Arial" w:hAnsi="Arial"/>
                <w:sz w:val="17"/>
                <w:szCs w:val="17"/>
                <w:color w:val="auto"/>
              </w:rPr>
              <w:t>101.INS</w:t>
            </w:r>
          </w:p>
        </w:tc>
        <w:tc>
          <w:tcPr>
            <w:tcW w:w="3620" w:type="dxa"/>
            <w:vAlign w:val="bottom"/>
            <w:tcBorders>
              <w:top w:val="single" w:sz="8" w:color="0000EE"/>
            </w:tcBorders>
            <w:gridSpan w:val="2"/>
          </w:tcPr>
          <w:p>
            <w:pPr>
              <w:spacing w:after="0"/>
              <w:rPr>
                <w:sz w:val="20"/>
                <w:szCs w:val="20"/>
                <w:color w:val="auto"/>
              </w:rPr>
            </w:pPr>
            <w:r>
              <w:rPr>
                <w:rFonts w:ascii="Arial" w:cs="Arial" w:eastAsia="Arial" w:hAnsi="Arial"/>
                <w:sz w:val="17"/>
                <w:szCs w:val="17"/>
                <w:color w:val="auto"/>
              </w:rPr>
              <w:t>XBRL Instance Document</w:t>
            </w:r>
          </w:p>
        </w:tc>
        <w:tc>
          <w:tcPr>
            <w:tcW w:w="460" w:type="dxa"/>
            <w:vAlign w:val="bottom"/>
            <w:gridSpan w:val="3"/>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Arial" w:cs="Arial" w:eastAsia="Arial" w:hAnsi="Arial"/>
                <w:sz w:val="17"/>
                <w:szCs w:val="17"/>
                <w:color w:val="auto"/>
              </w:rPr>
              <w:t>101.SCH</w:t>
            </w:r>
          </w:p>
        </w:tc>
        <w:tc>
          <w:tcPr>
            <w:tcW w:w="4080" w:type="dxa"/>
            <w:vAlign w:val="bottom"/>
            <w:gridSpan w:val="5"/>
          </w:tcPr>
          <w:p>
            <w:pPr>
              <w:spacing w:after="0"/>
              <w:rPr>
                <w:sz w:val="20"/>
                <w:szCs w:val="20"/>
                <w:color w:val="auto"/>
              </w:rPr>
            </w:pPr>
            <w:r>
              <w:rPr>
                <w:rFonts w:ascii="Arial" w:cs="Arial" w:eastAsia="Arial" w:hAnsi="Arial"/>
                <w:sz w:val="17"/>
                <w:szCs w:val="17"/>
                <w:color w:val="auto"/>
              </w:rPr>
              <w:t>XBRL Taxonomy Extension Schema Document</w:t>
            </w:r>
          </w:p>
        </w:tc>
      </w:tr>
      <w:tr>
        <w:trPr>
          <w:trHeight w:val="405"/>
        </w:trPr>
        <w:tc>
          <w:tcPr>
            <w:tcW w:w="1320" w:type="dxa"/>
            <w:vAlign w:val="bottom"/>
          </w:tcPr>
          <w:p>
            <w:pPr>
              <w:spacing w:after="0"/>
              <w:rPr>
                <w:sz w:val="20"/>
                <w:szCs w:val="20"/>
                <w:color w:val="auto"/>
              </w:rPr>
            </w:pPr>
            <w:r>
              <w:rPr>
                <w:rFonts w:ascii="Arial" w:cs="Arial" w:eastAsia="Arial" w:hAnsi="Arial"/>
                <w:sz w:val="17"/>
                <w:szCs w:val="17"/>
                <w:color w:val="auto"/>
              </w:rPr>
              <w:t>101.CAL</w:t>
            </w:r>
          </w:p>
        </w:tc>
        <w:tc>
          <w:tcPr>
            <w:tcW w:w="4080" w:type="dxa"/>
            <w:vAlign w:val="bottom"/>
            <w:gridSpan w:val="5"/>
          </w:tcPr>
          <w:p>
            <w:pPr>
              <w:spacing w:after="0"/>
              <w:rPr>
                <w:sz w:val="20"/>
                <w:szCs w:val="20"/>
                <w:color w:val="auto"/>
              </w:rPr>
            </w:pPr>
            <w:r>
              <w:rPr>
                <w:rFonts w:ascii="Arial" w:cs="Arial" w:eastAsia="Arial" w:hAnsi="Arial"/>
                <w:sz w:val="17"/>
                <w:szCs w:val="17"/>
                <w:color w:val="auto"/>
              </w:rPr>
              <w:t>XBRL Taxonomy Calculation Linkbase Document</w:t>
            </w:r>
          </w:p>
        </w:tc>
      </w:tr>
      <w:tr>
        <w:trPr>
          <w:trHeight w:val="391"/>
        </w:trPr>
        <w:tc>
          <w:tcPr>
            <w:tcW w:w="1320" w:type="dxa"/>
            <w:vAlign w:val="bottom"/>
          </w:tcPr>
          <w:p>
            <w:pPr>
              <w:spacing w:after="0"/>
              <w:rPr>
                <w:sz w:val="20"/>
                <w:szCs w:val="20"/>
                <w:color w:val="auto"/>
              </w:rPr>
            </w:pPr>
            <w:r>
              <w:rPr>
                <w:rFonts w:ascii="Arial" w:cs="Arial" w:eastAsia="Arial" w:hAnsi="Arial"/>
                <w:sz w:val="17"/>
                <w:szCs w:val="17"/>
                <w:color w:val="auto"/>
              </w:rPr>
              <w:t>101.DEF</w:t>
            </w:r>
          </w:p>
        </w:tc>
        <w:tc>
          <w:tcPr>
            <w:tcW w:w="4080" w:type="dxa"/>
            <w:vAlign w:val="bottom"/>
            <w:gridSpan w:val="5"/>
          </w:tcPr>
          <w:p>
            <w:pPr>
              <w:spacing w:after="0"/>
              <w:rPr>
                <w:sz w:val="20"/>
                <w:szCs w:val="20"/>
                <w:color w:val="auto"/>
              </w:rPr>
            </w:pPr>
            <w:r>
              <w:rPr>
                <w:rFonts w:ascii="Arial" w:cs="Arial" w:eastAsia="Arial" w:hAnsi="Arial"/>
                <w:sz w:val="17"/>
                <w:szCs w:val="17"/>
                <w:color w:val="auto"/>
              </w:rPr>
              <w:t>XBRL Taxonomy Extension Definition Linkbase</w:t>
            </w:r>
          </w:p>
        </w:tc>
      </w:tr>
      <w:tr>
        <w:trPr>
          <w:trHeight w:val="216"/>
        </w:trPr>
        <w:tc>
          <w:tcPr>
            <w:tcW w:w="132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Arial" w:cs="Arial" w:eastAsia="Arial" w:hAnsi="Arial"/>
                <w:sz w:val="17"/>
                <w:szCs w:val="17"/>
                <w:color w:val="auto"/>
              </w:rPr>
              <w:t>Document</w:t>
            </w:r>
          </w:p>
        </w:tc>
      </w:tr>
      <w:tr>
        <w:trPr>
          <w:trHeight w:val="405"/>
        </w:trPr>
        <w:tc>
          <w:tcPr>
            <w:tcW w:w="1320" w:type="dxa"/>
            <w:vAlign w:val="bottom"/>
          </w:tcPr>
          <w:p>
            <w:pPr>
              <w:spacing w:after="0"/>
              <w:rPr>
                <w:sz w:val="20"/>
                <w:szCs w:val="20"/>
                <w:color w:val="auto"/>
              </w:rPr>
            </w:pPr>
            <w:r>
              <w:rPr>
                <w:rFonts w:ascii="Arial" w:cs="Arial" w:eastAsia="Arial" w:hAnsi="Arial"/>
                <w:sz w:val="17"/>
                <w:szCs w:val="17"/>
                <w:color w:val="auto"/>
              </w:rPr>
              <w:t>101.LAB</w:t>
            </w:r>
          </w:p>
        </w:tc>
        <w:tc>
          <w:tcPr>
            <w:tcW w:w="4080" w:type="dxa"/>
            <w:vAlign w:val="bottom"/>
            <w:gridSpan w:val="5"/>
          </w:tcPr>
          <w:p>
            <w:pPr>
              <w:spacing w:after="0"/>
              <w:rPr>
                <w:sz w:val="20"/>
                <w:szCs w:val="20"/>
                <w:color w:val="auto"/>
              </w:rPr>
            </w:pPr>
            <w:r>
              <w:rPr>
                <w:rFonts w:ascii="Arial" w:cs="Arial" w:eastAsia="Arial" w:hAnsi="Arial"/>
                <w:sz w:val="17"/>
                <w:szCs w:val="17"/>
                <w:color w:val="auto"/>
                <w:w w:val="99"/>
              </w:rPr>
              <w:t>XBRL Taxonomy Extension Label Linkbase Document</w:t>
            </w:r>
          </w:p>
        </w:tc>
      </w:tr>
      <w:tr>
        <w:trPr>
          <w:trHeight w:val="405"/>
        </w:trPr>
        <w:tc>
          <w:tcPr>
            <w:tcW w:w="1320" w:type="dxa"/>
            <w:vAlign w:val="bottom"/>
          </w:tcPr>
          <w:p>
            <w:pPr>
              <w:spacing w:after="0"/>
              <w:rPr>
                <w:sz w:val="20"/>
                <w:szCs w:val="20"/>
                <w:color w:val="auto"/>
              </w:rPr>
            </w:pPr>
            <w:r>
              <w:rPr>
                <w:rFonts w:ascii="Arial" w:cs="Arial" w:eastAsia="Arial" w:hAnsi="Arial"/>
                <w:sz w:val="17"/>
                <w:szCs w:val="17"/>
                <w:color w:val="auto"/>
              </w:rPr>
              <w:t>101.PRE</w:t>
            </w:r>
          </w:p>
        </w:tc>
        <w:tc>
          <w:tcPr>
            <w:tcW w:w="4080" w:type="dxa"/>
            <w:vAlign w:val="bottom"/>
            <w:gridSpan w:val="5"/>
          </w:tcPr>
          <w:p>
            <w:pPr>
              <w:spacing w:after="0"/>
              <w:rPr>
                <w:sz w:val="20"/>
                <w:szCs w:val="20"/>
                <w:color w:val="auto"/>
              </w:rPr>
            </w:pPr>
            <w:r>
              <w:rPr>
                <w:rFonts w:ascii="Arial" w:cs="Arial" w:eastAsia="Arial" w:hAnsi="Arial"/>
                <w:sz w:val="17"/>
                <w:szCs w:val="17"/>
                <w:color w:val="auto"/>
              </w:rPr>
              <w:t>XBRL Taxonomy Extension Presentation</w:t>
            </w: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20" w:lineRule="exact"/>
        <w:rPr>
          <w:sz w:val="20"/>
          <w:szCs w:val="20"/>
          <w:color w:val="auto"/>
        </w:rPr>
      </w:pPr>
    </w:p>
    <w:p>
      <w:pPr>
        <w:sectPr>
          <w:pgSz w:w="11900" w:h="16838" w:orient="portrait"/>
          <w:cols w:equalWidth="0" w:num="2">
            <w:col w:w="10100" w:space="720"/>
            <w:col w:w="600"/>
          </w:cols>
          <w:pgMar w:left="240" w:top="121" w:right="239" w:bottom="1440" w:gutter="0" w:footer="0" w:header="0"/>
          <w:type w:val="continuous"/>
        </w:sectPr>
      </w:pPr>
    </w:p>
    <w:p>
      <w:pPr>
        <w:spacing w:after="0" w:line="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MEDPACE HOLDINGS, INC.</w:t>
      </w:r>
    </w:p>
    <w:p>
      <w:pPr>
        <w:spacing w:after="0" w:line="25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Jesse J. Geiger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Jesse J.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i w:val="1"/>
          <w:iCs w:val="1"/>
          <w:color w:val="auto"/>
        </w:rPr>
        <w:t>Chief Financial Officer, and Chief Operating Officer, Laboratory</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Operations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(Authorized Officer and Principal Financial Officer)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October 31,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0980"/>
          </w:cols>
          <w:pgMar w:left="240" w:top="121" w:right="6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August J. Troendle, certify that:</w:t>
      </w:r>
    </w:p>
    <w:p>
      <w:pPr>
        <w:spacing w:after="0" w:line="77"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Medpace Holdings, Inc.;</w:t>
      </w:r>
    </w:p>
    <w:p>
      <w:pPr>
        <w:spacing w:after="0" w:line="76"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40" w:right="380" w:hanging="532"/>
        <w:spacing w:after="0" w:line="30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600" w:hanging="53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 w:lineRule="exact"/>
        <w:rPr>
          <w:rFonts w:ascii="Arial" w:cs="Arial" w:eastAsia="Arial" w:hAnsi="Arial"/>
          <w:sz w:val="18"/>
          <w:szCs w:val="18"/>
          <w:color w:val="auto"/>
        </w:rPr>
      </w:pPr>
    </w:p>
    <w:p>
      <w:pPr>
        <w:ind w:left="1000" w:right="200" w:hanging="519"/>
        <w:spacing w:after="0" w:line="264"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000" w:hanging="519"/>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[Omitted];</w:t>
      </w:r>
    </w:p>
    <w:p>
      <w:pPr>
        <w:spacing w:after="0" w:line="76" w:lineRule="exact"/>
        <w:rPr>
          <w:rFonts w:ascii="Arial" w:cs="Arial" w:eastAsia="Arial" w:hAnsi="Arial"/>
          <w:sz w:val="18"/>
          <w:szCs w:val="18"/>
          <w:color w:val="auto"/>
        </w:rPr>
      </w:pPr>
    </w:p>
    <w:p>
      <w:pPr>
        <w:jc w:val="both"/>
        <w:ind w:left="1000" w:right="680" w:hanging="519"/>
        <w:spacing w:after="0" w:line="325"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00" w:right="200" w:hanging="519"/>
        <w:spacing w:after="0" w:line="264"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540" w:right="300" w:hanging="532"/>
        <w:spacing w:after="0" w:line="30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00" w:right="100" w:hanging="519"/>
        <w:spacing w:after="0" w:line="277"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000" w:right="60" w:hanging="519"/>
        <w:spacing w:after="0" w:line="277"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2017</w:t>
      </w:r>
    </w:p>
    <w:p>
      <w:pPr>
        <w:spacing w:after="0" w:line="252"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 August J. Troendle</w:t>
      </w:r>
    </w:p>
    <w:p>
      <w:pPr>
        <w:spacing w:after="0" w:line="2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Dr. 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jc w:val="center"/>
        <w:ind w:left="7540"/>
        <w:spacing w:after="0"/>
        <w:rPr>
          <w:sz w:val="20"/>
          <w:szCs w:val="20"/>
          <w:color w:val="auto"/>
        </w:rPr>
      </w:pPr>
      <w:r>
        <w:rPr>
          <w:rFonts w:ascii="Arial" w:cs="Arial" w:eastAsia="Arial" w:hAnsi="Arial"/>
          <w:sz w:val="17"/>
          <w:szCs w:val="17"/>
          <w:i w:val="1"/>
          <w:iCs w:val="1"/>
          <w:color w:val="auto"/>
        </w:rPr>
        <w:t>President, Chief Executive Officer and Chairman of</w:t>
      </w:r>
    </w:p>
    <w:p>
      <w:pPr>
        <w:spacing w:after="0" w:line="21" w:lineRule="exact"/>
        <w:rPr>
          <w:sz w:val="20"/>
          <w:szCs w:val="20"/>
          <w:color w:val="auto"/>
        </w:rPr>
      </w:pPr>
    </w:p>
    <w:p>
      <w:pPr>
        <w:jc w:val="center"/>
        <w:ind w:left="7540"/>
        <w:spacing w:after="0"/>
        <w:rPr>
          <w:sz w:val="20"/>
          <w:szCs w:val="20"/>
          <w:color w:val="auto"/>
        </w:rPr>
      </w:pPr>
      <w:r>
        <w:rPr>
          <w:rFonts w:ascii="Arial" w:cs="Arial" w:eastAsia="Arial" w:hAnsi="Arial"/>
          <w:sz w:val="18"/>
          <w:szCs w:val="18"/>
          <w:i w:val="1"/>
          <w:iCs w:val="1"/>
          <w:color w:val="auto"/>
        </w:rPr>
        <w:t>the Board of Directors</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Jesse Geiger, certify that:</w:t>
      </w:r>
    </w:p>
    <w:p>
      <w:pPr>
        <w:spacing w:after="0" w:line="77"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Medpace Holdings, Inc.;</w:t>
      </w:r>
    </w:p>
    <w:p>
      <w:pPr>
        <w:spacing w:after="0" w:line="76"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40" w:right="380" w:hanging="532"/>
        <w:spacing w:after="0" w:line="306"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600" w:hanging="53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 w:lineRule="exact"/>
        <w:rPr>
          <w:rFonts w:ascii="Arial" w:cs="Arial" w:eastAsia="Arial" w:hAnsi="Arial"/>
          <w:sz w:val="18"/>
          <w:szCs w:val="18"/>
          <w:color w:val="auto"/>
        </w:rPr>
      </w:pPr>
    </w:p>
    <w:p>
      <w:pPr>
        <w:ind w:left="1000" w:right="200" w:hanging="519"/>
        <w:spacing w:after="0" w:line="264"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000" w:hanging="519"/>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[Omitted];</w:t>
      </w:r>
    </w:p>
    <w:p>
      <w:pPr>
        <w:spacing w:after="0" w:line="76" w:lineRule="exact"/>
        <w:rPr>
          <w:rFonts w:ascii="Arial" w:cs="Arial" w:eastAsia="Arial" w:hAnsi="Arial"/>
          <w:sz w:val="18"/>
          <w:szCs w:val="18"/>
          <w:color w:val="auto"/>
        </w:rPr>
      </w:pPr>
    </w:p>
    <w:p>
      <w:pPr>
        <w:jc w:val="both"/>
        <w:ind w:left="1000" w:right="680" w:hanging="519"/>
        <w:spacing w:after="0" w:line="325" w:lineRule="auto"/>
        <w:tabs>
          <w:tab w:leader="none" w:pos="10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00" w:right="200" w:hanging="519"/>
        <w:spacing w:after="0" w:line="264"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540" w:right="300" w:hanging="532"/>
        <w:spacing w:after="0" w:line="306"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00" w:right="100" w:hanging="519"/>
        <w:spacing w:after="0" w:line="277"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000" w:right="60" w:hanging="519"/>
        <w:spacing w:after="0" w:line="277"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2017</w:t>
      </w:r>
    </w:p>
    <w:p>
      <w:pPr>
        <w:spacing w:after="0" w:line="252"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/s/ Jesse Geiger</w:t>
      </w:r>
    </w:p>
    <w:p>
      <w:pPr>
        <w:spacing w:after="0" w:line="2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Jesse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7"/>
          <w:szCs w:val="17"/>
          <w:i w:val="1"/>
          <w:iCs w:val="1"/>
          <w:color w:val="auto"/>
        </w:rPr>
        <w:t>Chief Financial Officer and Chief Operating Officer,</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8"/>
          <w:szCs w:val="18"/>
          <w:i w:val="1"/>
          <w:iCs w:val="1"/>
          <w:color w:val="auto"/>
        </w:rPr>
        <w:t>Laboratory Operations</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5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Medpace Holdings, Inc. (the “Company”) on Form 10-Q for the quarter ended September 30, 2017 filed with the Securities and Exchange Commission on the date hereof (the “Report”), I, Dr. August J. Troendle, President, Chief Executive Officer and Chairman of the Board of Directors of the Company, do hereby certify, pursuant to 18 U.S.C. Section 1350, as adopted pursuant to Section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2017</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August J. Troendle</w:t>
            </w:r>
          </w:p>
        </w:tc>
      </w:tr>
      <w:tr>
        <w:trPr>
          <w:trHeight w:val="215"/>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Dr. August J. Troendle</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w:t>
            </w: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Medpace Holdings, Inc. (the “Company”) on Form 10-Q for the quarter ended September 30, 2017 filed with the Securities and Exchange Commission on the date hereof (the “Report”), I, Jesse Geiger, Chief Financial Officer and Chief Operating Officer, Laboratory Operations of the Company, do hereby certify, pursuant to 18 U.S.C. Section 1350, as adopted pursuant to Section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2017</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Geiger</w:t>
            </w:r>
          </w:p>
        </w:tc>
      </w:tr>
      <w:tr>
        <w:trPr>
          <w:trHeight w:val="215"/>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Jesse Geiger</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Chief Financial Officer and Chief Operating Officer,</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Laboratory Operations</w:t>
            </w: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2019-12-29T03:53:22Z</dcterms:created>
  <dcterms:modified xsi:type="dcterms:W3CDTF">2019-12-29T03:53:22Z</dcterms:modified>
</cp:coreProperties>
</file>