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(Rule 14a-101)</w:t>
      </w:r>
    </w:p>
    <w:p>
      <w:pPr>
        <w:jc w:val="center"/>
        <w:ind w:right="-1100"/>
        <w:spacing w:after="0" w:line="230" w:lineRule="auto"/>
        <w:rPr>
          <w:sz w:val="20"/>
          <w:szCs w:val="20"/>
          <w:color w:val="auto"/>
        </w:rPr>
      </w:pPr>
      <w:r>
        <w:rPr>
          <w:rFonts w:ascii="Arial" w:cs="Arial" w:eastAsia="Arial" w:hAnsi="Arial"/>
          <w:sz w:val="22"/>
          <w:szCs w:val="22"/>
          <w:b w:val="1"/>
          <w:bCs w:val="1"/>
          <w:color w:val="auto"/>
        </w:rPr>
        <w:t>INFORMATION REQUIRED IN PROXY STATEMENT</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SCHEDULE 14A INFORMATION</w:t>
      </w:r>
    </w:p>
    <w:p>
      <w:pPr>
        <w:spacing w:after="0" w:line="76"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1120"/>
        <w:spacing w:after="0"/>
        <w:tabs>
          <w:tab w:leader="none" w:pos="220" w:val="left"/>
        </w:tabs>
        <w:rPr>
          <w:sz w:val="20"/>
          <w:szCs w:val="20"/>
          <w:color w:val="auto"/>
        </w:rPr>
      </w:pPr>
      <w:r>
        <w:rPr>
          <w:rFonts w:ascii="Arial" w:cs="Arial" w:eastAsia="Arial" w:hAnsi="Arial"/>
          <w:sz w:val="22"/>
          <w:szCs w:val="22"/>
          <w:b w:val="1"/>
          <w:bCs w:val="1"/>
          <w:color w:val="auto"/>
        </w:rPr>
        <w:t>Securities Exchange Act of 1934 (Amendment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5" w:lineRule="exact"/>
        <w:rPr>
          <w:sz w:val="24"/>
          <w:szCs w:val="24"/>
          <w:color w:val="auto"/>
        </w:rPr>
      </w:pPr>
    </w:p>
    <w:p>
      <w:pPr>
        <w:ind w:left="120"/>
        <w:spacing w:after="0" w:line="161" w:lineRule="exact"/>
        <w:tabs>
          <w:tab w:leader="none" w:pos="290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4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23"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36" w:lineRule="exact"/>
        <w:rPr>
          <w:rFonts w:ascii="MS PGothic" w:cs="MS PGothic" w:eastAsia="MS PGothic" w:hAnsi="MS PGothic"/>
          <w:sz w:val="14"/>
          <w:szCs w:val="1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3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36"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36" w:lineRule="exact"/>
        <w:rPr>
          <w:rFonts w:ascii="MS PGothic" w:cs="MS PGothic" w:eastAsia="MS PGothic" w:hAnsi="MS PGothic"/>
          <w:sz w:val="14"/>
          <w:szCs w:val="1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6" w:lineRule="exact"/>
        <w:rPr>
          <w:sz w:val="24"/>
          <w:szCs w:val="24"/>
          <w:color w:val="auto"/>
        </w:rPr>
      </w:pPr>
    </w:p>
    <w:p>
      <w:pPr>
        <w:jc w:val="center"/>
        <w:ind w:right="-1100"/>
        <w:spacing w:after="0"/>
        <w:rPr>
          <w:sz w:val="20"/>
          <w:szCs w:val="20"/>
          <w:color w:val="auto"/>
        </w:rPr>
      </w:pPr>
      <w:r>
        <w:rPr>
          <w:rFonts w:ascii="Arial" w:cs="Arial" w:eastAsia="Arial" w:hAnsi="Arial"/>
          <w:sz w:val="40"/>
          <w:szCs w:val="40"/>
          <w:b w:val="1"/>
          <w:bCs w:val="1"/>
          <w:color w:val="auto"/>
        </w:rPr>
        <w:t>MEDPACE HOLDINGS,INC.</w:t>
      </w:r>
    </w:p>
    <w:p>
      <w:pPr>
        <w:spacing w:after="0" w:line="3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8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Not applicable.</w:t>
      </w:r>
    </w:p>
    <w:p>
      <w:pPr>
        <w:spacing w:after="0" w:line="19"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5"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Payment of Filing Fee (Check all boxes that apply):</w:t>
      </w:r>
    </w:p>
    <w:p>
      <w:pPr>
        <w:spacing w:after="0" w:line="109"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p>
      <w:pPr>
        <w:jc w:val="center"/>
        <w:ind w:left="2660" w:right="700"/>
        <w:spacing w:after="0" w:line="259" w:lineRule="auto"/>
        <w:rPr>
          <w:sz w:val="20"/>
          <w:szCs w:val="20"/>
          <w:color w:val="auto"/>
        </w:rPr>
      </w:pPr>
      <w:r>
        <w:rPr>
          <w:rFonts w:ascii="Arial" w:cs="Arial" w:eastAsia="Arial" w:hAnsi="Arial"/>
          <w:sz w:val="43"/>
          <w:szCs w:val="43"/>
          <w:b w:val="1"/>
          <w:bCs w:val="1"/>
          <w:color w:val="006098"/>
        </w:rPr>
        <w:t>Medpace Holdings, Inc. Notice of Annual Meeting of Stockholders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1929765</wp:posOffset>
            </wp:positionV>
            <wp:extent cx="4114800" cy="960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006098"/>
        </w:rPr>
        <w:t>DATE &amp; TIME:</w:t>
      </w:r>
    </w:p>
    <w:p>
      <w:pPr>
        <w:spacing w:after="0" w:line="34" w:lineRule="exact"/>
        <w:rPr>
          <w:sz w:val="20"/>
          <w:szCs w:val="20"/>
          <w:color w:val="auto"/>
        </w:rPr>
      </w:pPr>
    </w:p>
    <w:p>
      <w:pPr>
        <w:jc w:val="center"/>
        <w:ind w:right="-1120"/>
        <w:spacing w:after="0"/>
        <w:rPr>
          <w:sz w:val="20"/>
          <w:szCs w:val="20"/>
          <w:color w:val="auto"/>
        </w:rPr>
      </w:pPr>
      <w:r>
        <w:rPr>
          <w:rFonts w:ascii="Arial" w:cs="Arial" w:eastAsia="Arial" w:hAnsi="Arial"/>
          <w:sz w:val="29"/>
          <w:szCs w:val="29"/>
          <w:color w:val="006098"/>
        </w:rPr>
        <w:t>Friday, May 20, 2022</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9"/>
          <w:szCs w:val="29"/>
          <w:color w:val="006098"/>
        </w:rPr>
        <w:t>9:00 a.m. Eastern Time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006098"/>
        </w:rPr>
        <w:t>LOCATION:</w:t>
      </w:r>
    </w:p>
    <w:p>
      <w:pPr>
        <w:spacing w:after="0" w:line="34" w:lineRule="exact"/>
        <w:rPr>
          <w:sz w:val="20"/>
          <w:szCs w:val="20"/>
          <w:color w:val="auto"/>
        </w:rPr>
      </w:pPr>
    </w:p>
    <w:p>
      <w:pPr>
        <w:jc w:val="right"/>
        <w:ind w:right="1219"/>
        <w:spacing w:after="0"/>
        <w:rPr>
          <w:sz w:val="20"/>
          <w:szCs w:val="20"/>
          <w:color w:val="auto"/>
        </w:rPr>
      </w:pPr>
      <w:r>
        <w:rPr>
          <w:rFonts w:ascii="Arial" w:cs="Arial" w:eastAsia="Arial" w:hAnsi="Arial"/>
          <w:sz w:val="29"/>
          <w:szCs w:val="29"/>
          <w:b w:val="1"/>
          <w:bCs w:val="1"/>
          <w:color w:val="006098"/>
        </w:rPr>
        <w:t>www.virtualshareholdermeeting.com/MEDP2022</w:t>
      </w:r>
    </w:p>
    <w:p>
      <w:pPr>
        <w:sectPr>
          <w:pgSz w:w="11900" w:h="16838" w:orient="portrait"/>
          <w:cols w:equalWidth="0" w:num="1">
            <w:col w:w="10139"/>
          </w:cols>
          <w:pgMar w:left="320" w:top="45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F3F3F"/>
        </w:rPr>
        <w:t>MEDPACE HOLDINGS,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F3F3F"/>
        </w:rPr>
        <w:t>5375 MEDPACE WAY</w:t>
      </w:r>
    </w:p>
    <w:p>
      <w:pPr>
        <w:ind w:left="120"/>
        <w:spacing w:after="0"/>
        <w:rPr>
          <w:sz w:val="20"/>
          <w:szCs w:val="20"/>
          <w:color w:val="auto"/>
        </w:rPr>
      </w:pPr>
      <w:r>
        <w:rPr>
          <w:rFonts w:ascii="Arial" w:cs="Arial" w:eastAsia="Arial" w:hAnsi="Arial"/>
          <w:sz w:val="18"/>
          <w:szCs w:val="18"/>
          <w:b w:val="1"/>
          <w:bCs w:val="1"/>
          <w:color w:val="3F3F3F"/>
        </w:rPr>
        <w:t>CINCINNATI, OHIO 45227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April 6, 2022</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To Our Stockholders:</w:t>
      </w:r>
    </w:p>
    <w:p>
      <w:pPr>
        <w:spacing w:after="0" w:line="212"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3F3F3F"/>
        </w:rPr>
        <w:t>You are cordially invited to attend the 2022 Annual Meeting of Stockholders of Medpace Holdings, Inc. at 9:00 a.m. Eastern Time, on Friday, May 20, 2022. We are conducting this year’s Annual Meeting as a virtual meeting of stockholders. We believe that hosting a virtual meeting provides expanded access and improved communication between our stockholders and the Company. You will be able to attend the Annual Meeting online, vote your shares electronically, and submit your questions during the Annual Meeting by visiting www.virtualshareholdermeeting.com/MEDP2022. You will not be able to attend the Annual Meeting in person.</w:t>
      </w:r>
    </w:p>
    <w:p>
      <w:pPr>
        <w:spacing w:after="0" w:line="176"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3F3F3F"/>
        </w:rPr>
        <w:t>The Notice of Meeting and Proxy Statement on the following pages describe the matters to be presented at the Annual Meeting. If you would like to virtually attend the Annual Meeting, please review the section called “Who Can Attend the 2022 Annual Meeting of Stockholders?” on page 4 of the proxy statement for more information about how to virtually attend the meeting.</w:t>
      </w:r>
    </w:p>
    <w:p>
      <w:pPr>
        <w:spacing w:after="0" w:line="16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3F3F3F"/>
        </w:rPr>
        <w:t>Whether or not you virtually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Thank you for your support.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1551305" cy="643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August J. Troendle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Chief Executive Officer and Chairman of the Board</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F3F3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020" w:type="dxa"/>
            <w:vAlign w:val="bottom"/>
            <w:gridSpan w:val="41"/>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Notice of Annual Meeting of Stockholders</w:t>
              </w:r>
            </w:hyperlink>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3560" w:type="dxa"/>
            <w:vAlign w:val="bottom"/>
            <w:tcBorders>
              <w:top w:val="single" w:sz="8" w:color="0000EE"/>
            </w:tcBorders>
            <w:gridSpan w:val="28"/>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Proxy Statement</w:t>
              </w:r>
            </w:hyperlink>
          </w:p>
        </w:tc>
        <w:tc>
          <w:tcPr>
            <w:tcW w:w="5460" w:type="dxa"/>
            <w:vAlign w:val="bottom"/>
            <w:gridSpan w:val="13"/>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3F3F3F"/>
              </w:rPr>
              <w:t>1</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Proposals</w:t>
              </w:r>
            </w:hyperlink>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vMerge w:val="restart"/>
          </w:tcPr>
          <w:p>
            <w:pPr>
              <w:jc w:val="right"/>
              <w:spacing w:after="0" w:line="202" w:lineRule="exact"/>
              <w:rPr>
                <w:sz w:val="20"/>
                <w:szCs w:val="20"/>
                <w:color w:val="auto"/>
              </w:rPr>
            </w:pPr>
            <w:r>
              <w:rPr>
                <w:rFonts w:ascii="Arial" w:cs="Arial" w:eastAsia="Arial" w:hAnsi="Arial"/>
                <w:sz w:val="18"/>
                <w:szCs w:val="18"/>
                <w:color w:val="3F3F3F"/>
              </w:rPr>
              <w:t>2</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8580" w:type="dxa"/>
            <w:vAlign w:val="bottom"/>
            <w:gridSpan w:val="40"/>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Recommendations of the Board</w:t>
              </w:r>
            </w:hyperlink>
          </w:p>
        </w:tc>
        <w:tc>
          <w:tcPr>
            <w:tcW w:w="1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54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Information About This Proxy</w:t>
              </w:r>
            </w:hyperlink>
          </w:p>
        </w:tc>
        <w:tc>
          <w:tcPr>
            <w:tcW w:w="660" w:type="dxa"/>
            <w:vAlign w:val="bottom"/>
            <w:tcBorders>
              <w:bottom w:val="single" w:sz="8" w:color="0000EE"/>
            </w:tcBorders>
            <w:gridSpan w:val="5"/>
          </w:tcPr>
          <w:p>
            <w:pPr>
              <w:spacing w:after="0" w:line="182" w:lineRule="exact"/>
              <w:rPr>
                <w:rFonts w:ascii="Arial" w:cs="Arial" w:eastAsia="Arial" w:hAnsi="Arial"/>
                <w:sz w:val="18"/>
                <w:szCs w:val="18"/>
                <w:color w:val="0000EE"/>
                <w:w w:val="77"/>
              </w:rPr>
            </w:pPr>
            <w:hyperlink w:anchor="page8">
              <w:r>
                <w:rPr>
                  <w:rFonts w:ascii="Arial" w:cs="Arial" w:eastAsia="Arial" w:hAnsi="Arial"/>
                  <w:sz w:val="18"/>
                  <w:szCs w:val="18"/>
                  <w:color w:val="0000EE"/>
                  <w:w w:val="77"/>
                </w:rPr>
                <w:t>Statement</w:t>
              </w:r>
            </w:hyperlink>
          </w:p>
        </w:tc>
        <w:tc>
          <w:tcPr>
            <w:tcW w:w="5380" w:type="dxa"/>
            <w:vAlign w:val="bottom"/>
            <w:gridSpan w:val="12"/>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2</w:t>
            </w:r>
          </w:p>
        </w:tc>
        <w:tc>
          <w:tcPr>
            <w:tcW w:w="0" w:type="dxa"/>
            <w:vAlign w:val="bottom"/>
          </w:tcPr>
          <w:p>
            <w:pPr>
              <w:spacing w:after="0"/>
              <w:rPr>
                <w:sz w:val="1"/>
                <w:szCs w:val="1"/>
                <w:color w:val="auto"/>
              </w:rPr>
            </w:pPr>
          </w:p>
        </w:tc>
      </w:tr>
      <w:tr>
        <w:trPr>
          <w:trHeight w:val="318"/>
        </w:trPr>
        <w:tc>
          <w:tcPr>
            <w:tcW w:w="9020" w:type="dxa"/>
            <w:vAlign w:val="bottom"/>
            <w:gridSpan w:val="41"/>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Questions and Answers About the 2022 Annual Meeting of Stockholders</w:t>
              </w:r>
            </w:hyperlink>
          </w:p>
        </w:tc>
        <w:tc>
          <w:tcPr>
            <w:tcW w:w="1940" w:type="dxa"/>
            <w:vAlign w:val="bottom"/>
          </w:tcPr>
          <w:p>
            <w:pPr>
              <w:jc w:val="right"/>
              <w:spacing w:after="0"/>
              <w:rPr>
                <w:sz w:val="20"/>
                <w:szCs w:val="20"/>
                <w:color w:val="auto"/>
              </w:rPr>
            </w:pPr>
            <w:r>
              <w:rPr>
                <w:rFonts w:ascii="Arial" w:cs="Arial" w:eastAsia="Arial" w:hAnsi="Arial"/>
                <w:sz w:val="18"/>
                <w:szCs w:val="18"/>
                <w:color w:val="3F3F3F"/>
              </w:rPr>
              <w:t>4</w:t>
            </w:r>
          </w:p>
        </w:tc>
        <w:tc>
          <w:tcPr>
            <w:tcW w:w="0" w:type="dxa"/>
            <w:vAlign w:val="bottom"/>
          </w:tcPr>
          <w:p>
            <w:pPr>
              <w:spacing w:after="0"/>
              <w:rPr>
                <w:sz w:val="1"/>
                <w:szCs w:val="1"/>
                <w:color w:val="auto"/>
              </w:rPr>
            </w:pPr>
          </w:p>
        </w:tc>
      </w:tr>
      <w:tr>
        <w:trPr>
          <w:trHeight w:val="317"/>
        </w:trPr>
        <w:tc>
          <w:tcPr>
            <w:tcW w:w="6180" w:type="dxa"/>
            <w:vAlign w:val="bottom"/>
            <w:tcBorders>
              <w:top w:val="single" w:sz="8" w:color="0000EE"/>
            </w:tcBorders>
            <w:gridSpan w:val="39"/>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 xml:space="preserve">Proposal 1: </w:t>
              </w:r>
              <w:r>
                <w:rPr>
                  <w:rFonts w:ascii="Arial" w:cs="Arial" w:eastAsia="Arial" w:hAnsi="Arial"/>
                  <w:sz w:val="18"/>
                  <w:szCs w:val="18"/>
                  <w:color w:val="0000EE"/>
                </w:rPr>
                <w:t>Election of Directors</w:t>
              </w:r>
            </w:hyperlink>
          </w:p>
        </w:tc>
        <w:tc>
          <w:tcPr>
            <w:tcW w:w="2840" w:type="dxa"/>
            <w:vAlign w:val="bottom"/>
            <w:gridSpan w:val="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3F3F3F"/>
              </w:rPr>
              <w:t>8</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220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Vote Required</w:t>
              </w:r>
            </w:hyperlink>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1740" w:type="dxa"/>
            <w:vAlign w:val="bottom"/>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8</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11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Recommendation</w:t>
              </w:r>
            </w:hyperlink>
          </w:p>
        </w:tc>
        <w:tc>
          <w:tcPr>
            <w:tcW w:w="40" w:type="dxa"/>
            <w:vAlign w:val="bottom"/>
            <w:tcBorders>
              <w:bottom w:val="single" w:sz="8" w:color="0000EE"/>
            </w:tcBorders>
          </w:tcPr>
          <w:p>
            <w:pPr>
              <w:spacing w:after="0"/>
              <w:rPr>
                <w:sz w:val="15"/>
                <w:szCs w:val="15"/>
                <w:color w:val="auto"/>
              </w:rPr>
            </w:pPr>
          </w:p>
        </w:tc>
        <w:tc>
          <w:tcPr>
            <w:tcW w:w="16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60" w:type="dxa"/>
            <w:vAlign w:val="bottom"/>
            <w:tcBorders>
              <w:bottom w:val="single" w:sz="8" w:color="0000EE"/>
            </w:tcBorders>
            <w:gridSpan w:val="23"/>
          </w:tcPr>
          <w:p>
            <w:pPr>
              <w:ind w:left="100"/>
              <w:spacing w:after="0" w:line="182" w:lineRule="exact"/>
              <w:rPr>
                <w:rFonts w:ascii="Arial" w:cs="Arial" w:eastAsia="Arial" w:hAnsi="Arial"/>
                <w:sz w:val="18"/>
                <w:szCs w:val="18"/>
                <w:color w:val="0000EE"/>
                <w:w w:val="99"/>
              </w:rPr>
            </w:pPr>
            <w:hyperlink w:anchor="page15">
              <w:r>
                <w:rPr>
                  <w:rFonts w:ascii="Arial" w:cs="Arial" w:eastAsia="Arial" w:hAnsi="Arial"/>
                  <w:sz w:val="18"/>
                  <w:szCs w:val="18"/>
                  <w:color w:val="0000EE"/>
                  <w:w w:val="99"/>
                </w:rPr>
                <w:t>of the Board of Directors</w:t>
              </w:r>
            </w:hyperlink>
          </w:p>
        </w:tc>
        <w:tc>
          <w:tcPr>
            <w:tcW w:w="5160" w:type="dxa"/>
            <w:vAlign w:val="bottom"/>
            <w:gridSpan w:val="10"/>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9</w:t>
            </w:r>
          </w:p>
        </w:tc>
        <w:tc>
          <w:tcPr>
            <w:tcW w:w="0" w:type="dxa"/>
            <w:vAlign w:val="bottom"/>
          </w:tcPr>
          <w:p>
            <w:pPr>
              <w:spacing w:after="0"/>
              <w:rPr>
                <w:sz w:val="1"/>
                <w:szCs w:val="1"/>
                <w:color w:val="auto"/>
              </w:rPr>
            </w:pPr>
          </w:p>
        </w:tc>
      </w:tr>
      <w:tr>
        <w:trPr>
          <w:trHeight w:val="318"/>
        </w:trPr>
        <w:tc>
          <w:tcPr>
            <w:tcW w:w="9020" w:type="dxa"/>
            <w:vAlign w:val="bottom"/>
            <w:gridSpan w:val="41"/>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 xml:space="preserve">Proposal 2: </w:t>
              </w:r>
              <w:r>
                <w:rPr>
                  <w:rFonts w:ascii="Arial" w:cs="Arial" w:eastAsia="Arial" w:hAnsi="Arial"/>
                  <w:sz w:val="18"/>
                  <w:szCs w:val="18"/>
                  <w:color w:val="0000EE"/>
                </w:rPr>
                <w:t>Ratification of Appointment of Independent Registered Public Accounting Firm</w:t>
              </w:r>
            </w:hyperlink>
          </w:p>
        </w:tc>
        <w:tc>
          <w:tcPr>
            <w:tcW w:w="1940" w:type="dxa"/>
            <w:vAlign w:val="bottom"/>
          </w:tcPr>
          <w:p>
            <w:pPr>
              <w:jc w:val="right"/>
              <w:spacing w:after="0"/>
              <w:rPr>
                <w:sz w:val="20"/>
                <w:szCs w:val="20"/>
                <w:color w:val="auto"/>
              </w:rPr>
            </w:pPr>
            <w:r>
              <w:rPr>
                <w:rFonts w:ascii="Arial" w:cs="Arial" w:eastAsia="Arial" w:hAnsi="Arial"/>
                <w:sz w:val="18"/>
                <w:szCs w:val="18"/>
                <w:color w:val="3F3F3F"/>
              </w:rPr>
              <w:t>13</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6840" w:type="dxa"/>
            <w:vAlign w:val="bottom"/>
            <w:tcBorders>
              <w:top w:val="single" w:sz="8" w:color="0000EE"/>
            </w:tcBorders>
            <w:gridSpan w:val="39"/>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Vote Required</w:t>
              </w:r>
            </w:hyperlink>
          </w:p>
        </w:tc>
        <w:tc>
          <w:tcPr>
            <w:tcW w:w="1740" w:type="dxa"/>
            <w:vAlign w:val="bottom"/>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13</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11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Recommendation</w:t>
              </w:r>
            </w:hyperlink>
          </w:p>
        </w:tc>
        <w:tc>
          <w:tcPr>
            <w:tcW w:w="40" w:type="dxa"/>
            <w:vAlign w:val="bottom"/>
            <w:tcBorders>
              <w:bottom w:val="single" w:sz="8" w:color="0000EE"/>
            </w:tcBorders>
          </w:tcPr>
          <w:p>
            <w:pPr>
              <w:spacing w:after="0"/>
              <w:rPr>
                <w:sz w:val="15"/>
                <w:szCs w:val="15"/>
                <w:color w:val="auto"/>
              </w:rPr>
            </w:pPr>
          </w:p>
        </w:tc>
        <w:tc>
          <w:tcPr>
            <w:tcW w:w="16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60" w:type="dxa"/>
            <w:vAlign w:val="bottom"/>
            <w:tcBorders>
              <w:bottom w:val="single" w:sz="8" w:color="0000EE"/>
            </w:tcBorders>
            <w:gridSpan w:val="23"/>
          </w:tcPr>
          <w:p>
            <w:pPr>
              <w:ind w:left="100"/>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of the Board of Directors</w:t>
              </w:r>
            </w:hyperlink>
          </w:p>
        </w:tc>
        <w:tc>
          <w:tcPr>
            <w:tcW w:w="5160" w:type="dxa"/>
            <w:vAlign w:val="bottom"/>
            <w:gridSpan w:val="10"/>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13</w:t>
            </w:r>
          </w:p>
        </w:tc>
        <w:tc>
          <w:tcPr>
            <w:tcW w:w="0" w:type="dxa"/>
            <w:vAlign w:val="bottom"/>
          </w:tcPr>
          <w:p>
            <w:pPr>
              <w:spacing w:after="0"/>
              <w:rPr>
                <w:sz w:val="1"/>
                <w:szCs w:val="1"/>
                <w:color w:val="auto"/>
              </w:rPr>
            </w:pPr>
          </w:p>
        </w:tc>
      </w:tr>
      <w:tr>
        <w:trPr>
          <w:trHeight w:val="318"/>
        </w:trPr>
        <w:tc>
          <w:tcPr>
            <w:tcW w:w="4780" w:type="dxa"/>
            <w:vAlign w:val="bottom"/>
            <w:tcBorders>
              <w:bottom w:val="single" w:sz="8" w:color="0000EE"/>
            </w:tcBorders>
            <w:gridSpan w:val="34"/>
          </w:tcPr>
          <w:p>
            <w:pPr>
              <w:spacing w:after="0"/>
              <w:rPr>
                <w:rFonts w:ascii="Arial" w:cs="Arial" w:eastAsia="Arial" w:hAnsi="Arial"/>
                <w:sz w:val="18"/>
                <w:szCs w:val="18"/>
                <w:b w:val="1"/>
                <w:bCs w:val="1"/>
                <w:color w:val="0000EE"/>
                <w:w w:val="99"/>
              </w:rPr>
            </w:pPr>
            <w:hyperlink w:anchor="page20">
              <w:r>
                <w:rPr>
                  <w:rFonts w:ascii="Arial" w:cs="Arial" w:eastAsia="Arial" w:hAnsi="Arial"/>
                  <w:sz w:val="18"/>
                  <w:szCs w:val="18"/>
                  <w:b w:val="1"/>
                  <w:bCs w:val="1"/>
                  <w:color w:val="0000EE"/>
                  <w:w w:val="99"/>
                </w:rPr>
                <w:t>Report of the Audit Committee of the Board of Directors</w:t>
              </w:r>
            </w:hyperlink>
          </w:p>
        </w:tc>
        <w:tc>
          <w:tcPr>
            <w:tcW w:w="4240" w:type="dxa"/>
            <w:vAlign w:val="bottom"/>
            <w:gridSpan w:val="7"/>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3F3F3F"/>
              </w:rPr>
              <w:t>14</w:t>
            </w:r>
          </w:p>
        </w:tc>
        <w:tc>
          <w:tcPr>
            <w:tcW w:w="0" w:type="dxa"/>
            <w:vAlign w:val="bottom"/>
          </w:tcPr>
          <w:p>
            <w:pPr>
              <w:spacing w:after="0"/>
              <w:rPr>
                <w:sz w:val="1"/>
                <w:szCs w:val="1"/>
                <w:color w:val="auto"/>
              </w:rPr>
            </w:pPr>
          </w:p>
        </w:tc>
      </w:tr>
      <w:tr>
        <w:trPr>
          <w:trHeight w:val="318"/>
        </w:trPr>
        <w:tc>
          <w:tcPr>
            <w:tcW w:w="9020" w:type="dxa"/>
            <w:vAlign w:val="bottom"/>
            <w:gridSpan w:val="41"/>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Independent Registered Public Accounting Firm Fees and Other Matters</w:t>
              </w:r>
            </w:hyperlink>
          </w:p>
        </w:tc>
        <w:tc>
          <w:tcPr>
            <w:tcW w:w="1940" w:type="dxa"/>
            <w:vAlign w:val="bottom"/>
          </w:tcPr>
          <w:p>
            <w:pPr>
              <w:jc w:val="right"/>
              <w:spacing w:after="0"/>
              <w:rPr>
                <w:sz w:val="20"/>
                <w:szCs w:val="20"/>
                <w:color w:val="auto"/>
              </w:rPr>
            </w:pPr>
            <w:r>
              <w:rPr>
                <w:rFonts w:ascii="Arial" w:cs="Arial" w:eastAsia="Arial" w:hAnsi="Arial"/>
                <w:sz w:val="18"/>
                <w:szCs w:val="18"/>
                <w:color w:val="3F3F3F"/>
              </w:rPr>
              <w:t>15</w:t>
            </w:r>
          </w:p>
        </w:tc>
        <w:tc>
          <w:tcPr>
            <w:tcW w:w="0" w:type="dxa"/>
            <w:vAlign w:val="bottom"/>
          </w:tcPr>
          <w:p>
            <w:pPr>
              <w:spacing w:after="0"/>
              <w:rPr>
                <w:sz w:val="1"/>
                <w:szCs w:val="1"/>
                <w:color w:val="auto"/>
              </w:rPr>
            </w:pPr>
          </w:p>
        </w:tc>
      </w:tr>
      <w:tr>
        <w:trPr>
          <w:trHeight w:val="318"/>
        </w:trPr>
        <w:tc>
          <w:tcPr>
            <w:tcW w:w="2220" w:type="dxa"/>
            <w:vAlign w:val="bottom"/>
            <w:tcBorders>
              <w:top w:val="single" w:sz="8" w:color="0000EE"/>
              <w:bottom w:val="single" w:sz="8" w:color="0000EE"/>
            </w:tcBorders>
            <w:gridSpan w:val="15"/>
          </w:tcPr>
          <w:p>
            <w:pPr>
              <w:spacing w:after="0"/>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Named Executive Officers</w:t>
              </w:r>
            </w:hyperlink>
          </w:p>
        </w:tc>
        <w:tc>
          <w:tcPr>
            <w:tcW w:w="3940" w:type="dxa"/>
            <w:vAlign w:val="bottom"/>
            <w:tcBorders>
              <w:top w:val="single" w:sz="8" w:color="0000EE"/>
            </w:tcBorders>
            <w:gridSpan w:val="23"/>
          </w:tcPr>
          <w:p>
            <w:pPr>
              <w:spacing w:after="0"/>
              <w:rPr>
                <w:sz w:val="24"/>
                <w:szCs w:val="24"/>
                <w:color w:val="auto"/>
              </w:rPr>
            </w:pPr>
          </w:p>
        </w:tc>
        <w:tc>
          <w:tcPr>
            <w:tcW w:w="2860" w:type="dxa"/>
            <w:vAlign w:val="bottom"/>
            <w:gridSpan w:val="3"/>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3F3F3F"/>
              </w:rPr>
              <w:t>16</w:t>
            </w:r>
          </w:p>
        </w:tc>
        <w:tc>
          <w:tcPr>
            <w:tcW w:w="0" w:type="dxa"/>
            <w:vAlign w:val="bottom"/>
          </w:tcPr>
          <w:p>
            <w:pPr>
              <w:spacing w:after="0"/>
              <w:rPr>
                <w:sz w:val="1"/>
                <w:szCs w:val="1"/>
                <w:color w:val="auto"/>
              </w:rPr>
            </w:pPr>
          </w:p>
        </w:tc>
      </w:tr>
      <w:tr>
        <w:trPr>
          <w:trHeight w:val="318"/>
        </w:trPr>
        <w:tc>
          <w:tcPr>
            <w:tcW w:w="9020" w:type="dxa"/>
            <w:vAlign w:val="bottom"/>
            <w:gridSpan w:val="41"/>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Corporate Governance</w:t>
              </w:r>
            </w:hyperlink>
          </w:p>
        </w:tc>
        <w:tc>
          <w:tcPr>
            <w:tcW w:w="1940" w:type="dxa"/>
            <w:vAlign w:val="bottom"/>
          </w:tcPr>
          <w:p>
            <w:pPr>
              <w:jc w:val="right"/>
              <w:spacing w:after="0"/>
              <w:rPr>
                <w:sz w:val="20"/>
                <w:szCs w:val="20"/>
                <w:color w:val="auto"/>
              </w:rPr>
            </w:pPr>
            <w:r>
              <w:rPr>
                <w:rFonts w:ascii="Arial" w:cs="Arial" w:eastAsia="Arial" w:hAnsi="Arial"/>
                <w:sz w:val="18"/>
                <w:szCs w:val="18"/>
                <w:color w:val="3F3F3F"/>
              </w:rPr>
              <w:t>18</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15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General</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4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40" w:type="dxa"/>
            <w:vAlign w:val="bottom"/>
            <w:gridSpan w:val="4"/>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18</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6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Board</w:t>
              </w:r>
            </w:hyperlink>
          </w:p>
        </w:tc>
        <w:tc>
          <w:tcPr>
            <w:tcW w:w="900" w:type="dxa"/>
            <w:vAlign w:val="bottom"/>
            <w:tcBorders>
              <w:bottom w:val="single" w:sz="8" w:color="0000EE"/>
            </w:tcBorders>
            <w:gridSpan w:val="8"/>
          </w:tcPr>
          <w:p>
            <w:pPr>
              <w:spacing w:after="0" w:line="182"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Composition</w:t>
              </w:r>
            </w:hyperlink>
          </w:p>
        </w:tc>
        <w:tc>
          <w:tcPr>
            <w:tcW w:w="7040" w:type="dxa"/>
            <w:vAlign w:val="bottom"/>
            <w:gridSpan w:val="31"/>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18</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580" w:type="dxa"/>
            <w:vAlign w:val="bottom"/>
            <w:gridSpan w:val="40"/>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Board Diversity Matrix (as of March 24, 2022).</w:t>
              </w:r>
            </w:hyperlink>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18</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68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Director Independence</w:t>
              </w:r>
            </w:hyperlink>
          </w:p>
        </w:tc>
        <w:tc>
          <w:tcPr>
            <w:tcW w:w="20" w:type="dxa"/>
            <w:vAlign w:val="bottom"/>
          </w:tcPr>
          <w:p>
            <w:pPr>
              <w:spacing w:after="0"/>
              <w:rPr>
                <w:sz w:val="15"/>
                <w:szCs w:val="15"/>
                <w:color w:val="auto"/>
              </w:rPr>
            </w:pPr>
          </w:p>
        </w:tc>
        <w:tc>
          <w:tcPr>
            <w:tcW w:w="68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40" w:type="dxa"/>
            <w:vAlign w:val="bottom"/>
            <w:gridSpan w:val="4"/>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19</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16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Director Candidates</w:t>
              </w:r>
            </w:hyperlink>
          </w:p>
        </w:tc>
        <w:tc>
          <w:tcPr>
            <w:tcW w:w="220" w:type="dxa"/>
            <w:vAlign w:val="bottom"/>
            <w:tcBorders>
              <w:top w:val="single" w:sz="8" w:color="0000EE"/>
            </w:tcBorders>
            <w:gridSpan w:val="5"/>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480" w:type="dxa"/>
            <w:vAlign w:val="bottom"/>
            <w:gridSpan w:val="3"/>
          </w:tcPr>
          <w:p>
            <w:pPr>
              <w:spacing w:after="0"/>
              <w:rPr>
                <w:sz w:val="15"/>
                <w:szCs w:val="15"/>
                <w:color w:val="auto"/>
              </w:rPr>
            </w:pPr>
          </w:p>
        </w:tc>
        <w:tc>
          <w:tcPr>
            <w:tcW w:w="68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40" w:type="dxa"/>
            <w:vAlign w:val="bottom"/>
            <w:gridSpan w:val="4"/>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19</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580" w:type="dxa"/>
            <w:vAlign w:val="bottom"/>
            <w:gridSpan w:val="40"/>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Communications from Stockholders</w:t>
              </w:r>
            </w:hyperlink>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20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1940" w:type="dxa"/>
            <w:vAlign w:val="bottom"/>
            <w:vMerge w:val="restart"/>
          </w:tcPr>
          <w:p>
            <w:pPr>
              <w:jc w:val="right"/>
              <w:spacing w:after="0" w:line="202" w:lineRule="exact"/>
              <w:rPr>
                <w:sz w:val="20"/>
                <w:szCs w:val="20"/>
                <w:color w:val="auto"/>
              </w:rPr>
            </w:pPr>
            <w:r>
              <w:rPr>
                <w:rFonts w:ascii="Arial" w:cs="Arial" w:eastAsia="Arial" w:hAnsi="Arial"/>
                <w:sz w:val="18"/>
                <w:szCs w:val="18"/>
                <w:color w:val="3F3F3F"/>
              </w:rPr>
              <w:t>20</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8580" w:type="dxa"/>
            <w:vAlign w:val="bottom"/>
            <w:gridSpan w:val="40"/>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Board Leadership Structure and Role in Risk Oversight</w:t>
              </w:r>
            </w:hyperlink>
          </w:p>
        </w:tc>
        <w:tc>
          <w:tcPr>
            <w:tcW w:w="1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380" w:type="dxa"/>
            <w:vAlign w:val="bottom"/>
            <w:tcBorders>
              <w:top w:val="single" w:sz="8" w:color="0000EE"/>
            </w:tcBorders>
            <w:gridSpan w:val="34"/>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Periodic Board Evaluation</w:t>
              </w:r>
            </w:hyperlink>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40" w:type="dxa"/>
            <w:vAlign w:val="bottom"/>
            <w:gridSpan w:val="4"/>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21</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08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Code of Ethics</w:t>
              </w:r>
            </w:hyperlink>
          </w:p>
        </w:tc>
        <w:tc>
          <w:tcPr>
            <w:tcW w:w="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480" w:type="dxa"/>
            <w:vAlign w:val="bottom"/>
            <w:gridSpan w:val="3"/>
          </w:tcPr>
          <w:p>
            <w:pPr>
              <w:spacing w:after="0"/>
              <w:rPr>
                <w:sz w:val="15"/>
                <w:szCs w:val="15"/>
                <w:color w:val="auto"/>
              </w:rPr>
            </w:pPr>
          </w:p>
        </w:tc>
        <w:tc>
          <w:tcPr>
            <w:tcW w:w="102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3640" w:type="dxa"/>
            <w:vAlign w:val="bottom"/>
            <w:gridSpan w:val="4"/>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21</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Attendance by</w:t>
              </w:r>
            </w:hyperlink>
          </w:p>
        </w:tc>
        <w:tc>
          <w:tcPr>
            <w:tcW w:w="3760" w:type="dxa"/>
            <w:vAlign w:val="bottom"/>
            <w:tcBorders>
              <w:bottom w:val="single" w:sz="8" w:color="0000EE"/>
            </w:tcBorders>
            <w:gridSpan w:val="31"/>
          </w:tcPr>
          <w:p>
            <w:pPr>
              <w:ind w:left="20"/>
              <w:spacing w:after="0" w:line="182"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Members of the Board of Directors at Meetings</w:t>
              </w:r>
            </w:hyperlink>
          </w:p>
        </w:tc>
        <w:tc>
          <w:tcPr>
            <w:tcW w:w="3640" w:type="dxa"/>
            <w:vAlign w:val="bottom"/>
            <w:gridSpan w:val="4"/>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22</w:t>
            </w:r>
          </w:p>
        </w:tc>
        <w:tc>
          <w:tcPr>
            <w:tcW w:w="0" w:type="dxa"/>
            <w:vAlign w:val="bottom"/>
          </w:tcPr>
          <w:p>
            <w:pPr>
              <w:spacing w:after="0"/>
              <w:rPr>
                <w:sz w:val="1"/>
                <w:szCs w:val="1"/>
                <w:color w:val="auto"/>
              </w:rPr>
            </w:pPr>
          </w:p>
        </w:tc>
      </w:tr>
      <w:tr>
        <w:trPr>
          <w:trHeight w:val="318"/>
        </w:trPr>
        <w:tc>
          <w:tcPr>
            <w:tcW w:w="9020" w:type="dxa"/>
            <w:vAlign w:val="bottom"/>
            <w:gridSpan w:val="41"/>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Committees of the Board</w:t>
              </w:r>
            </w:hyperlink>
          </w:p>
        </w:tc>
        <w:tc>
          <w:tcPr>
            <w:tcW w:w="1940" w:type="dxa"/>
            <w:vAlign w:val="bottom"/>
          </w:tcPr>
          <w:p>
            <w:pPr>
              <w:jc w:val="right"/>
              <w:spacing w:after="0"/>
              <w:rPr>
                <w:sz w:val="20"/>
                <w:szCs w:val="20"/>
                <w:color w:val="auto"/>
              </w:rPr>
            </w:pPr>
            <w:r>
              <w:rPr>
                <w:rFonts w:ascii="Arial" w:cs="Arial" w:eastAsia="Arial" w:hAnsi="Arial"/>
                <w:sz w:val="18"/>
                <w:szCs w:val="18"/>
                <w:color w:val="3F3F3F"/>
              </w:rPr>
              <w:t>23</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17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Audit Committee</w:t>
              </w:r>
            </w:hyperlink>
          </w:p>
        </w:tc>
        <w:tc>
          <w:tcPr>
            <w:tcW w:w="2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180" w:type="dxa"/>
            <w:vAlign w:val="bottom"/>
            <w:gridSpan w:val="2"/>
          </w:tcPr>
          <w:p>
            <w:pPr>
              <w:spacing w:after="0"/>
              <w:rPr>
                <w:sz w:val="15"/>
                <w:szCs w:val="15"/>
                <w:color w:val="auto"/>
              </w:rPr>
            </w:pPr>
          </w:p>
        </w:tc>
        <w:tc>
          <w:tcPr>
            <w:tcW w:w="2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480" w:type="dxa"/>
            <w:vAlign w:val="bottom"/>
            <w:gridSpan w:val="3"/>
          </w:tcPr>
          <w:p>
            <w:pPr>
              <w:spacing w:after="0"/>
              <w:rPr>
                <w:sz w:val="15"/>
                <w:szCs w:val="15"/>
                <w:color w:val="auto"/>
              </w:rPr>
            </w:pPr>
          </w:p>
        </w:tc>
        <w:tc>
          <w:tcPr>
            <w:tcW w:w="1020" w:type="dxa"/>
            <w:vAlign w:val="bottom"/>
            <w:gridSpan w:val="3"/>
          </w:tcPr>
          <w:p>
            <w:pPr>
              <w:spacing w:after="0"/>
              <w:rPr>
                <w:sz w:val="15"/>
                <w:szCs w:val="15"/>
                <w:color w:val="auto"/>
              </w:rPr>
            </w:pPr>
          </w:p>
        </w:tc>
        <w:tc>
          <w:tcPr>
            <w:tcW w:w="3860" w:type="dxa"/>
            <w:vAlign w:val="bottom"/>
            <w:gridSpan w:val="5"/>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23</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13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Compensation</w:t>
              </w:r>
            </w:hyperlink>
          </w:p>
        </w:tc>
        <w:tc>
          <w:tcPr>
            <w:tcW w:w="7240" w:type="dxa"/>
            <w:vAlign w:val="bottom"/>
            <w:gridSpan w:val="34"/>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Committee</w:t>
              </w:r>
            </w:hyperlink>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24</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10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Nominating and Governance</w:t>
              </w:r>
            </w:hyperlink>
          </w:p>
        </w:tc>
        <w:tc>
          <w:tcPr>
            <w:tcW w:w="1120" w:type="dxa"/>
            <w:vAlign w:val="bottom"/>
            <w:tcBorders>
              <w:bottom w:val="single" w:sz="8" w:color="0000EE"/>
            </w:tcBorders>
            <w:gridSpan w:val="11"/>
          </w:tcPr>
          <w:p>
            <w:pPr>
              <w:ind w:left="240"/>
              <w:spacing w:after="0" w:line="182" w:lineRule="exact"/>
              <w:rPr>
                <w:rFonts w:ascii="Arial" w:cs="Arial" w:eastAsia="Arial" w:hAnsi="Arial"/>
                <w:sz w:val="18"/>
                <w:szCs w:val="18"/>
                <w:color w:val="0000EE"/>
                <w:w w:val="98"/>
              </w:rPr>
            </w:pPr>
            <w:hyperlink w:anchor="page31">
              <w:r>
                <w:rPr>
                  <w:rFonts w:ascii="Arial" w:cs="Arial" w:eastAsia="Arial" w:hAnsi="Arial"/>
                  <w:sz w:val="18"/>
                  <w:szCs w:val="18"/>
                  <w:color w:val="0000EE"/>
                  <w:w w:val="98"/>
                </w:rPr>
                <w:t>Committee</w:t>
              </w:r>
            </w:hyperlink>
          </w:p>
        </w:tc>
        <w:tc>
          <w:tcPr>
            <w:tcW w:w="5360" w:type="dxa"/>
            <w:vAlign w:val="bottom"/>
            <w:gridSpan w:val="11"/>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25</w:t>
            </w:r>
          </w:p>
        </w:tc>
        <w:tc>
          <w:tcPr>
            <w:tcW w:w="0" w:type="dxa"/>
            <w:vAlign w:val="bottom"/>
          </w:tcPr>
          <w:p>
            <w:pPr>
              <w:spacing w:after="0"/>
              <w:rPr>
                <w:sz w:val="1"/>
                <w:szCs w:val="1"/>
                <w:color w:val="auto"/>
              </w:rPr>
            </w:pPr>
          </w:p>
        </w:tc>
      </w:tr>
      <w:tr>
        <w:trPr>
          <w:trHeight w:val="318"/>
        </w:trPr>
        <w:tc>
          <w:tcPr>
            <w:tcW w:w="2160" w:type="dxa"/>
            <w:vAlign w:val="bottom"/>
            <w:tcBorders>
              <w:bottom w:val="single" w:sz="8" w:color="0000EE"/>
            </w:tcBorders>
            <w:gridSpan w:val="14"/>
          </w:tcPr>
          <w:p>
            <w:pPr>
              <w:spacing w:after="0"/>
              <w:rPr>
                <w:rFonts w:ascii="Arial" w:cs="Arial" w:eastAsia="Arial" w:hAnsi="Arial"/>
                <w:sz w:val="18"/>
                <w:szCs w:val="18"/>
                <w:b w:val="1"/>
                <w:bCs w:val="1"/>
                <w:color w:val="0000EE"/>
                <w:w w:val="99"/>
              </w:rPr>
            </w:pPr>
            <w:hyperlink w:anchor="page32">
              <w:r>
                <w:rPr>
                  <w:rFonts w:ascii="Arial" w:cs="Arial" w:eastAsia="Arial" w:hAnsi="Arial"/>
                  <w:sz w:val="18"/>
                  <w:szCs w:val="18"/>
                  <w:b w:val="1"/>
                  <w:bCs w:val="1"/>
                  <w:color w:val="0000EE"/>
                  <w:w w:val="99"/>
                </w:rPr>
                <w:t>Executive Compensation</w:t>
              </w:r>
            </w:hyperlink>
          </w:p>
        </w:tc>
        <w:tc>
          <w:tcPr>
            <w:tcW w:w="6860" w:type="dxa"/>
            <w:vAlign w:val="bottom"/>
            <w:gridSpan w:val="27"/>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3F3F3F"/>
              </w:rPr>
              <w:t>26</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580" w:type="dxa"/>
            <w:vAlign w:val="bottom"/>
            <w:gridSpan w:val="40"/>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Compensation Discussion &amp; Analysis</w:t>
              </w:r>
            </w:hyperlink>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26</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96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Summary Compensation Table</w:t>
              </w:r>
            </w:hyperlink>
          </w:p>
        </w:tc>
        <w:tc>
          <w:tcPr>
            <w:tcW w:w="20" w:type="dxa"/>
            <w:vAlign w:val="bottom"/>
          </w:tcPr>
          <w:p>
            <w:pPr>
              <w:spacing w:after="0"/>
              <w:rPr>
                <w:sz w:val="15"/>
                <w:szCs w:val="15"/>
                <w:color w:val="auto"/>
              </w:rPr>
            </w:pPr>
          </w:p>
        </w:tc>
        <w:tc>
          <w:tcPr>
            <w:tcW w:w="720" w:type="dxa"/>
            <w:vAlign w:val="bottom"/>
            <w:gridSpan w:val="6"/>
          </w:tcPr>
          <w:p>
            <w:pPr>
              <w:spacing w:after="0"/>
              <w:rPr>
                <w:sz w:val="15"/>
                <w:szCs w:val="15"/>
                <w:color w:val="auto"/>
              </w:rPr>
            </w:pPr>
          </w:p>
        </w:tc>
        <w:tc>
          <w:tcPr>
            <w:tcW w:w="1020" w:type="dxa"/>
            <w:vAlign w:val="bottom"/>
            <w:gridSpan w:val="3"/>
          </w:tcPr>
          <w:p>
            <w:pPr>
              <w:spacing w:after="0"/>
              <w:rPr>
                <w:sz w:val="15"/>
                <w:szCs w:val="15"/>
                <w:color w:val="auto"/>
              </w:rPr>
            </w:pPr>
          </w:p>
        </w:tc>
        <w:tc>
          <w:tcPr>
            <w:tcW w:w="3860" w:type="dxa"/>
            <w:vAlign w:val="bottom"/>
            <w:gridSpan w:val="5"/>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37</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46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Grants of Plan-Based Awards</w:t>
              </w:r>
            </w:hyperlink>
          </w:p>
        </w:tc>
        <w:tc>
          <w:tcPr>
            <w:tcW w:w="38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720" w:type="dxa"/>
            <w:vAlign w:val="bottom"/>
            <w:gridSpan w:val="6"/>
          </w:tcPr>
          <w:p>
            <w:pPr>
              <w:spacing w:after="0"/>
              <w:rPr>
                <w:sz w:val="15"/>
                <w:szCs w:val="15"/>
                <w:color w:val="auto"/>
              </w:rPr>
            </w:pPr>
          </w:p>
        </w:tc>
        <w:tc>
          <w:tcPr>
            <w:tcW w:w="1020" w:type="dxa"/>
            <w:vAlign w:val="bottom"/>
            <w:gridSpan w:val="3"/>
          </w:tcPr>
          <w:p>
            <w:pPr>
              <w:spacing w:after="0"/>
              <w:rPr>
                <w:sz w:val="15"/>
                <w:szCs w:val="15"/>
                <w:color w:val="auto"/>
              </w:rPr>
            </w:pPr>
          </w:p>
        </w:tc>
        <w:tc>
          <w:tcPr>
            <w:tcW w:w="3860" w:type="dxa"/>
            <w:vAlign w:val="bottom"/>
            <w:gridSpan w:val="5"/>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38</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38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NEO Employment Agreement</w:t>
              </w:r>
            </w:hyperlink>
          </w:p>
        </w:tc>
        <w:tc>
          <w:tcPr>
            <w:tcW w:w="20" w:type="dxa"/>
            <w:vAlign w:val="bottom"/>
            <w:tcBorders>
              <w:bottom w:val="single" w:sz="8" w:color="0000EE"/>
            </w:tcBorders>
          </w:tcPr>
          <w:p>
            <w:pPr>
              <w:spacing w:after="0"/>
              <w:rPr>
                <w:sz w:val="15"/>
                <w:szCs w:val="15"/>
                <w:color w:val="auto"/>
              </w:rPr>
            </w:pPr>
          </w:p>
        </w:tc>
        <w:tc>
          <w:tcPr>
            <w:tcW w:w="440" w:type="dxa"/>
            <w:vAlign w:val="bottom"/>
            <w:gridSpan w:val="3"/>
          </w:tcPr>
          <w:p>
            <w:pPr>
              <w:spacing w:after="0"/>
              <w:rPr>
                <w:sz w:val="15"/>
                <w:szCs w:val="15"/>
                <w:color w:val="auto"/>
              </w:rPr>
            </w:pPr>
          </w:p>
        </w:tc>
        <w:tc>
          <w:tcPr>
            <w:tcW w:w="140" w:type="dxa"/>
            <w:vAlign w:val="bottom"/>
            <w:gridSpan w:val="2"/>
          </w:tcPr>
          <w:p>
            <w:pPr>
              <w:spacing w:after="0"/>
              <w:rPr>
                <w:sz w:val="15"/>
                <w:szCs w:val="15"/>
                <w:color w:val="auto"/>
              </w:rPr>
            </w:pPr>
          </w:p>
        </w:tc>
        <w:tc>
          <w:tcPr>
            <w:tcW w:w="720" w:type="dxa"/>
            <w:vAlign w:val="bottom"/>
            <w:gridSpan w:val="6"/>
          </w:tcPr>
          <w:p>
            <w:pPr>
              <w:spacing w:after="0"/>
              <w:rPr>
                <w:sz w:val="15"/>
                <w:szCs w:val="15"/>
                <w:color w:val="auto"/>
              </w:rPr>
            </w:pPr>
          </w:p>
        </w:tc>
        <w:tc>
          <w:tcPr>
            <w:tcW w:w="1020" w:type="dxa"/>
            <w:vAlign w:val="bottom"/>
            <w:gridSpan w:val="3"/>
          </w:tcPr>
          <w:p>
            <w:pPr>
              <w:spacing w:after="0"/>
              <w:rPr>
                <w:sz w:val="15"/>
                <w:szCs w:val="15"/>
                <w:color w:val="auto"/>
              </w:rPr>
            </w:pPr>
          </w:p>
        </w:tc>
        <w:tc>
          <w:tcPr>
            <w:tcW w:w="3860" w:type="dxa"/>
            <w:vAlign w:val="bottom"/>
            <w:gridSpan w:val="5"/>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39</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400" w:type="dxa"/>
            <w:vAlign w:val="bottom"/>
            <w:gridSpan w:val="21"/>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Equity Incentive Awards</w:t>
              </w:r>
            </w:hyperlink>
          </w:p>
        </w:tc>
        <w:tc>
          <w:tcPr>
            <w:tcW w:w="440" w:type="dxa"/>
            <w:vAlign w:val="bottom"/>
            <w:gridSpan w:val="3"/>
          </w:tcPr>
          <w:p>
            <w:pPr>
              <w:spacing w:after="0"/>
              <w:rPr>
                <w:sz w:val="15"/>
                <w:szCs w:val="15"/>
                <w:color w:val="auto"/>
              </w:rPr>
            </w:pPr>
          </w:p>
        </w:tc>
        <w:tc>
          <w:tcPr>
            <w:tcW w:w="140" w:type="dxa"/>
            <w:vAlign w:val="bottom"/>
            <w:gridSpan w:val="2"/>
          </w:tcPr>
          <w:p>
            <w:pPr>
              <w:spacing w:after="0"/>
              <w:rPr>
                <w:sz w:val="15"/>
                <w:szCs w:val="15"/>
                <w:color w:val="auto"/>
              </w:rPr>
            </w:pPr>
          </w:p>
        </w:tc>
        <w:tc>
          <w:tcPr>
            <w:tcW w:w="720" w:type="dxa"/>
            <w:vAlign w:val="bottom"/>
            <w:gridSpan w:val="6"/>
          </w:tcPr>
          <w:p>
            <w:pPr>
              <w:spacing w:after="0"/>
              <w:rPr>
                <w:sz w:val="15"/>
                <w:szCs w:val="15"/>
                <w:color w:val="auto"/>
              </w:rPr>
            </w:pPr>
          </w:p>
        </w:tc>
        <w:tc>
          <w:tcPr>
            <w:tcW w:w="1020" w:type="dxa"/>
            <w:vAlign w:val="bottom"/>
            <w:gridSpan w:val="3"/>
          </w:tcPr>
          <w:p>
            <w:pPr>
              <w:spacing w:after="0"/>
              <w:rPr>
                <w:sz w:val="15"/>
                <w:szCs w:val="15"/>
                <w:color w:val="auto"/>
              </w:rPr>
            </w:pPr>
          </w:p>
        </w:tc>
        <w:tc>
          <w:tcPr>
            <w:tcW w:w="3860" w:type="dxa"/>
            <w:vAlign w:val="bottom"/>
            <w:gridSpan w:val="5"/>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39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1940" w:type="dxa"/>
            <w:vAlign w:val="bottom"/>
            <w:vMerge w:val="restart"/>
          </w:tcPr>
          <w:p>
            <w:pPr>
              <w:jc w:val="right"/>
              <w:spacing w:after="0" w:line="202" w:lineRule="exact"/>
              <w:rPr>
                <w:sz w:val="20"/>
                <w:szCs w:val="20"/>
                <w:color w:val="auto"/>
              </w:rPr>
            </w:pPr>
            <w:r>
              <w:rPr>
                <w:rFonts w:ascii="Arial" w:cs="Arial" w:eastAsia="Arial" w:hAnsi="Arial"/>
                <w:sz w:val="18"/>
                <w:szCs w:val="18"/>
                <w:color w:val="3F3F3F"/>
              </w:rPr>
              <w:t>40</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8580" w:type="dxa"/>
            <w:vAlign w:val="bottom"/>
            <w:gridSpan w:val="40"/>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Outstanding Equity Awards at Fiscal Year-End</w:t>
              </w:r>
            </w:hyperlink>
          </w:p>
        </w:tc>
        <w:tc>
          <w:tcPr>
            <w:tcW w:w="1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70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Option Exercises and Stock Vested</w:t>
              </w:r>
            </w:hyperlink>
          </w:p>
        </w:tc>
        <w:tc>
          <w:tcPr>
            <w:tcW w:w="1020" w:type="dxa"/>
            <w:vAlign w:val="bottom"/>
            <w:gridSpan w:val="3"/>
          </w:tcPr>
          <w:p>
            <w:pPr>
              <w:spacing w:after="0"/>
              <w:rPr>
                <w:sz w:val="15"/>
                <w:szCs w:val="15"/>
                <w:color w:val="auto"/>
              </w:rPr>
            </w:pPr>
          </w:p>
        </w:tc>
        <w:tc>
          <w:tcPr>
            <w:tcW w:w="3860" w:type="dxa"/>
            <w:vAlign w:val="bottom"/>
            <w:gridSpan w:val="5"/>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41</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136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Pension Benefits</w:t>
              </w:r>
            </w:hyperlink>
          </w:p>
        </w:tc>
        <w:tc>
          <w:tcPr>
            <w:tcW w:w="1480" w:type="dxa"/>
            <w:vAlign w:val="bottom"/>
            <w:tcBorders>
              <w:top w:val="single" w:sz="8" w:color="0000EE"/>
            </w:tcBorders>
            <w:gridSpan w:val="17"/>
          </w:tcPr>
          <w:p>
            <w:pPr>
              <w:spacing w:after="0"/>
              <w:rPr>
                <w:sz w:val="15"/>
                <w:szCs w:val="15"/>
                <w:color w:val="auto"/>
              </w:rPr>
            </w:pPr>
          </w:p>
        </w:tc>
        <w:tc>
          <w:tcPr>
            <w:tcW w:w="140" w:type="dxa"/>
            <w:vAlign w:val="bottom"/>
            <w:gridSpan w:val="2"/>
          </w:tcPr>
          <w:p>
            <w:pPr>
              <w:spacing w:after="0"/>
              <w:rPr>
                <w:sz w:val="15"/>
                <w:szCs w:val="15"/>
                <w:color w:val="auto"/>
              </w:rPr>
            </w:pPr>
          </w:p>
        </w:tc>
        <w:tc>
          <w:tcPr>
            <w:tcW w:w="1740" w:type="dxa"/>
            <w:vAlign w:val="bottom"/>
            <w:gridSpan w:val="9"/>
          </w:tcPr>
          <w:p>
            <w:pPr>
              <w:spacing w:after="0"/>
              <w:rPr>
                <w:sz w:val="15"/>
                <w:szCs w:val="15"/>
                <w:color w:val="auto"/>
              </w:rPr>
            </w:pPr>
          </w:p>
        </w:tc>
        <w:tc>
          <w:tcPr>
            <w:tcW w:w="3860" w:type="dxa"/>
            <w:vAlign w:val="bottom"/>
            <w:gridSpan w:val="5"/>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41</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580" w:type="dxa"/>
            <w:vAlign w:val="bottom"/>
            <w:gridSpan w:val="40"/>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Nonqualified Deferred Compensation</w:t>
              </w:r>
            </w:hyperlink>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41</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980" w:type="dxa"/>
            <w:vAlign w:val="bottom"/>
            <w:tcBorders>
              <w:top w:val="single" w:sz="8" w:color="0000EE"/>
            </w:tcBorders>
            <w:gridSpan w:val="26"/>
          </w:tcPr>
          <w:p>
            <w:pPr>
              <w:spacing w:after="0" w:line="182" w:lineRule="exact"/>
              <w:rPr>
                <w:rFonts w:ascii="Arial" w:cs="Arial" w:eastAsia="Arial" w:hAnsi="Arial"/>
                <w:sz w:val="18"/>
                <w:szCs w:val="18"/>
                <w:color w:val="0000EE"/>
                <w:w w:val="97"/>
              </w:rPr>
            </w:pPr>
            <w:hyperlink w:anchor="page47">
              <w:r>
                <w:rPr>
                  <w:rFonts w:ascii="Arial" w:cs="Arial" w:eastAsia="Arial" w:hAnsi="Arial"/>
                  <w:sz w:val="18"/>
                  <w:szCs w:val="18"/>
                  <w:color w:val="0000EE"/>
                  <w:w w:val="97"/>
                </w:rPr>
                <w:t>Potential Payments Upon Termination</w:t>
              </w:r>
            </w:hyperlink>
          </w:p>
        </w:tc>
        <w:tc>
          <w:tcPr>
            <w:tcW w:w="5600" w:type="dxa"/>
            <w:vAlign w:val="bottom"/>
            <w:gridSpan w:val="14"/>
          </w:tcPr>
          <w:p>
            <w:pPr>
              <w:ind w:left="80"/>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or Change in Control</w:t>
              </w:r>
            </w:hyperlink>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41</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168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Pay Ratio Disclosure</w:t>
              </w:r>
            </w:hyperlink>
          </w:p>
        </w:tc>
        <w:tc>
          <w:tcPr>
            <w:tcW w:w="3040" w:type="dxa"/>
            <w:vAlign w:val="bottom"/>
            <w:tcBorders>
              <w:top w:val="single" w:sz="8" w:color="0000EE"/>
            </w:tcBorders>
            <w:gridSpan w:val="24"/>
          </w:tcPr>
          <w:p>
            <w:pPr>
              <w:spacing w:after="0"/>
              <w:rPr>
                <w:sz w:val="15"/>
                <w:szCs w:val="15"/>
                <w:color w:val="auto"/>
              </w:rPr>
            </w:pPr>
          </w:p>
        </w:tc>
        <w:tc>
          <w:tcPr>
            <w:tcW w:w="3860" w:type="dxa"/>
            <w:vAlign w:val="bottom"/>
            <w:gridSpan w:val="5"/>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8"/>
                <w:szCs w:val="18"/>
                <w:color w:val="3F3F3F"/>
              </w:rPr>
              <w:t>42</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F3F3F"/>
        </w:rPr>
        <w:t>Table of Contents—(Continued)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660" w:type="dxa"/>
            <w:vAlign w:val="bottom"/>
            <w:gridSpan w:val="16"/>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 xml:space="preserve">Proposal 3: </w:t>
              </w:r>
              <w:r>
                <w:rPr>
                  <w:rFonts w:ascii="Arial" w:cs="Arial" w:eastAsia="Arial" w:hAnsi="Arial"/>
                  <w:sz w:val="18"/>
                  <w:szCs w:val="18"/>
                  <w:color w:val="0000EE"/>
                </w:rPr>
                <w:t>Advisory Vote on the Compensation of Our Named Executive Officers</w:t>
              </w:r>
            </w:hyperlink>
          </w:p>
        </w:tc>
        <w:tc>
          <w:tcPr>
            <w:tcW w:w="2300" w:type="dxa"/>
            <w:vAlign w:val="bottom"/>
          </w:tcPr>
          <w:p>
            <w:pPr>
              <w:jc w:val="right"/>
              <w:spacing w:after="0"/>
              <w:rPr>
                <w:sz w:val="20"/>
                <w:szCs w:val="20"/>
                <w:color w:val="auto"/>
              </w:rPr>
            </w:pPr>
            <w:r>
              <w:rPr>
                <w:rFonts w:ascii="Arial" w:cs="Arial" w:eastAsia="Arial" w:hAnsi="Arial"/>
                <w:sz w:val="18"/>
                <w:szCs w:val="18"/>
                <w:color w:val="3F3F3F"/>
              </w:rPr>
              <w:t>43</w:t>
            </w:r>
          </w:p>
        </w:tc>
        <w:tc>
          <w:tcPr>
            <w:tcW w:w="0" w:type="dxa"/>
            <w:vAlign w:val="bottom"/>
          </w:tcPr>
          <w:p>
            <w:pPr>
              <w:spacing w:after="0"/>
              <w:rPr>
                <w:sz w:val="1"/>
                <w:szCs w:val="1"/>
                <w:color w:val="auto"/>
              </w:rPr>
            </w:pPr>
          </w:p>
        </w:tc>
      </w:tr>
      <w:tr>
        <w:trPr>
          <w:trHeight w:val="183"/>
        </w:trPr>
        <w:tc>
          <w:tcPr>
            <w:tcW w:w="440" w:type="dxa"/>
            <w:vAlign w:val="bottom"/>
            <w:tcBorders>
              <w:top w:val="single" w:sz="8" w:color="0000EE"/>
            </w:tcBorders>
          </w:tcPr>
          <w:p>
            <w:pPr>
              <w:spacing w:after="0"/>
              <w:rPr>
                <w:sz w:val="15"/>
                <w:szCs w:val="15"/>
                <w:color w:val="auto"/>
              </w:rPr>
            </w:pPr>
          </w:p>
        </w:tc>
        <w:tc>
          <w:tcPr>
            <w:tcW w:w="61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Vote Required</w:t>
              </w:r>
            </w:hyperlink>
          </w:p>
        </w:tc>
        <w:tc>
          <w:tcPr>
            <w:tcW w:w="2100" w:type="dxa"/>
            <w:vAlign w:val="bottom"/>
          </w:tcPr>
          <w:p>
            <w:pPr>
              <w:spacing w:after="0"/>
              <w:rPr>
                <w:sz w:val="15"/>
                <w:szCs w:val="15"/>
                <w:color w:val="auto"/>
              </w:rPr>
            </w:pPr>
          </w:p>
        </w:tc>
        <w:tc>
          <w:tcPr>
            <w:tcW w:w="2300" w:type="dxa"/>
            <w:vAlign w:val="bottom"/>
          </w:tcPr>
          <w:p>
            <w:pPr>
              <w:jc w:val="right"/>
              <w:spacing w:after="0" w:line="182" w:lineRule="exact"/>
              <w:rPr>
                <w:sz w:val="20"/>
                <w:szCs w:val="20"/>
                <w:color w:val="auto"/>
              </w:rPr>
            </w:pPr>
            <w:r>
              <w:rPr>
                <w:rFonts w:ascii="Arial" w:cs="Arial" w:eastAsia="Arial" w:hAnsi="Arial"/>
                <w:sz w:val="18"/>
                <w:szCs w:val="18"/>
                <w:color w:val="3F3F3F"/>
              </w:rPr>
              <w:t>43</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11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Recommendation</w:t>
              </w:r>
            </w:hyperlink>
          </w:p>
        </w:tc>
        <w:tc>
          <w:tcPr>
            <w:tcW w:w="26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1980" w:type="dxa"/>
            <w:vAlign w:val="bottom"/>
            <w:tcBorders>
              <w:bottom w:val="single" w:sz="8" w:color="0000EE"/>
            </w:tcBorders>
            <w:gridSpan w:val="7"/>
          </w:tcPr>
          <w:p>
            <w:pPr>
              <w:ind w:left="20"/>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of the Board of Directors</w:t>
              </w:r>
            </w:hyperlink>
          </w:p>
        </w:tc>
        <w:tc>
          <w:tcPr>
            <w:tcW w:w="4800" w:type="dxa"/>
            <w:vAlign w:val="bottom"/>
            <w:gridSpan w:val="4"/>
          </w:tcPr>
          <w:p>
            <w:pPr>
              <w:spacing w:after="0"/>
              <w:rPr>
                <w:sz w:val="15"/>
                <w:szCs w:val="15"/>
                <w:color w:val="auto"/>
              </w:rPr>
            </w:pPr>
          </w:p>
        </w:tc>
        <w:tc>
          <w:tcPr>
            <w:tcW w:w="2300" w:type="dxa"/>
            <w:vAlign w:val="bottom"/>
          </w:tcPr>
          <w:p>
            <w:pPr>
              <w:jc w:val="right"/>
              <w:spacing w:after="0" w:line="182" w:lineRule="exact"/>
              <w:rPr>
                <w:sz w:val="20"/>
                <w:szCs w:val="20"/>
                <w:color w:val="auto"/>
              </w:rPr>
            </w:pPr>
            <w:r>
              <w:rPr>
                <w:rFonts w:ascii="Arial" w:cs="Arial" w:eastAsia="Arial" w:hAnsi="Arial"/>
                <w:sz w:val="18"/>
                <w:szCs w:val="18"/>
                <w:color w:val="3F3F3F"/>
              </w:rPr>
              <w:t>43</w:t>
            </w:r>
          </w:p>
        </w:tc>
        <w:tc>
          <w:tcPr>
            <w:tcW w:w="0" w:type="dxa"/>
            <w:vAlign w:val="bottom"/>
          </w:tcPr>
          <w:p>
            <w:pPr>
              <w:spacing w:after="0"/>
              <w:rPr>
                <w:sz w:val="1"/>
                <w:szCs w:val="1"/>
                <w:color w:val="auto"/>
              </w:rPr>
            </w:pPr>
          </w:p>
        </w:tc>
      </w:tr>
      <w:tr>
        <w:trPr>
          <w:trHeight w:val="318"/>
        </w:trPr>
        <w:tc>
          <w:tcPr>
            <w:tcW w:w="8660" w:type="dxa"/>
            <w:vAlign w:val="bottom"/>
            <w:gridSpan w:val="16"/>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Director Compensation</w:t>
              </w:r>
            </w:hyperlink>
          </w:p>
        </w:tc>
        <w:tc>
          <w:tcPr>
            <w:tcW w:w="2300" w:type="dxa"/>
            <w:vAlign w:val="bottom"/>
          </w:tcPr>
          <w:p>
            <w:pPr>
              <w:jc w:val="right"/>
              <w:spacing w:after="0"/>
              <w:rPr>
                <w:sz w:val="20"/>
                <w:szCs w:val="20"/>
                <w:color w:val="auto"/>
              </w:rPr>
            </w:pPr>
            <w:r>
              <w:rPr>
                <w:rFonts w:ascii="Arial" w:cs="Arial" w:eastAsia="Arial" w:hAnsi="Arial"/>
                <w:sz w:val="18"/>
                <w:szCs w:val="18"/>
                <w:color w:val="3F3F3F"/>
              </w:rPr>
              <w:t>44</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2300" w:type="dxa"/>
            <w:vAlign w:val="bottom"/>
            <w:vMerge w:val="restart"/>
          </w:tcPr>
          <w:p>
            <w:pPr>
              <w:jc w:val="right"/>
              <w:spacing w:after="0" w:line="202" w:lineRule="exact"/>
              <w:rPr>
                <w:sz w:val="20"/>
                <w:szCs w:val="20"/>
                <w:color w:val="auto"/>
              </w:rPr>
            </w:pPr>
            <w:r>
              <w:rPr>
                <w:rFonts w:ascii="Arial" w:cs="Arial" w:eastAsia="Arial" w:hAnsi="Arial"/>
                <w:sz w:val="18"/>
                <w:szCs w:val="18"/>
                <w:color w:val="3F3F3F"/>
              </w:rPr>
              <w:t>44</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278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50">
              <w:r>
                <w:rPr>
                  <w:rFonts w:ascii="Arial" w:cs="Arial" w:eastAsia="Arial" w:hAnsi="Arial"/>
                  <w:sz w:val="18"/>
                  <w:szCs w:val="18"/>
                  <w:color w:val="0000EE"/>
                  <w:w w:val="98"/>
                </w:rPr>
                <w:t>2021 Director Compensation Table</w:t>
              </w:r>
            </w:hyperlink>
          </w:p>
        </w:tc>
        <w:tc>
          <w:tcPr>
            <w:tcW w:w="5440" w:type="dxa"/>
            <w:vAlign w:val="bottom"/>
            <w:gridSpan w:val="7"/>
          </w:tcPr>
          <w:p>
            <w:pPr>
              <w:spacing w:after="0"/>
              <w:rPr>
                <w:sz w:val="15"/>
                <w:szCs w:val="15"/>
                <w:color w:val="auto"/>
              </w:rPr>
            </w:pPr>
          </w:p>
        </w:tc>
        <w:tc>
          <w:tcPr>
            <w:tcW w:w="2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3320" w:type="dxa"/>
            <w:vAlign w:val="bottom"/>
            <w:tcBorders>
              <w:bottom w:val="single" w:sz="8" w:color="0000EE"/>
            </w:tcBorders>
            <w:gridSpan w:val="10"/>
          </w:tcPr>
          <w:p>
            <w:pPr>
              <w:spacing w:after="0"/>
              <w:rPr>
                <w:rFonts w:ascii="Arial" w:cs="Arial" w:eastAsia="Arial" w:hAnsi="Arial"/>
                <w:sz w:val="18"/>
                <w:szCs w:val="18"/>
                <w:b w:val="1"/>
                <w:bCs w:val="1"/>
                <w:color w:val="0000EE"/>
                <w:w w:val="99"/>
              </w:rPr>
            </w:pPr>
            <w:hyperlink w:anchor="page52">
              <w:r>
                <w:rPr>
                  <w:rFonts w:ascii="Arial" w:cs="Arial" w:eastAsia="Arial" w:hAnsi="Arial"/>
                  <w:sz w:val="18"/>
                  <w:szCs w:val="18"/>
                  <w:b w:val="1"/>
                  <w:bCs w:val="1"/>
                  <w:color w:val="0000EE"/>
                  <w:w w:val="99"/>
                </w:rPr>
                <w:t>Equity Compensation Plan Information</w:t>
              </w:r>
            </w:hyperlink>
          </w:p>
        </w:tc>
        <w:tc>
          <w:tcPr>
            <w:tcW w:w="5340" w:type="dxa"/>
            <w:vAlign w:val="bottom"/>
            <w:gridSpan w:val="6"/>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3F3F3F"/>
              </w:rPr>
              <w:t>46</w:t>
            </w:r>
          </w:p>
        </w:tc>
        <w:tc>
          <w:tcPr>
            <w:tcW w:w="0" w:type="dxa"/>
            <w:vAlign w:val="bottom"/>
          </w:tcPr>
          <w:p>
            <w:pPr>
              <w:spacing w:after="0"/>
              <w:rPr>
                <w:sz w:val="1"/>
                <w:szCs w:val="1"/>
                <w:color w:val="auto"/>
              </w:rPr>
            </w:pPr>
          </w:p>
        </w:tc>
      </w:tr>
      <w:tr>
        <w:trPr>
          <w:trHeight w:val="318"/>
        </w:trPr>
        <w:tc>
          <w:tcPr>
            <w:tcW w:w="8660" w:type="dxa"/>
            <w:vAlign w:val="bottom"/>
            <w:gridSpan w:val="16"/>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Security Ownership of Certain Beneficial Owners and Management</w:t>
              </w:r>
            </w:hyperlink>
          </w:p>
        </w:tc>
        <w:tc>
          <w:tcPr>
            <w:tcW w:w="2300" w:type="dxa"/>
            <w:vAlign w:val="bottom"/>
          </w:tcPr>
          <w:p>
            <w:pPr>
              <w:jc w:val="right"/>
              <w:spacing w:after="0"/>
              <w:rPr>
                <w:sz w:val="20"/>
                <w:szCs w:val="20"/>
                <w:color w:val="auto"/>
              </w:rPr>
            </w:pPr>
            <w:r>
              <w:rPr>
                <w:rFonts w:ascii="Arial" w:cs="Arial" w:eastAsia="Arial" w:hAnsi="Arial"/>
                <w:sz w:val="18"/>
                <w:szCs w:val="18"/>
                <w:color w:val="3F3F3F"/>
              </w:rPr>
              <w:t>47</w:t>
            </w:r>
          </w:p>
        </w:tc>
        <w:tc>
          <w:tcPr>
            <w:tcW w:w="0" w:type="dxa"/>
            <w:vAlign w:val="bottom"/>
          </w:tcPr>
          <w:p>
            <w:pPr>
              <w:spacing w:after="0"/>
              <w:rPr>
                <w:sz w:val="1"/>
                <w:szCs w:val="1"/>
                <w:color w:val="auto"/>
              </w:rPr>
            </w:pPr>
          </w:p>
        </w:tc>
      </w:tr>
      <w:tr>
        <w:trPr>
          <w:trHeight w:val="317"/>
        </w:trPr>
        <w:tc>
          <w:tcPr>
            <w:tcW w:w="5700" w:type="dxa"/>
            <w:vAlign w:val="bottom"/>
            <w:tcBorders>
              <w:top w:val="single" w:sz="8" w:color="0000EE"/>
            </w:tcBorders>
            <w:gridSpan w:val="14"/>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Certain Relationships</w:t>
              </w:r>
            </w:hyperlink>
          </w:p>
        </w:tc>
        <w:tc>
          <w:tcPr>
            <w:tcW w:w="2960" w:type="dxa"/>
            <w:vAlign w:val="bottom"/>
            <w:gridSpan w:val="2"/>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3F3F3F"/>
              </w:rPr>
              <w:t>49</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60" w:type="dxa"/>
            <w:vAlign w:val="bottom"/>
            <w:gridSpan w:val="16"/>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Delinquent Section 16(a) Reports</w:t>
              </w:r>
            </w:hyperlink>
          </w:p>
        </w:tc>
        <w:tc>
          <w:tcPr>
            <w:tcW w:w="2300" w:type="dxa"/>
            <w:vAlign w:val="bottom"/>
          </w:tcPr>
          <w:p>
            <w:pPr>
              <w:jc w:val="right"/>
              <w:spacing w:after="0"/>
              <w:rPr>
                <w:sz w:val="20"/>
                <w:szCs w:val="20"/>
                <w:color w:val="auto"/>
              </w:rPr>
            </w:pPr>
            <w:r>
              <w:rPr>
                <w:rFonts w:ascii="Arial" w:cs="Arial" w:eastAsia="Arial" w:hAnsi="Arial"/>
                <w:sz w:val="18"/>
                <w:szCs w:val="18"/>
                <w:color w:val="3F3F3F"/>
              </w:rPr>
              <w:t>52</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80" w:type="dxa"/>
            <w:vAlign w:val="bottom"/>
            <w:tcBorders>
              <w:bottom w:val="single" w:sz="8" w:color="0000EE"/>
            </w:tcBorders>
            <w:gridSpan w:val="13"/>
          </w:tcPr>
          <w:p>
            <w:pPr>
              <w:spacing w:after="0"/>
              <w:rPr>
                <w:rFonts w:ascii="Arial" w:cs="Arial" w:eastAsia="Arial" w:hAnsi="Arial"/>
                <w:sz w:val="18"/>
                <w:szCs w:val="18"/>
                <w:b w:val="1"/>
                <w:bCs w:val="1"/>
                <w:color w:val="0000EE"/>
                <w:w w:val="99"/>
              </w:rPr>
            </w:pPr>
            <w:hyperlink w:anchor="page58">
              <w:r>
                <w:rPr>
                  <w:rFonts w:ascii="Arial" w:cs="Arial" w:eastAsia="Arial" w:hAnsi="Arial"/>
                  <w:sz w:val="18"/>
                  <w:szCs w:val="18"/>
                  <w:b w:val="1"/>
                  <w:bCs w:val="1"/>
                  <w:color w:val="0000EE"/>
                  <w:w w:val="99"/>
                </w:rPr>
                <w:t>Compensation Committee Interlocks and Insider Participation</w:t>
              </w:r>
            </w:hyperlink>
          </w:p>
        </w:tc>
        <w:tc>
          <w:tcPr>
            <w:tcW w:w="3380" w:type="dxa"/>
            <w:vAlign w:val="bottom"/>
            <w:gridSpan w:val="3"/>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3F3F3F"/>
              </w:rPr>
              <w:t>52</w:t>
            </w:r>
          </w:p>
        </w:tc>
        <w:tc>
          <w:tcPr>
            <w:tcW w:w="0" w:type="dxa"/>
            <w:vAlign w:val="bottom"/>
          </w:tcPr>
          <w:p>
            <w:pPr>
              <w:spacing w:after="0"/>
              <w:rPr>
                <w:sz w:val="1"/>
                <w:szCs w:val="1"/>
                <w:color w:val="auto"/>
              </w:rPr>
            </w:pPr>
          </w:p>
        </w:tc>
      </w:tr>
      <w:tr>
        <w:trPr>
          <w:trHeight w:val="318"/>
        </w:trPr>
        <w:tc>
          <w:tcPr>
            <w:tcW w:w="8660" w:type="dxa"/>
            <w:vAlign w:val="bottom"/>
            <w:gridSpan w:val="16"/>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Stockholders’ Proposals</w:t>
              </w:r>
            </w:hyperlink>
          </w:p>
        </w:tc>
        <w:tc>
          <w:tcPr>
            <w:tcW w:w="2300" w:type="dxa"/>
            <w:vAlign w:val="bottom"/>
          </w:tcPr>
          <w:p>
            <w:pPr>
              <w:jc w:val="right"/>
              <w:spacing w:after="0"/>
              <w:rPr>
                <w:sz w:val="20"/>
                <w:szCs w:val="20"/>
                <w:color w:val="auto"/>
              </w:rPr>
            </w:pPr>
            <w:r>
              <w:rPr>
                <w:rFonts w:ascii="Arial" w:cs="Arial" w:eastAsia="Arial" w:hAnsi="Arial"/>
                <w:sz w:val="18"/>
                <w:szCs w:val="18"/>
                <w:color w:val="3F3F3F"/>
              </w:rPr>
              <w:t>53</w:t>
            </w:r>
          </w:p>
        </w:tc>
        <w:tc>
          <w:tcPr>
            <w:tcW w:w="0" w:type="dxa"/>
            <w:vAlign w:val="bottom"/>
          </w:tcPr>
          <w:p>
            <w:pPr>
              <w:spacing w:after="0"/>
              <w:rPr>
                <w:sz w:val="1"/>
                <w:szCs w:val="1"/>
                <w:color w:val="auto"/>
              </w:rPr>
            </w:pPr>
          </w:p>
        </w:tc>
      </w:tr>
      <w:tr>
        <w:trPr>
          <w:trHeight w:val="318"/>
        </w:trPr>
        <w:tc>
          <w:tcPr>
            <w:tcW w:w="210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Other Matters</w:t>
              </w:r>
            </w:hyperlink>
          </w:p>
        </w:tc>
        <w:tc>
          <w:tcPr>
            <w:tcW w:w="6560" w:type="dxa"/>
            <w:vAlign w:val="bottom"/>
            <w:gridSpan w:val="9"/>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3F3F3F"/>
              </w:rPr>
              <w:t>53</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60" w:type="dxa"/>
            <w:vAlign w:val="bottom"/>
            <w:gridSpan w:val="16"/>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Solicitation of Proxies</w:t>
              </w:r>
            </w:hyperlink>
          </w:p>
        </w:tc>
        <w:tc>
          <w:tcPr>
            <w:tcW w:w="2300" w:type="dxa"/>
            <w:vAlign w:val="bottom"/>
          </w:tcPr>
          <w:p>
            <w:pPr>
              <w:jc w:val="right"/>
              <w:spacing w:after="0"/>
              <w:rPr>
                <w:sz w:val="20"/>
                <w:szCs w:val="20"/>
                <w:color w:val="auto"/>
              </w:rPr>
            </w:pPr>
            <w:r>
              <w:rPr>
                <w:rFonts w:ascii="Arial" w:cs="Arial" w:eastAsia="Arial" w:hAnsi="Arial"/>
                <w:sz w:val="18"/>
                <w:szCs w:val="18"/>
                <w:color w:val="3F3F3F"/>
              </w:rPr>
              <w:t>53</w:t>
            </w:r>
          </w:p>
        </w:tc>
        <w:tc>
          <w:tcPr>
            <w:tcW w:w="0" w:type="dxa"/>
            <w:vAlign w:val="bottom"/>
          </w:tcPr>
          <w:p>
            <w:pPr>
              <w:spacing w:after="0"/>
              <w:rPr>
                <w:sz w:val="1"/>
                <w:szCs w:val="1"/>
                <w:color w:val="auto"/>
              </w:rPr>
            </w:pPr>
          </w:p>
        </w:tc>
      </w:tr>
      <w:tr>
        <w:trPr>
          <w:trHeight w:val="20"/>
        </w:trPr>
        <w:tc>
          <w:tcPr>
            <w:tcW w:w="1880" w:type="dxa"/>
            <w:vAlign w:val="bottom"/>
            <w:gridSpan w:val="5"/>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60" w:type="dxa"/>
            <w:vAlign w:val="bottom"/>
            <w:gridSpan w:val="16"/>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Medpace’s Annual Report on Form 10-K</w:t>
              </w:r>
            </w:hyperlink>
          </w:p>
        </w:tc>
        <w:tc>
          <w:tcPr>
            <w:tcW w:w="2300" w:type="dxa"/>
            <w:vAlign w:val="bottom"/>
          </w:tcPr>
          <w:p>
            <w:pPr>
              <w:jc w:val="right"/>
              <w:spacing w:after="0"/>
              <w:rPr>
                <w:sz w:val="20"/>
                <w:szCs w:val="20"/>
                <w:color w:val="auto"/>
              </w:rPr>
            </w:pPr>
            <w:r>
              <w:rPr>
                <w:rFonts w:ascii="Arial" w:cs="Arial" w:eastAsia="Arial" w:hAnsi="Arial"/>
                <w:sz w:val="18"/>
                <w:szCs w:val="18"/>
                <w:color w:val="3F3F3F"/>
              </w:rPr>
              <w:t>54</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F3F3F"/>
        </w:rPr>
        <w:t>Notice of Annual Meeting of Stockholders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F3F3F"/>
        </w:rPr>
        <w:t>To Be Held Friday, May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F3F3F"/>
        </w:rPr>
        <w:t>MEDPACE HOLDINGS, INC.</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www.virtualshareholdermeeting.com/MEDP2022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3F3F3F"/>
        </w:rPr>
        <w:t>The Annual Meeting of Stockholders (the “Annual Meeting”) of Medpace Holdings, Inc., a Delaware corporation (the “Company” or “Medpace”), will be held at 9:00 a.m. Eastern Time, on Friday, May 20, 2022. The Annual Meeting will be held virtually and can be accessed online at www.virtualshareholdermeeting.com/MEDP2022, for the purposes described below. There is no physical location for the Annual Meeting.</w:t>
      </w:r>
    </w:p>
    <w:p>
      <w:pPr>
        <w:spacing w:after="0" w:line="201" w:lineRule="exact"/>
        <w:rPr>
          <w:sz w:val="20"/>
          <w:szCs w:val="20"/>
          <w:color w:val="auto"/>
        </w:rPr>
      </w:pPr>
    </w:p>
    <w:p>
      <w:pPr>
        <w:ind w:left="1080" w:right="980" w:hanging="532"/>
        <w:spacing w:after="0" w:line="271" w:lineRule="auto"/>
        <w:tabs>
          <w:tab w:leader="none" w:pos="1080" w:val="left"/>
        </w:tabs>
        <w:numPr>
          <w:ilvl w:val="0"/>
          <w:numId w:val="6"/>
        </w:numPr>
        <w:rPr>
          <w:rFonts w:ascii="Arial" w:cs="Arial" w:eastAsia="Arial" w:hAnsi="Arial"/>
          <w:sz w:val="18"/>
          <w:szCs w:val="18"/>
          <w:color w:val="3F3F3F"/>
        </w:rPr>
      </w:pPr>
      <w:r>
        <w:rPr>
          <w:rFonts w:ascii="Arial" w:cs="Arial" w:eastAsia="Arial" w:hAnsi="Arial"/>
          <w:sz w:val="18"/>
          <w:szCs w:val="18"/>
          <w:color w:val="3F3F3F"/>
        </w:rPr>
        <w:t>To elect August J. Troendle and Ashley M. Keating as Class III Directors to serve until the 2025 Annual Meeting of Stockholders, and until their respective successors shall have been duly elected and qualified;</w:t>
      </w:r>
    </w:p>
    <w:p>
      <w:pPr>
        <w:spacing w:after="0" w:line="180" w:lineRule="exact"/>
        <w:rPr>
          <w:rFonts w:ascii="Arial" w:cs="Arial" w:eastAsia="Arial" w:hAnsi="Arial"/>
          <w:sz w:val="18"/>
          <w:szCs w:val="18"/>
          <w:color w:val="3F3F3F"/>
        </w:rPr>
      </w:pPr>
    </w:p>
    <w:p>
      <w:pPr>
        <w:ind w:left="1080" w:right="380" w:hanging="532"/>
        <w:spacing w:after="0" w:line="271" w:lineRule="auto"/>
        <w:tabs>
          <w:tab w:leader="none" w:pos="1080" w:val="left"/>
        </w:tabs>
        <w:numPr>
          <w:ilvl w:val="0"/>
          <w:numId w:val="6"/>
        </w:numPr>
        <w:rPr>
          <w:rFonts w:ascii="Arial" w:cs="Arial" w:eastAsia="Arial" w:hAnsi="Arial"/>
          <w:sz w:val="18"/>
          <w:szCs w:val="18"/>
          <w:color w:val="3F3F3F"/>
        </w:rPr>
      </w:pPr>
      <w:r>
        <w:rPr>
          <w:rFonts w:ascii="Arial" w:cs="Arial" w:eastAsia="Arial" w:hAnsi="Arial"/>
          <w:sz w:val="18"/>
          <w:szCs w:val="18"/>
          <w:color w:val="3F3F3F"/>
        </w:rPr>
        <w:t>To ratify the appointment of Deloitte &amp; Touche LLP as our independent registered public accounting firm for the fiscal year ending December 31, 2022;</w:t>
      </w:r>
    </w:p>
    <w:p>
      <w:pPr>
        <w:spacing w:after="0" w:line="180" w:lineRule="exact"/>
        <w:rPr>
          <w:rFonts w:ascii="Arial" w:cs="Arial" w:eastAsia="Arial" w:hAnsi="Arial"/>
          <w:sz w:val="18"/>
          <w:szCs w:val="18"/>
          <w:color w:val="3F3F3F"/>
        </w:rPr>
      </w:pPr>
    </w:p>
    <w:p>
      <w:pPr>
        <w:ind w:left="1080" w:hanging="532"/>
        <w:spacing w:after="0"/>
        <w:tabs>
          <w:tab w:leader="none" w:pos="1080" w:val="left"/>
        </w:tabs>
        <w:numPr>
          <w:ilvl w:val="0"/>
          <w:numId w:val="6"/>
        </w:numPr>
        <w:rPr>
          <w:rFonts w:ascii="Arial" w:cs="Arial" w:eastAsia="Arial" w:hAnsi="Arial"/>
          <w:sz w:val="18"/>
          <w:szCs w:val="18"/>
          <w:color w:val="3F3F3F"/>
        </w:rPr>
      </w:pPr>
      <w:r>
        <w:rPr>
          <w:rFonts w:ascii="Arial" w:cs="Arial" w:eastAsia="Arial" w:hAnsi="Arial"/>
          <w:sz w:val="18"/>
          <w:szCs w:val="18"/>
          <w:color w:val="3F3F3F"/>
        </w:rPr>
        <w:t>To conduct an advisory vote to approve compensation for our named executive officers (“say-on-pay”); and</w:t>
      </w:r>
    </w:p>
    <w:p>
      <w:pPr>
        <w:spacing w:after="0" w:line="238" w:lineRule="exact"/>
        <w:rPr>
          <w:rFonts w:ascii="Arial" w:cs="Arial" w:eastAsia="Arial" w:hAnsi="Arial"/>
          <w:sz w:val="18"/>
          <w:szCs w:val="18"/>
          <w:color w:val="3F3F3F"/>
        </w:rPr>
      </w:pPr>
    </w:p>
    <w:p>
      <w:pPr>
        <w:ind w:left="1080" w:right="460" w:hanging="532"/>
        <w:spacing w:after="0" w:line="271" w:lineRule="auto"/>
        <w:tabs>
          <w:tab w:leader="none" w:pos="1080" w:val="left"/>
        </w:tabs>
        <w:numPr>
          <w:ilvl w:val="0"/>
          <w:numId w:val="6"/>
        </w:numPr>
        <w:rPr>
          <w:rFonts w:ascii="Arial" w:cs="Arial" w:eastAsia="Arial" w:hAnsi="Arial"/>
          <w:sz w:val="18"/>
          <w:szCs w:val="18"/>
          <w:color w:val="3F3F3F"/>
        </w:rPr>
      </w:pPr>
      <w:r>
        <w:rPr>
          <w:rFonts w:ascii="Arial" w:cs="Arial" w:eastAsia="Arial" w:hAnsi="Arial"/>
          <w:sz w:val="18"/>
          <w:szCs w:val="18"/>
          <w:color w:val="3F3F3F"/>
        </w:rPr>
        <w:t>To transact such other business as may properly come before the Annual Meeting or any continuation, postponement, or adjournment of the Annual Meeting.</w:t>
      </w:r>
    </w:p>
    <w:p>
      <w:pPr>
        <w:spacing w:after="0" w:line="154"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3F3F3F"/>
        </w:rPr>
        <w:t>Holders of record of our Common Stock as of the close of business on March 24, 2022 are entitled to notice of and to vote at the Annual Meeting, or any continuation, postponement or adjournment of the Annual Meeting. A complete list of these stockholders will be open to the examination of any stockholder at our principal executive offices at 5375 Medpace Way, Cincinnati, Ohio 45227 for a period of ten days prior to the Annual Meeting. The Annual Meeting may be continued or adjourned from time to time without notice other than by announcement at the Annual Meeting.</w:t>
      </w:r>
    </w:p>
    <w:p>
      <w:pPr>
        <w:spacing w:after="0" w:line="176"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color w:val="3F3F3F"/>
        </w:rPr>
        <w:t>It is important that your shares be represented regardless of the number of shares you may hold. Whether or not you plan to virtually attend the Annual Meeting, we urge you to vote your shares via the toll-free telephone number or over the Internet, as described in the enclosed materials. If you received a copy of the proxy card by mail, you may sign, date and mail the proxy card in the enclosed postage-paid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1431290" cy="643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3129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Stephen P. Ewald</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General Counsel and Corporate Secretary</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Cincinnati, Ohio</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April 6, 2022</w:t>
      </w:r>
    </w:p>
    <w:p>
      <w:pPr>
        <w:sectPr>
          <w:pgSz w:w="11900" w:h="16838" w:orient="portrait"/>
          <w:cols w:equalWidth="0" w:num="1">
            <w:col w:w="11120"/>
          </w:cols>
          <w:pgMar w:left="320" w:top="455" w:right="4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006098"/>
        </w:rPr>
        <w:t>Proxy Statement</w:t>
      </w:r>
    </w:p>
    <w:p>
      <w:pPr>
        <w:spacing w:after="0" w:line="231"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3F3F3F"/>
        </w:rPr>
        <w:t>This proxy statement is furnished in connection with the solicitation by the Board of Directors of Medpace Holdings, Inc. of proxies to be voted at our Annual Meeting of Stockholders to be held on Friday, May 20, 2022 (the “Annual Meeting”). Holders of record of shares of Common Stock, $0.01 par value (“Common Stock”), as of the close of business on March 24, 2022 (the “Record Date”), will be entitled to notice of and to vote at the Annual Meeting and any continuation, postponement, or adjournment of the Annual Meeting. As of the Record Date, there were 33,645,673 shares of Common Stock outstanding and entitled to vote at the Annual Meeting. Each share of Common Stock is entitled to one vote on any matter presented to stockholders at the Annual Meeting.</w:t>
      </w:r>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427"/>
        </w:trPr>
        <w:tc>
          <w:tcPr>
            <w:tcW w:w="2400" w:type="dxa"/>
            <w:vAlign w:val="bottom"/>
            <w:tcBorders>
              <w:right w:val="single" w:sz="8" w:color="83BA90"/>
            </w:tcBorders>
          </w:tcPr>
          <w:p>
            <w:pPr>
              <w:spacing w:after="0"/>
              <w:rPr>
                <w:sz w:val="20"/>
                <w:szCs w:val="20"/>
                <w:color w:val="auto"/>
              </w:rPr>
            </w:pPr>
            <w:r>
              <w:rPr>
                <w:rFonts w:ascii="Arial" w:cs="Arial" w:eastAsia="Arial" w:hAnsi="Arial"/>
                <w:sz w:val="18"/>
                <w:szCs w:val="18"/>
                <w:b w:val="1"/>
                <w:bCs w:val="1"/>
                <w:color w:val="006098"/>
              </w:rPr>
              <w:t>Date &amp; Time:</w:t>
            </w:r>
          </w:p>
        </w:tc>
        <w:tc>
          <w:tcPr>
            <w:tcW w:w="5800" w:type="dxa"/>
            <w:vAlign w:val="bottom"/>
            <w:tcBorders>
              <w:right w:val="single" w:sz="8" w:color="83BA90"/>
            </w:tcBorders>
          </w:tcPr>
          <w:p>
            <w:pPr>
              <w:ind w:left="100"/>
              <w:spacing w:after="0"/>
              <w:rPr>
                <w:sz w:val="20"/>
                <w:szCs w:val="20"/>
                <w:color w:val="auto"/>
              </w:rPr>
            </w:pPr>
            <w:r>
              <w:rPr>
                <w:rFonts w:ascii="Arial" w:cs="Arial" w:eastAsia="Arial" w:hAnsi="Arial"/>
                <w:sz w:val="18"/>
                <w:szCs w:val="18"/>
                <w:b w:val="1"/>
                <w:bCs w:val="1"/>
                <w:color w:val="006098"/>
              </w:rPr>
              <w:t>Held virtually at:</w:t>
            </w:r>
          </w:p>
        </w:tc>
        <w:tc>
          <w:tcPr>
            <w:tcW w:w="1320" w:type="dxa"/>
            <w:vAlign w:val="bottom"/>
          </w:tcPr>
          <w:p>
            <w:pPr>
              <w:ind w:left="80"/>
              <w:spacing w:after="0"/>
              <w:rPr>
                <w:sz w:val="20"/>
                <w:szCs w:val="20"/>
                <w:color w:val="auto"/>
              </w:rPr>
            </w:pPr>
            <w:r>
              <w:rPr>
                <w:rFonts w:ascii="Arial" w:cs="Arial" w:eastAsia="Arial" w:hAnsi="Arial"/>
                <w:sz w:val="18"/>
                <w:szCs w:val="18"/>
                <w:b w:val="1"/>
                <w:bCs w:val="1"/>
                <w:color w:val="006098"/>
              </w:rPr>
              <w:t>Record Date:</w:t>
            </w:r>
          </w:p>
        </w:tc>
      </w:tr>
      <w:tr>
        <w:trPr>
          <w:trHeight w:val="203"/>
        </w:trPr>
        <w:tc>
          <w:tcPr>
            <w:tcW w:w="2400" w:type="dxa"/>
            <w:vAlign w:val="bottom"/>
            <w:tcBorders>
              <w:right w:val="single" w:sz="8" w:color="83BA90"/>
            </w:tcBorders>
          </w:tcPr>
          <w:p>
            <w:pPr>
              <w:spacing w:after="0" w:line="202" w:lineRule="exact"/>
              <w:rPr>
                <w:sz w:val="20"/>
                <w:szCs w:val="20"/>
                <w:color w:val="auto"/>
              </w:rPr>
            </w:pPr>
            <w:r>
              <w:rPr>
                <w:rFonts w:ascii="Arial" w:cs="Arial" w:eastAsia="Arial" w:hAnsi="Arial"/>
                <w:sz w:val="18"/>
                <w:szCs w:val="18"/>
                <w:color w:val="3F3F3F"/>
              </w:rPr>
              <w:t>Friday, May 20, 2022</w:t>
            </w:r>
          </w:p>
        </w:tc>
        <w:tc>
          <w:tcPr>
            <w:tcW w:w="5800" w:type="dxa"/>
            <w:vAlign w:val="bottom"/>
            <w:tcBorders>
              <w:right w:val="single" w:sz="8" w:color="83BA90"/>
            </w:tcBorders>
          </w:tcPr>
          <w:p>
            <w:pPr>
              <w:ind w:left="100"/>
              <w:spacing w:after="0" w:line="202" w:lineRule="exact"/>
              <w:rPr>
                <w:sz w:val="20"/>
                <w:szCs w:val="20"/>
                <w:color w:val="auto"/>
              </w:rPr>
            </w:pPr>
            <w:r>
              <w:rPr>
                <w:rFonts w:ascii="Arial" w:cs="Arial" w:eastAsia="Arial" w:hAnsi="Arial"/>
                <w:sz w:val="18"/>
                <w:szCs w:val="18"/>
                <w:color w:val="3F3F3F"/>
              </w:rPr>
              <w:t>www.virtualshareholdermeeting.com/MEDP2022</w:t>
            </w:r>
          </w:p>
        </w:tc>
        <w:tc>
          <w:tcPr>
            <w:tcW w:w="1320" w:type="dxa"/>
            <w:vAlign w:val="bottom"/>
          </w:tcPr>
          <w:p>
            <w:pPr>
              <w:ind w:left="80"/>
              <w:spacing w:after="0" w:line="202" w:lineRule="exact"/>
              <w:rPr>
                <w:sz w:val="20"/>
                <w:szCs w:val="20"/>
                <w:color w:val="auto"/>
              </w:rPr>
            </w:pPr>
            <w:r>
              <w:rPr>
                <w:rFonts w:ascii="Arial" w:cs="Arial" w:eastAsia="Arial" w:hAnsi="Arial"/>
                <w:sz w:val="18"/>
                <w:szCs w:val="18"/>
                <w:color w:val="3F3F3F"/>
                <w:w w:val="97"/>
              </w:rPr>
              <w:t>March 24, 2022</w:t>
            </w:r>
          </w:p>
        </w:tc>
      </w:tr>
      <w:tr>
        <w:trPr>
          <w:trHeight w:val="239"/>
        </w:trPr>
        <w:tc>
          <w:tcPr>
            <w:tcW w:w="2400" w:type="dxa"/>
            <w:vAlign w:val="bottom"/>
            <w:tcBorders>
              <w:right w:val="single" w:sz="8" w:color="83BA90"/>
            </w:tcBorders>
          </w:tcPr>
          <w:p>
            <w:pPr>
              <w:spacing w:after="0"/>
              <w:rPr>
                <w:sz w:val="20"/>
                <w:szCs w:val="20"/>
                <w:color w:val="auto"/>
              </w:rPr>
            </w:pPr>
            <w:r>
              <w:rPr>
                <w:rFonts w:ascii="Arial" w:cs="Arial" w:eastAsia="Arial" w:hAnsi="Arial"/>
                <w:sz w:val="18"/>
                <w:szCs w:val="18"/>
                <w:color w:val="3F3F3F"/>
              </w:rPr>
              <w:t>9:00 a.m. Eastern Time</w:t>
            </w:r>
          </w:p>
        </w:tc>
        <w:tc>
          <w:tcPr>
            <w:tcW w:w="5800" w:type="dxa"/>
            <w:vAlign w:val="bottom"/>
            <w:tcBorders>
              <w:right w:val="single" w:sz="8" w:color="83BA90"/>
            </w:tcBorders>
          </w:tcPr>
          <w:p>
            <w:pPr>
              <w:spacing w:after="0"/>
              <w:rPr>
                <w:sz w:val="20"/>
                <w:szCs w:val="20"/>
                <w:color w:val="auto"/>
              </w:rPr>
            </w:pPr>
          </w:p>
        </w:tc>
        <w:tc>
          <w:tcPr>
            <w:tcW w:w="1320" w:type="dxa"/>
            <w:vAlign w:val="bottom"/>
          </w:tcPr>
          <w:p>
            <w:pPr>
              <w:spacing w:after="0"/>
              <w:rPr>
                <w:sz w:val="20"/>
                <w:szCs w:val="20"/>
                <w:color w:val="auto"/>
              </w:rPr>
            </w:pPr>
          </w:p>
        </w:tc>
      </w:tr>
      <w:tr>
        <w:trPr>
          <w:trHeight w:val="239"/>
        </w:trPr>
        <w:tc>
          <w:tcPr>
            <w:tcW w:w="2400" w:type="dxa"/>
            <w:vAlign w:val="bottom"/>
            <w:tcBorders>
              <w:right w:val="single" w:sz="8" w:color="83BA90"/>
            </w:tcBorders>
          </w:tcPr>
          <w:p>
            <w:pPr>
              <w:spacing w:after="0"/>
              <w:rPr>
                <w:sz w:val="20"/>
                <w:szCs w:val="20"/>
                <w:color w:val="auto"/>
              </w:rPr>
            </w:pPr>
          </w:p>
        </w:tc>
        <w:tc>
          <w:tcPr>
            <w:tcW w:w="5800" w:type="dxa"/>
            <w:vAlign w:val="bottom"/>
            <w:tcBorders>
              <w:right w:val="single" w:sz="8" w:color="83BA90"/>
            </w:tcBorders>
          </w:tcPr>
          <w:p>
            <w:pPr>
              <w:spacing w:after="0"/>
              <w:rPr>
                <w:sz w:val="20"/>
                <w:szCs w:val="20"/>
                <w:color w:val="auto"/>
              </w:rPr>
            </w:pPr>
          </w:p>
        </w:tc>
        <w:tc>
          <w:tcPr>
            <w:tcW w:w="1320" w:type="dxa"/>
            <w:vAlign w:val="bottom"/>
          </w:tcPr>
          <w:p>
            <w:pPr>
              <w:spacing w:after="0"/>
              <w:rPr>
                <w:sz w:val="20"/>
                <w:szCs w:val="20"/>
                <w:color w:val="auto"/>
              </w:rPr>
            </w:pPr>
          </w:p>
        </w:tc>
      </w:tr>
    </w:tbl>
    <w:p>
      <w:pPr>
        <w:spacing w:after="0" w:line="197"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3F3F3F"/>
        </w:rPr>
        <w:t>This proxy statement and the Company’s Annual Report to Stockholders for the year ended December 31, 2021 (the “2021 Annual Report”) will be released on or about April 6, 2022 to our stockholders on the Record Date.</w:t>
      </w:r>
    </w:p>
    <w:p>
      <w:pPr>
        <w:spacing w:after="0" w:line="154" w:lineRule="exact"/>
        <w:rPr>
          <w:sz w:val="20"/>
          <w:szCs w:val="20"/>
          <w:color w:val="auto"/>
        </w:rPr>
      </w:pPr>
    </w:p>
    <w:p>
      <w:pPr>
        <w:ind w:left="120" w:right="820"/>
        <w:spacing w:after="0" w:line="271" w:lineRule="auto"/>
        <w:rPr>
          <w:sz w:val="20"/>
          <w:szCs w:val="20"/>
          <w:color w:val="auto"/>
        </w:rPr>
      </w:pPr>
      <w:r>
        <w:rPr>
          <w:rFonts w:ascii="Arial" w:cs="Arial" w:eastAsia="Arial" w:hAnsi="Arial"/>
          <w:sz w:val="18"/>
          <w:szCs w:val="18"/>
          <w:color w:val="3F3F3F"/>
        </w:rPr>
        <w:t>In this proxy statement, “Medpace”, “Company”, “we”, “us”, and “our” refer to Medpace Holdings, Inc. and where applicable, our subsidiaries and predecessor entities.</w:t>
      </w:r>
    </w:p>
    <w:p>
      <w:pPr>
        <w:spacing w:after="0" w:line="154" w:lineRule="exact"/>
        <w:rPr>
          <w:sz w:val="20"/>
          <w:szCs w:val="20"/>
          <w:color w:val="auto"/>
        </w:rPr>
      </w:pPr>
    </w:p>
    <w:p>
      <w:pPr>
        <w:ind w:left="340" w:right="280"/>
        <w:spacing w:after="0" w:line="281" w:lineRule="auto"/>
        <w:rPr>
          <w:sz w:val="20"/>
          <w:szCs w:val="20"/>
          <w:color w:val="auto"/>
        </w:rPr>
      </w:pPr>
      <w:r>
        <w:rPr>
          <w:rFonts w:ascii="Arial" w:cs="Arial" w:eastAsia="Arial" w:hAnsi="Arial"/>
          <w:sz w:val="18"/>
          <w:szCs w:val="18"/>
          <w:b w:val="1"/>
          <w:bCs w:val="1"/>
          <w:color w:val="3F3F3F"/>
        </w:rPr>
        <w:t>IMPORTANT NOTICE REGARDING THE AVAILABILITY OF PROXY MATERIALS FOR THE STOCKHOLDER MEETING TO BE HELD ON FRIDAY, MAY 20, 2022</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3F3F3F"/>
        </w:rPr>
        <w:t xml:space="preserve">This Proxy Statement and our 2021 Annual Report to Stockholders are available at </w:t>
      </w:r>
      <w:r>
        <w:rPr>
          <w:rFonts w:ascii="Arial" w:cs="Arial" w:eastAsia="Arial" w:hAnsi="Arial"/>
          <w:sz w:val="18"/>
          <w:szCs w:val="18"/>
          <w:b w:val="1"/>
          <w:bCs w:val="1"/>
          <w:i w:val="1"/>
          <w:iCs w:val="1"/>
          <w:color w:val="3F3F3F"/>
        </w:rPr>
        <w:t>www.proxyvote.com</w:t>
      </w:r>
    </w:p>
    <w:p>
      <w:pPr>
        <w:spacing w:after="0" w:line="212" w:lineRule="exact"/>
        <w:rPr>
          <w:sz w:val="20"/>
          <w:szCs w:val="20"/>
          <w:color w:val="auto"/>
        </w:rPr>
      </w:pPr>
    </w:p>
    <w:p>
      <w:pPr>
        <w:ind w:left="120" w:right="1400"/>
        <w:spacing w:after="0" w:line="271" w:lineRule="auto"/>
        <w:rPr>
          <w:sz w:val="20"/>
          <w:szCs w:val="20"/>
          <w:color w:val="auto"/>
        </w:rPr>
      </w:pPr>
      <w:r>
        <w:rPr>
          <w:rFonts w:ascii="Arial" w:cs="Arial" w:eastAsia="Arial" w:hAnsi="Arial"/>
          <w:sz w:val="18"/>
          <w:szCs w:val="18"/>
          <w:color w:val="3F3F3F"/>
        </w:rPr>
        <w:t xml:space="preserve">Stockholders may obtain directions for accessing the meeting online by calling 1-513-579-9911 or visiting our website at </w:t>
      </w:r>
      <w:r>
        <w:rPr>
          <w:rFonts w:ascii="Arial" w:cs="Arial" w:eastAsia="Arial" w:hAnsi="Arial"/>
          <w:sz w:val="18"/>
          <w:szCs w:val="18"/>
          <w:i w:val="1"/>
          <w:iCs w:val="1"/>
          <w:color w:val="3F3F3F"/>
        </w:rPr>
        <w:t>www.medpace.com</w:t>
      </w:r>
      <w:r>
        <w:rPr>
          <w:rFonts w:ascii="Arial" w:cs="Arial" w:eastAsia="Arial" w:hAnsi="Arial"/>
          <w:sz w:val="18"/>
          <w:szCs w:val="18"/>
          <w:color w:val="3F3F3F"/>
        </w:rPr>
        <w: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PROPOSALS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At the Annual Meeting, our stockholders will be asked: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780" w:right="60" w:hanging="564"/>
        <w:spacing w:after="0" w:line="271" w:lineRule="auto"/>
        <w:tabs>
          <w:tab w:leader="none" w:pos="780" w:val="left"/>
        </w:tabs>
        <w:numPr>
          <w:ilvl w:val="0"/>
          <w:numId w:val="7"/>
        </w:numPr>
        <w:rPr>
          <w:rFonts w:ascii="Arial" w:cs="Arial" w:eastAsia="Arial" w:hAnsi="Arial"/>
          <w:sz w:val="18"/>
          <w:szCs w:val="18"/>
          <w:b w:val="1"/>
          <w:bCs w:val="1"/>
          <w:color w:val="006098"/>
        </w:rPr>
      </w:pPr>
      <w:r>
        <w:rPr>
          <w:rFonts w:ascii="Arial" w:cs="Arial" w:eastAsia="Arial" w:hAnsi="Arial"/>
          <w:sz w:val="18"/>
          <w:szCs w:val="18"/>
          <w:color w:val="3F3F3F"/>
        </w:rPr>
        <w:t>To elect August J. Troendle and Ashley M. Keating as Class III Directors to serve until the 2025 Annual Meeting of Stockholders, and until their respective successors shall have been duly elected and qualified;</w:t>
      </w:r>
    </w:p>
    <w:p>
      <w:pPr>
        <w:spacing w:after="0" w:line="113" w:lineRule="exact"/>
        <w:rPr>
          <w:rFonts w:ascii="Arial" w:cs="Arial" w:eastAsia="Arial" w:hAnsi="Arial"/>
          <w:sz w:val="18"/>
          <w:szCs w:val="18"/>
          <w:b w:val="1"/>
          <w:bCs w:val="1"/>
          <w:color w:val="006098"/>
        </w:rPr>
      </w:pPr>
    </w:p>
    <w:p>
      <w:pPr>
        <w:ind w:left="780" w:right="20" w:hanging="564"/>
        <w:spacing w:after="0" w:line="271" w:lineRule="auto"/>
        <w:tabs>
          <w:tab w:leader="none" w:pos="780" w:val="left"/>
        </w:tabs>
        <w:numPr>
          <w:ilvl w:val="0"/>
          <w:numId w:val="7"/>
        </w:numPr>
        <w:rPr>
          <w:rFonts w:ascii="Arial" w:cs="Arial" w:eastAsia="Arial" w:hAnsi="Arial"/>
          <w:sz w:val="18"/>
          <w:szCs w:val="18"/>
          <w:b w:val="1"/>
          <w:bCs w:val="1"/>
          <w:color w:val="006098"/>
        </w:rPr>
      </w:pPr>
      <w:r>
        <w:rPr>
          <w:rFonts w:ascii="Arial" w:cs="Arial" w:eastAsia="Arial" w:hAnsi="Arial"/>
          <w:sz w:val="18"/>
          <w:szCs w:val="18"/>
          <w:color w:val="3F3F3F"/>
        </w:rPr>
        <w:t>To ratify the appointment of Deloitte &amp; Touche LLP as our independent registered public accounting firm for the fiscal year ending December 31, 2022;</w:t>
      </w:r>
    </w:p>
    <w:p>
      <w:pPr>
        <w:spacing w:after="0" w:line="113" w:lineRule="exact"/>
        <w:rPr>
          <w:rFonts w:ascii="Arial" w:cs="Arial" w:eastAsia="Arial" w:hAnsi="Arial"/>
          <w:sz w:val="18"/>
          <w:szCs w:val="18"/>
          <w:b w:val="1"/>
          <w:bCs w:val="1"/>
          <w:color w:val="006098"/>
        </w:rPr>
      </w:pPr>
    </w:p>
    <w:p>
      <w:pPr>
        <w:ind w:left="780" w:hanging="564"/>
        <w:spacing w:after="0"/>
        <w:tabs>
          <w:tab w:leader="none" w:pos="780" w:val="left"/>
        </w:tabs>
        <w:numPr>
          <w:ilvl w:val="0"/>
          <w:numId w:val="7"/>
        </w:numPr>
        <w:rPr>
          <w:rFonts w:ascii="Arial" w:cs="Arial" w:eastAsia="Arial" w:hAnsi="Arial"/>
          <w:sz w:val="18"/>
          <w:szCs w:val="18"/>
          <w:b w:val="1"/>
          <w:bCs w:val="1"/>
          <w:color w:val="006098"/>
        </w:rPr>
      </w:pPr>
      <w:r>
        <w:rPr>
          <w:rFonts w:ascii="Arial" w:cs="Arial" w:eastAsia="Arial" w:hAnsi="Arial"/>
          <w:sz w:val="18"/>
          <w:szCs w:val="18"/>
          <w:color w:val="3F3F3F"/>
        </w:rPr>
        <w:t>To conduct an advisory vote to approve compensation for our named executive officers (“Say-On-Pay Vote”); and</w:t>
      </w:r>
    </w:p>
    <w:p>
      <w:pPr>
        <w:spacing w:after="0" w:line="171" w:lineRule="exact"/>
        <w:rPr>
          <w:rFonts w:ascii="Arial" w:cs="Arial" w:eastAsia="Arial" w:hAnsi="Arial"/>
          <w:sz w:val="18"/>
          <w:szCs w:val="18"/>
          <w:b w:val="1"/>
          <w:bCs w:val="1"/>
          <w:color w:val="006098"/>
        </w:rPr>
      </w:pPr>
    </w:p>
    <w:p>
      <w:pPr>
        <w:ind w:left="780" w:right="680" w:hanging="564"/>
        <w:spacing w:after="0" w:line="271" w:lineRule="auto"/>
        <w:tabs>
          <w:tab w:leader="none" w:pos="780" w:val="left"/>
        </w:tabs>
        <w:numPr>
          <w:ilvl w:val="0"/>
          <w:numId w:val="7"/>
        </w:numPr>
        <w:rPr>
          <w:rFonts w:ascii="Arial" w:cs="Arial" w:eastAsia="Arial" w:hAnsi="Arial"/>
          <w:sz w:val="18"/>
          <w:szCs w:val="18"/>
          <w:b w:val="1"/>
          <w:bCs w:val="1"/>
          <w:color w:val="006098"/>
        </w:rPr>
      </w:pPr>
      <w:r>
        <w:rPr>
          <w:rFonts w:ascii="Arial" w:cs="Arial" w:eastAsia="Arial" w:hAnsi="Arial"/>
          <w:sz w:val="18"/>
          <w:szCs w:val="18"/>
          <w:color w:val="3F3F3F"/>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-395605</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-635635</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-1004570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F3F3F"/>
        </w:rPr>
        <w:t>1</w:t>
      </w:r>
    </w:p>
    <w:p>
      <w:pPr>
        <w:sectPr>
          <w:pgSz w:w="11900" w:h="16838" w:orient="portrait"/>
          <w:cols w:equalWidth="0" w:num="1">
            <w:col w:w="11040"/>
          </w:cols>
          <w:pgMar w:left="320" w:top="455" w:right="5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3F3F3F"/>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RECOMMENDATIONS OF THE BOARD</w:t>
      </w:r>
    </w:p>
    <w:p>
      <w:pPr>
        <w:spacing w:after="0" w:line="104"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3F3F3F"/>
        </w:rPr>
        <w:t>The Board of Directors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in accordance with the Board’s recommendations which are as follows: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4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006098"/>
              </w:rPr>
              <w:t>Proposals</w:t>
            </w:r>
          </w:p>
        </w:tc>
        <w:tc>
          <w:tcPr>
            <w:tcW w:w="1780" w:type="dxa"/>
            <w:vAlign w:val="bottom"/>
          </w:tcPr>
          <w:p>
            <w:pPr>
              <w:jc w:val="center"/>
              <w:ind w:left="17"/>
              <w:spacing w:after="0"/>
              <w:rPr>
                <w:sz w:val="20"/>
                <w:szCs w:val="20"/>
                <w:color w:val="auto"/>
              </w:rPr>
            </w:pPr>
            <w:r>
              <w:rPr>
                <w:rFonts w:ascii="Arial" w:cs="Arial" w:eastAsia="Arial" w:hAnsi="Arial"/>
                <w:sz w:val="14"/>
                <w:szCs w:val="14"/>
                <w:b w:val="1"/>
                <w:bCs w:val="1"/>
                <w:color w:val="006098"/>
                <w:w w:val="99"/>
              </w:rPr>
              <w:t>Board’s</w:t>
            </w:r>
          </w:p>
        </w:tc>
        <w:tc>
          <w:tcPr>
            <w:tcW w:w="0" w:type="dxa"/>
            <w:vAlign w:val="bottom"/>
          </w:tcPr>
          <w:p>
            <w:pPr>
              <w:spacing w:after="0"/>
              <w:rPr>
                <w:sz w:val="1"/>
                <w:szCs w:val="1"/>
                <w:color w:val="auto"/>
              </w:rPr>
            </w:pPr>
          </w:p>
        </w:tc>
      </w:tr>
      <w:tr>
        <w:trPr>
          <w:trHeight w:val="106"/>
        </w:trPr>
        <w:tc>
          <w:tcPr>
            <w:tcW w:w="9240" w:type="dxa"/>
            <w:vAlign w:val="bottom"/>
            <w:gridSpan w:val="2"/>
            <w:vMerge w:val="continue"/>
          </w:tcPr>
          <w:p>
            <w:pPr>
              <w:spacing w:after="0"/>
              <w:rPr>
                <w:sz w:val="9"/>
                <w:szCs w:val="9"/>
                <w:color w:val="auto"/>
              </w:rPr>
            </w:pPr>
          </w:p>
        </w:tc>
        <w:tc>
          <w:tcPr>
            <w:tcW w:w="178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006098"/>
              </w:rPr>
              <w:t>Recommendation</w:t>
            </w:r>
          </w:p>
        </w:tc>
        <w:tc>
          <w:tcPr>
            <w:tcW w:w="0" w:type="dxa"/>
            <w:vAlign w:val="bottom"/>
          </w:tcPr>
          <w:p>
            <w:pPr>
              <w:spacing w:after="0"/>
              <w:rPr>
                <w:sz w:val="1"/>
                <w:szCs w:val="1"/>
                <w:color w:val="auto"/>
              </w:rPr>
            </w:pPr>
          </w:p>
        </w:tc>
      </w:tr>
      <w:tr>
        <w:trPr>
          <w:trHeight w:val="66"/>
        </w:trPr>
        <w:tc>
          <w:tcPr>
            <w:tcW w:w="400" w:type="dxa"/>
            <w:vAlign w:val="bottom"/>
            <w:tcBorders>
              <w:bottom w:val="single" w:sz="8" w:color="83BA90"/>
            </w:tcBorders>
          </w:tcPr>
          <w:p>
            <w:pPr>
              <w:spacing w:after="0"/>
              <w:rPr>
                <w:sz w:val="5"/>
                <w:szCs w:val="5"/>
                <w:color w:val="auto"/>
              </w:rPr>
            </w:pPr>
          </w:p>
        </w:tc>
        <w:tc>
          <w:tcPr>
            <w:tcW w:w="8840" w:type="dxa"/>
            <w:vAlign w:val="bottom"/>
            <w:tcBorders>
              <w:bottom w:val="single" w:sz="8" w:color="83BA90"/>
            </w:tcBorders>
          </w:tcPr>
          <w:p>
            <w:pPr>
              <w:spacing w:after="0"/>
              <w:rPr>
                <w:sz w:val="5"/>
                <w:szCs w:val="5"/>
                <w:color w:val="auto"/>
              </w:rPr>
            </w:pPr>
          </w:p>
        </w:tc>
        <w:tc>
          <w:tcPr>
            <w:tcW w:w="1780" w:type="dxa"/>
            <w:vAlign w:val="bottom"/>
            <w:tcBorders>
              <w:bottom w:val="single" w:sz="8" w:color="83BA9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400" w:type="dxa"/>
            <w:vAlign w:val="bottom"/>
          </w:tcPr>
          <w:p>
            <w:pPr>
              <w:ind w:left="100"/>
              <w:spacing w:after="0"/>
              <w:rPr>
                <w:sz w:val="20"/>
                <w:szCs w:val="20"/>
                <w:color w:val="auto"/>
              </w:rPr>
            </w:pPr>
            <w:r>
              <w:rPr>
                <w:rFonts w:ascii="Arial" w:cs="Arial" w:eastAsia="Arial" w:hAnsi="Arial"/>
                <w:sz w:val="18"/>
                <w:szCs w:val="18"/>
                <w:b w:val="1"/>
                <w:bCs w:val="1"/>
                <w:color w:val="006098"/>
              </w:rPr>
              <w:t>1.</w:t>
            </w:r>
          </w:p>
        </w:tc>
        <w:tc>
          <w:tcPr>
            <w:tcW w:w="8840" w:type="dxa"/>
            <w:vAlign w:val="bottom"/>
          </w:tcPr>
          <w:p>
            <w:pPr>
              <w:ind w:left="160"/>
              <w:spacing w:after="0"/>
              <w:rPr>
                <w:sz w:val="20"/>
                <w:szCs w:val="20"/>
                <w:color w:val="auto"/>
              </w:rPr>
            </w:pPr>
            <w:r>
              <w:rPr>
                <w:rFonts w:ascii="Arial" w:cs="Arial" w:eastAsia="Arial" w:hAnsi="Arial"/>
                <w:sz w:val="18"/>
                <w:szCs w:val="18"/>
                <w:color w:val="3F3F3F"/>
              </w:rPr>
              <w:t>To elect August J. Troendle and Ashley M. Keating as Class III Directors to serve until the 2025 Annual</w:t>
            </w:r>
          </w:p>
        </w:tc>
        <w:tc>
          <w:tcPr>
            <w:tcW w:w="1780" w:type="dxa"/>
            <w:vAlign w:val="bottom"/>
            <w:vMerge w:val="restart"/>
          </w:tcPr>
          <w:p>
            <w:pPr>
              <w:ind w:left="1000"/>
              <w:spacing w:after="0"/>
              <w:rPr>
                <w:sz w:val="20"/>
                <w:szCs w:val="20"/>
                <w:color w:val="auto"/>
              </w:rPr>
            </w:pPr>
            <w:r>
              <w:rPr>
                <w:rFonts w:ascii="Arial" w:cs="Arial" w:eastAsia="Arial" w:hAnsi="Arial"/>
                <w:sz w:val="18"/>
                <w:szCs w:val="18"/>
                <w:b w:val="1"/>
                <w:bCs w:val="1"/>
                <w:color w:val="006098"/>
              </w:rPr>
              <w:t>FOR</w:t>
            </w:r>
          </w:p>
        </w:tc>
        <w:tc>
          <w:tcPr>
            <w:tcW w:w="0" w:type="dxa"/>
            <w:vAlign w:val="bottom"/>
          </w:tcPr>
          <w:p>
            <w:pPr>
              <w:spacing w:after="0"/>
              <w:rPr>
                <w:sz w:val="1"/>
                <w:szCs w:val="1"/>
                <w:color w:val="auto"/>
              </w:rPr>
            </w:pPr>
          </w:p>
        </w:tc>
      </w:tr>
      <w:tr>
        <w:trPr>
          <w:trHeight w:val="152"/>
        </w:trPr>
        <w:tc>
          <w:tcPr>
            <w:tcW w:w="400" w:type="dxa"/>
            <w:vAlign w:val="bottom"/>
          </w:tcPr>
          <w:p>
            <w:pPr>
              <w:spacing w:after="0"/>
              <w:rPr>
                <w:sz w:val="13"/>
                <w:szCs w:val="13"/>
                <w:color w:val="auto"/>
              </w:rPr>
            </w:pPr>
          </w:p>
        </w:tc>
        <w:tc>
          <w:tcPr>
            <w:tcW w:w="8840" w:type="dxa"/>
            <w:vAlign w:val="bottom"/>
            <w:vMerge w:val="restart"/>
          </w:tcPr>
          <w:p>
            <w:pPr>
              <w:ind w:left="160"/>
              <w:spacing w:after="0"/>
              <w:rPr>
                <w:sz w:val="20"/>
                <w:szCs w:val="20"/>
                <w:color w:val="auto"/>
              </w:rPr>
            </w:pPr>
            <w:r>
              <w:rPr>
                <w:rFonts w:ascii="Arial" w:cs="Arial" w:eastAsia="Arial" w:hAnsi="Arial"/>
                <w:sz w:val="18"/>
                <w:szCs w:val="18"/>
                <w:color w:val="3F3F3F"/>
              </w:rPr>
              <w:t>Meeting of Stockholders, and until their respective successors shall have been duly elected and qualified</w:t>
            </w: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400" w:type="dxa"/>
            <w:vAlign w:val="bottom"/>
            <w:tcBorders>
              <w:bottom w:val="single" w:sz="8" w:color="BFBFBF"/>
            </w:tcBorders>
          </w:tcPr>
          <w:p>
            <w:pPr>
              <w:spacing w:after="0"/>
              <w:rPr>
                <w:sz w:val="7"/>
                <w:szCs w:val="7"/>
                <w:color w:val="auto"/>
              </w:rPr>
            </w:pPr>
          </w:p>
        </w:tc>
        <w:tc>
          <w:tcPr>
            <w:tcW w:w="8840" w:type="dxa"/>
            <w:vAlign w:val="bottom"/>
            <w:tcBorders>
              <w:bottom w:val="single" w:sz="8" w:color="BFBFBF"/>
            </w:tcBorders>
            <w:vMerge w:val="continue"/>
          </w:tcPr>
          <w:p>
            <w:pPr>
              <w:spacing w:after="0"/>
              <w:rPr>
                <w:sz w:val="7"/>
                <w:szCs w:val="7"/>
                <w:color w:val="auto"/>
              </w:rPr>
            </w:pPr>
          </w:p>
        </w:tc>
        <w:tc>
          <w:tcPr>
            <w:tcW w:w="1780" w:type="dxa"/>
            <w:vAlign w:val="bottom"/>
            <w:tcBorders>
              <w:bottom w:val="single" w:sz="8" w:color="BFBFBF"/>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400" w:type="dxa"/>
            <w:vAlign w:val="bottom"/>
          </w:tcPr>
          <w:p>
            <w:pPr>
              <w:ind w:left="100"/>
              <w:spacing w:after="0"/>
              <w:rPr>
                <w:sz w:val="20"/>
                <w:szCs w:val="20"/>
                <w:color w:val="auto"/>
              </w:rPr>
            </w:pPr>
            <w:r>
              <w:rPr>
                <w:rFonts w:ascii="Arial" w:cs="Arial" w:eastAsia="Arial" w:hAnsi="Arial"/>
                <w:sz w:val="18"/>
                <w:szCs w:val="18"/>
                <w:b w:val="1"/>
                <w:bCs w:val="1"/>
                <w:color w:val="006098"/>
              </w:rPr>
              <w:t>2.</w:t>
            </w:r>
          </w:p>
        </w:tc>
        <w:tc>
          <w:tcPr>
            <w:tcW w:w="8840" w:type="dxa"/>
            <w:vAlign w:val="bottom"/>
          </w:tcPr>
          <w:p>
            <w:pPr>
              <w:ind w:left="160"/>
              <w:spacing w:after="0"/>
              <w:rPr>
                <w:sz w:val="20"/>
                <w:szCs w:val="20"/>
                <w:color w:val="auto"/>
              </w:rPr>
            </w:pPr>
            <w:r>
              <w:rPr>
                <w:rFonts w:ascii="Arial" w:cs="Arial" w:eastAsia="Arial" w:hAnsi="Arial"/>
                <w:sz w:val="18"/>
                <w:szCs w:val="18"/>
                <w:color w:val="3F3F3F"/>
              </w:rPr>
              <w:t>To ratify the appointment of Deloitte &amp; Touche LLP as our independent registered public accounting firm</w:t>
            </w:r>
          </w:p>
        </w:tc>
        <w:tc>
          <w:tcPr>
            <w:tcW w:w="1780" w:type="dxa"/>
            <w:vAlign w:val="bottom"/>
            <w:vMerge w:val="restart"/>
          </w:tcPr>
          <w:p>
            <w:pPr>
              <w:ind w:left="1000"/>
              <w:spacing w:after="0"/>
              <w:rPr>
                <w:sz w:val="20"/>
                <w:szCs w:val="20"/>
                <w:color w:val="auto"/>
              </w:rPr>
            </w:pPr>
            <w:r>
              <w:rPr>
                <w:rFonts w:ascii="Arial" w:cs="Arial" w:eastAsia="Arial" w:hAnsi="Arial"/>
                <w:sz w:val="18"/>
                <w:szCs w:val="18"/>
                <w:b w:val="1"/>
                <w:bCs w:val="1"/>
                <w:color w:val="006098"/>
              </w:rPr>
              <w:t>FOR</w:t>
            </w:r>
          </w:p>
        </w:tc>
        <w:tc>
          <w:tcPr>
            <w:tcW w:w="0" w:type="dxa"/>
            <w:vAlign w:val="bottom"/>
          </w:tcPr>
          <w:p>
            <w:pPr>
              <w:spacing w:after="0"/>
              <w:rPr>
                <w:sz w:val="1"/>
                <w:szCs w:val="1"/>
                <w:color w:val="auto"/>
              </w:rPr>
            </w:pPr>
          </w:p>
        </w:tc>
      </w:tr>
      <w:tr>
        <w:trPr>
          <w:trHeight w:val="152"/>
        </w:trPr>
        <w:tc>
          <w:tcPr>
            <w:tcW w:w="400" w:type="dxa"/>
            <w:vAlign w:val="bottom"/>
          </w:tcPr>
          <w:p>
            <w:pPr>
              <w:spacing w:after="0"/>
              <w:rPr>
                <w:sz w:val="13"/>
                <w:szCs w:val="13"/>
                <w:color w:val="auto"/>
              </w:rPr>
            </w:pPr>
          </w:p>
        </w:tc>
        <w:tc>
          <w:tcPr>
            <w:tcW w:w="8840" w:type="dxa"/>
            <w:vAlign w:val="bottom"/>
            <w:vMerge w:val="restart"/>
          </w:tcPr>
          <w:p>
            <w:pPr>
              <w:ind w:left="160"/>
              <w:spacing w:after="0"/>
              <w:rPr>
                <w:sz w:val="20"/>
                <w:szCs w:val="20"/>
                <w:color w:val="auto"/>
              </w:rPr>
            </w:pPr>
            <w:r>
              <w:rPr>
                <w:rFonts w:ascii="Arial" w:cs="Arial" w:eastAsia="Arial" w:hAnsi="Arial"/>
                <w:sz w:val="18"/>
                <w:szCs w:val="18"/>
                <w:color w:val="3F3F3F"/>
              </w:rPr>
              <w:t>for the fiscal year ending December 31, 2022</w:t>
            </w: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400" w:type="dxa"/>
            <w:vAlign w:val="bottom"/>
            <w:tcBorders>
              <w:bottom w:val="single" w:sz="8" w:color="BFBFBF"/>
            </w:tcBorders>
          </w:tcPr>
          <w:p>
            <w:pPr>
              <w:spacing w:after="0"/>
              <w:rPr>
                <w:sz w:val="7"/>
                <w:szCs w:val="7"/>
                <w:color w:val="auto"/>
              </w:rPr>
            </w:pPr>
          </w:p>
        </w:tc>
        <w:tc>
          <w:tcPr>
            <w:tcW w:w="8840" w:type="dxa"/>
            <w:vAlign w:val="bottom"/>
            <w:tcBorders>
              <w:bottom w:val="single" w:sz="8" w:color="BFBFBF"/>
            </w:tcBorders>
            <w:vMerge w:val="continue"/>
          </w:tcPr>
          <w:p>
            <w:pPr>
              <w:spacing w:after="0"/>
              <w:rPr>
                <w:sz w:val="7"/>
                <w:szCs w:val="7"/>
                <w:color w:val="auto"/>
              </w:rPr>
            </w:pPr>
          </w:p>
        </w:tc>
        <w:tc>
          <w:tcPr>
            <w:tcW w:w="1780" w:type="dxa"/>
            <w:vAlign w:val="bottom"/>
            <w:tcBorders>
              <w:bottom w:val="single" w:sz="8" w:color="BFBFBF"/>
            </w:tcBorders>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400" w:type="dxa"/>
            <w:vAlign w:val="bottom"/>
          </w:tcPr>
          <w:p>
            <w:pPr>
              <w:ind w:left="100"/>
              <w:spacing w:after="0"/>
              <w:rPr>
                <w:sz w:val="20"/>
                <w:szCs w:val="20"/>
                <w:color w:val="auto"/>
              </w:rPr>
            </w:pPr>
            <w:r>
              <w:rPr>
                <w:rFonts w:ascii="Arial" w:cs="Arial" w:eastAsia="Arial" w:hAnsi="Arial"/>
                <w:sz w:val="18"/>
                <w:szCs w:val="18"/>
                <w:b w:val="1"/>
                <w:bCs w:val="1"/>
                <w:color w:val="006098"/>
              </w:rPr>
              <w:t>3.</w:t>
            </w:r>
          </w:p>
        </w:tc>
        <w:tc>
          <w:tcPr>
            <w:tcW w:w="8840" w:type="dxa"/>
            <w:vAlign w:val="bottom"/>
          </w:tcPr>
          <w:p>
            <w:pPr>
              <w:ind w:left="160"/>
              <w:spacing w:after="0"/>
              <w:rPr>
                <w:sz w:val="20"/>
                <w:szCs w:val="20"/>
                <w:color w:val="auto"/>
              </w:rPr>
            </w:pPr>
            <w:r>
              <w:rPr>
                <w:rFonts w:ascii="Arial" w:cs="Arial" w:eastAsia="Arial" w:hAnsi="Arial"/>
                <w:sz w:val="18"/>
                <w:szCs w:val="18"/>
                <w:color w:val="3F3F3F"/>
              </w:rPr>
              <w:t>To conduct an advisory vote to approve compensation for our named executive officers (“Say-On-Pay</w:t>
            </w:r>
          </w:p>
        </w:tc>
        <w:tc>
          <w:tcPr>
            <w:tcW w:w="1780" w:type="dxa"/>
            <w:vAlign w:val="bottom"/>
            <w:vMerge w:val="restart"/>
          </w:tcPr>
          <w:p>
            <w:pPr>
              <w:ind w:left="1000"/>
              <w:spacing w:after="0"/>
              <w:rPr>
                <w:sz w:val="20"/>
                <w:szCs w:val="20"/>
                <w:color w:val="auto"/>
              </w:rPr>
            </w:pPr>
            <w:r>
              <w:rPr>
                <w:rFonts w:ascii="Arial" w:cs="Arial" w:eastAsia="Arial" w:hAnsi="Arial"/>
                <w:sz w:val="18"/>
                <w:szCs w:val="18"/>
                <w:b w:val="1"/>
                <w:bCs w:val="1"/>
                <w:color w:val="006098"/>
              </w:rPr>
              <w:t>FOR</w:t>
            </w:r>
          </w:p>
        </w:tc>
        <w:tc>
          <w:tcPr>
            <w:tcW w:w="0" w:type="dxa"/>
            <w:vAlign w:val="bottom"/>
          </w:tcPr>
          <w:p>
            <w:pPr>
              <w:spacing w:after="0"/>
              <w:rPr>
                <w:sz w:val="1"/>
                <w:szCs w:val="1"/>
                <w:color w:val="auto"/>
              </w:rPr>
            </w:pPr>
          </w:p>
        </w:tc>
      </w:tr>
      <w:tr>
        <w:trPr>
          <w:trHeight w:val="152"/>
        </w:trPr>
        <w:tc>
          <w:tcPr>
            <w:tcW w:w="400" w:type="dxa"/>
            <w:vAlign w:val="bottom"/>
          </w:tcPr>
          <w:p>
            <w:pPr>
              <w:spacing w:after="0"/>
              <w:rPr>
                <w:sz w:val="13"/>
                <w:szCs w:val="13"/>
                <w:color w:val="auto"/>
              </w:rPr>
            </w:pPr>
          </w:p>
        </w:tc>
        <w:tc>
          <w:tcPr>
            <w:tcW w:w="8840" w:type="dxa"/>
            <w:vAlign w:val="bottom"/>
            <w:vMerge w:val="restart"/>
          </w:tcPr>
          <w:p>
            <w:pPr>
              <w:ind w:left="160"/>
              <w:spacing w:after="0"/>
              <w:rPr>
                <w:sz w:val="20"/>
                <w:szCs w:val="20"/>
                <w:color w:val="auto"/>
              </w:rPr>
            </w:pPr>
            <w:r>
              <w:rPr>
                <w:rFonts w:ascii="Arial" w:cs="Arial" w:eastAsia="Arial" w:hAnsi="Arial"/>
                <w:sz w:val="18"/>
                <w:szCs w:val="18"/>
                <w:color w:val="3F3F3F"/>
              </w:rPr>
              <w:t>Vote”)</w:t>
            </w: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400" w:type="dxa"/>
            <w:vAlign w:val="bottom"/>
            <w:tcBorders>
              <w:bottom w:val="single" w:sz="8" w:color="BFBFBF"/>
            </w:tcBorders>
          </w:tcPr>
          <w:p>
            <w:pPr>
              <w:spacing w:after="0"/>
              <w:rPr>
                <w:sz w:val="7"/>
                <w:szCs w:val="7"/>
                <w:color w:val="auto"/>
              </w:rPr>
            </w:pPr>
          </w:p>
        </w:tc>
        <w:tc>
          <w:tcPr>
            <w:tcW w:w="8840" w:type="dxa"/>
            <w:vAlign w:val="bottom"/>
            <w:tcBorders>
              <w:bottom w:val="single" w:sz="8" w:color="BFBFBF"/>
            </w:tcBorders>
            <w:vMerge w:val="continue"/>
          </w:tcPr>
          <w:p>
            <w:pPr>
              <w:spacing w:after="0"/>
              <w:rPr>
                <w:sz w:val="7"/>
                <w:szCs w:val="7"/>
                <w:color w:val="auto"/>
              </w:rPr>
            </w:pPr>
          </w:p>
        </w:tc>
        <w:tc>
          <w:tcPr>
            <w:tcW w:w="1780" w:type="dxa"/>
            <w:vAlign w:val="bottom"/>
            <w:tcBorders>
              <w:bottom w:val="single" w:sz="8" w:color="BFBFB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-925195</wp:posOffset>
            </wp:positionV>
            <wp:extent cx="18859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595" cy="13716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-539750</wp:posOffset>
            </wp:positionV>
            <wp:extent cx="18859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595" cy="13716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-153670</wp:posOffset>
            </wp:positionV>
            <wp:extent cx="18859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8595" cy="137160"/>
                    </a:xfrm>
                    <a:prstGeom prst="rect">
                      <a:avLst/>
                    </a:prstGeom>
                    <a:noFill/>
                  </pic:spPr>
                </pic:pic>
              </a:graphicData>
            </a:graphic>
          </wp:anchor>
        </w:drawing>
      </w:r>
    </w:p>
    <w:p>
      <w:pPr>
        <w:spacing w:after="0" w:line="177"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3F3F3F"/>
        </w:rPr>
        <w:t>If any other matter properly comes before the stockholders for a vote at the Annual Meeting, the proxy holders named on the Company’s proxy card will vote your shares in accordance with their best judgment.</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INFORMATION ABOUT THIS PROXY STATEMENT</w:t>
      </w:r>
    </w:p>
    <w:p>
      <w:pPr>
        <w:spacing w:after="0" w:line="104"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b w:val="1"/>
          <w:bCs w:val="1"/>
          <w:color w:val="3F3F3F"/>
        </w:rPr>
        <w:t>Why you received this proxy statement</w:t>
      </w:r>
      <w:r>
        <w:rPr>
          <w:rFonts w:ascii="Arial" w:cs="Arial" w:eastAsia="Arial" w:hAnsi="Arial"/>
          <w:sz w:val="18"/>
          <w:szCs w:val="18"/>
          <w:color w:val="3F3F3F"/>
        </w:rPr>
        <w:t>. You are viewing or have received these proxy materials because Medpace’s Board is soliciting</w:t>
      </w:r>
      <w:r>
        <w:rPr>
          <w:rFonts w:ascii="Arial" w:cs="Arial" w:eastAsia="Arial" w:hAnsi="Arial"/>
          <w:sz w:val="18"/>
          <w:szCs w:val="18"/>
          <w:b w:val="1"/>
          <w:bCs w:val="1"/>
          <w:color w:val="3F3F3F"/>
        </w:rPr>
        <w:t xml:space="preserve"> </w:t>
      </w:r>
      <w:r>
        <w:rPr>
          <w:rFonts w:ascii="Arial" w:cs="Arial" w:eastAsia="Arial" w:hAnsi="Arial"/>
          <w:sz w:val="18"/>
          <w:szCs w:val="18"/>
          <w:color w:val="3F3F3F"/>
        </w:rPr>
        <w:t>your proxy to vote your shares at the Annual Meeting. This proxy statement includes information that we are required to provide to you under the rules of the Securities and Exchange Commission (“SEC”) and that is designed to assist you in voting your shares.</w:t>
      </w:r>
    </w:p>
    <w:p>
      <w:pPr>
        <w:spacing w:after="0" w:line="169" w:lineRule="exact"/>
        <w:rPr>
          <w:sz w:val="20"/>
          <w:szCs w:val="20"/>
          <w:color w:val="auto"/>
        </w:rPr>
      </w:pPr>
    </w:p>
    <w:p>
      <w:pPr>
        <w:ind w:left="120" w:right="80"/>
        <w:spacing w:after="0"/>
        <w:rPr>
          <w:sz w:val="20"/>
          <w:szCs w:val="20"/>
          <w:color w:val="auto"/>
        </w:rPr>
      </w:pPr>
      <w:r>
        <w:rPr>
          <w:rFonts w:ascii="Arial" w:cs="Arial" w:eastAsia="Arial" w:hAnsi="Arial"/>
          <w:sz w:val="18"/>
          <w:szCs w:val="18"/>
          <w:b w:val="1"/>
          <w:bCs w:val="1"/>
          <w:color w:val="3F3F3F"/>
        </w:rPr>
        <w:t>Notice of Internet Availability of Proxy Materials</w:t>
      </w:r>
      <w:r>
        <w:rPr>
          <w:rFonts w:ascii="Arial" w:cs="Arial" w:eastAsia="Arial" w:hAnsi="Arial"/>
          <w:sz w:val="18"/>
          <w:szCs w:val="18"/>
          <w:color w:val="3F3F3F"/>
        </w:rPr>
        <w:t>. As permitted by SEC rules, Medpace is making this proxy statement and its 2021</w:t>
      </w:r>
      <w:r>
        <w:rPr>
          <w:rFonts w:ascii="Arial" w:cs="Arial" w:eastAsia="Arial" w:hAnsi="Arial"/>
          <w:sz w:val="18"/>
          <w:szCs w:val="18"/>
          <w:b w:val="1"/>
          <w:bCs w:val="1"/>
          <w:color w:val="3F3F3F"/>
        </w:rPr>
        <w:t xml:space="preserve"> </w:t>
      </w:r>
      <w:r>
        <w:rPr>
          <w:rFonts w:ascii="Arial" w:cs="Arial" w:eastAsia="Arial" w:hAnsi="Arial"/>
          <w:sz w:val="18"/>
          <w:szCs w:val="18"/>
          <w:color w:val="3F3F3F"/>
        </w:rPr>
        <w:t>Annual Report available to its stockholders electronically via the Internet. On or about April 6, 2022, we mailed to our stockholders a Notice of Internet Availability of Proxy Materials (the “Internet Notice”) containing instructions on how to access this proxy statement and our 2021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2021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180"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color w:val="3F3F3F"/>
        </w:rPr>
        <w:t xml:space="preserve">Printed Copies of Our Proxy Materials. </w:t>
      </w:r>
      <w:r>
        <w:rPr>
          <w:rFonts w:ascii="Arial" w:cs="Arial" w:eastAsia="Arial" w:hAnsi="Arial"/>
          <w:sz w:val="18"/>
          <w:szCs w:val="18"/>
          <w:color w:val="3F3F3F"/>
        </w:rPr>
        <w:t>If you received printed copies of our proxy materials, then instructions regarding how you can</w:t>
      </w:r>
      <w:r>
        <w:rPr>
          <w:rFonts w:ascii="Arial" w:cs="Arial" w:eastAsia="Arial" w:hAnsi="Arial"/>
          <w:sz w:val="18"/>
          <w:szCs w:val="18"/>
          <w:b w:val="1"/>
          <w:bCs w:val="1"/>
          <w:color w:val="3F3F3F"/>
        </w:rPr>
        <w:t xml:space="preserve"> </w:t>
      </w:r>
      <w:r>
        <w:rPr>
          <w:rFonts w:ascii="Arial" w:cs="Arial" w:eastAsia="Arial" w:hAnsi="Arial"/>
          <w:sz w:val="18"/>
          <w:szCs w:val="18"/>
          <w:color w:val="3F3F3F"/>
        </w:rPr>
        <w:t>vote are contained on the proxy card included in the materials.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F3F3F"/>
        </w:rPr>
        <w:t>2</w:t>
      </w:r>
    </w:p>
    <w:p>
      <w:pPr>
        <w:sectPr>
          <w:pgSz w:w="11900" w:h="16838" w:orient="portrait"/>
          <w:cols w:equalWidth="0" w:num="1">
            <w:col w:w="11140"/>
          </w:cols>
          <w:pgMar w:left="32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F3F3F"/>
        </w:rPr>
        <w:t>Householding</w:t>
      </w:r>
      <w:r>
        <w:rPr>
          <w:rFonts w:ascii="Arial" w:cs="Arial" w:eastAsia="Arial" w:hAnsi="Arial"/>
          <w:sz w:val="18"/>
          <w:szCs w:val="18"/>
          <w:color w:val="3F3F3F"/>
        </w:rPr>
        <w:t>. The SEC’s rules permit us to deliver a single Internet Notice or set of proxy materials to one address shared by two or</w:t>
      </w:r>
      <w:r>
        <w:rPr>
          <w:rFonts w:ascii="Arial" w:cs="Arial" w:eastAsia="Arial" w:hAnsi="Arial"/>
          <w:sz w:val="18"/>
          <w:szCs w:val="18"/>
          <w:b w:val="1"/>
          <w:bCs w:val="1"/>
          <w:color w:val="3F3F3F"/>
        </w:rPr>
        <w:t xml:space="preserve"> </w:t>
      </w:r>
      <w:r>
        <w:rPr>
          <w:rFonts w:ascii="Arial" w:cs="Arial" w:eastAsia="Arial" w:hAnsi="Arial"/>
          <w:sz w:val="18"/>
          <w:szCs w:val="18"/>
          <w:color w:val="3F3F3F"/>
        </w:rPr>
        <w:t>more of our stockholders. This delivery method is referred to as “householding” 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contact Broadridge Financial Solutions, Inc. at (866) 540-7095 or in writing at Broadridge, Householding Department, 51 Mercedes Way, Edgewood, New York 11717.</w:t>
      </w:r>
    </w:p>
    <w:p>
      <w:pPr>
        <w:spacing w:after="0" w:line="180"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3F3F3F"/>
        </w:rPr>
        <w:t>If you are currently a stockholder sharing an address with another stockholder and wish to receive only one copy of future Internet Notices or proxy materials for your household, please contact Broadridge at the above phone number or address.</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F3F3F"/>
        </w:rPr>
        <w:t>3</w:t>
      </w:r>
    </w:p>
    <w:p>
      <w:pPr>
        <w:sectPr>
          <w:pgSz w:w="11900" w:h="16838" w:orient="portrait"/>
          <w:cols w:equalWidth="0" w:num="1">
            <w:col w:w="11080"/>
          </w:cols>
          <w:pgMar w:left="320" w:top="455" w:right="4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Questions and Answers about the 2022 Annual Meeting of Stockholders</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Who is entitled to vote at the Annual Meeting?</w:t>
      </w:r>
    </w:p>
    <w:p>
      <w:pPr>
        <w:spacing w:after="0" w:line="104" w:lineRule="exact"/>
        <w:rPr>
          <w:sz w:val="20"/>
          <w:szCs w:val="20"/>
          <w:color w:val="auto"/>
        </w:rPr>
      </w:pPr>
    </w:p>
    <w:p>
      <w:pPr>
        <w:ind w:left="560" w:right="360"/>
        <w:spacing w:after="0" w:line="247" w:lineRule="auto"/>
        <w:rPr>
          <w:sz w:val="20"/>
          <w:szCs w:val="20"/>
          <w:color w:val="auto"/>
        </w:rPr>
      </w:pPr>
      <w:r>
        <w:rPr>
          <w:rFonts w:ascii="Arial" w:cs="Arial" w:eastAsia="Arial" w:hAnsi="Arial"/>
          <w:sz w:val="18"/>
          <w:szCs w:val="18"/>
          <w:color w:val="3F3F3F"/>
        </w:rPr>
        <w:t>The Record Date for the Annual Meeting is March 24, 2022.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33,645,673 shares of Common Stock outstanding and entitled to vote at the Annual Meeting.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What is the difference between being a “record holder” and holding shares in “street name”?</w:t>
      </w:r>
    </w:p>
    <w:p>
      <w:pPr>
        <w:spacing w:after="0" w:line="104" w:lineRule="exact"/>
        <w:rPr>
          <w:sz w:val="20"/>
          <w:szCs w:val="20"/>
          <w:color w:val="auto"/>
        </w:rPr>
      </w:pPr>
    </w:p>
    <w:p>
      <w:pPr>
        <w:ind w:left="560" w:right="120"/>
        <w:spacing w:after="0" w:line="271" w:lineRule="auto"/>
        <w:rPr>
          <w:sz w:val="20"/>
          <w:szCs w:val="20"/>
          <w:color w:val="auto"/>
        </w:rPr>
      </w:pPr>
      <w:r>
        <w:rPr>
          <w:rFonts w:ascii="Arial" w:cs="Arial" w:eastAsia="Arial" w:hAnsi="Arial"/>
          <w:sz w:val="18"/>
          <w:szCs w:val="18"/>
          <w:color w:val="3F3F3F"/>
        </w:rPr>
        <w:t>A record holder holds shares in his or her name. That is, shares are registered in your name with our transfer agent. Shares held in “street name” means shares that are held in the name of a bank or broker on a person’s behalf.</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Am I entitled to vote if my shares are held in “street name”?</w:t>
      </w:r>
    </w:p>
    <w:p>
      <w:pPr>
        <w:spacing w:after="0" w:line="104" w:lineRule="exact"/>
        <w:rPr>
          <w:sz w:val="20"/>
          <w:szCs w:val="20"/>
          <w:color w:val="auto"/>
        </w:rPr>
      </w:pPr>
    </w:p>
    <w:p>
      <w:pPr>
        <w:ind w:left="560"/>
        <w:spacing w:after="0" w:line="242" w:lineRule="auto"/>
        <w:rPr>
          <w:sz w:val="20"/>
          <w:szCs w:val="20"/>
          <w:color w:val="auto"/>
        </w:rPr>
      </w:pPr>
      <w:r>
        <w:rPr>
          <w:rFonts w:ascii="Arial" w:cs="Arial" w:eastAsia="Arial" w:hAnsi="Arial"/>
          <w:sz w:val="18"/>
          <w:szCs w:val="18"/>
          <w:color w:val="3F3F3F"/>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you may not vote your shares virtually at the Annual Meeting, unless you obtain a legal proxy from your bank or brokerage firm.</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How many shares must be present to hold the Annual Meeting?</w:t>
      </w:r>
    </w:p>
    <w:p>
      <w:pPr>
        <w:spacing w:after="0" w:line="104" w:lineRule="exact"/>
        <w:rPr>
          <w:sz w:val="20"/>
          <w:szCs w:val="20"/>
          <w:color w:val="auto"/>
        </w:rPr>
      </w:pPr>
    </w:p>
    <w:p>
      <w:pPr>
        <w:ind w:left="560"/>
        <w:spacing w:after="0" w:line="253" w:lineRule="auto"/>
        <w:rPr>
          <w:sz w:val="20"/>
          <w:szCs w:val="20"/>
          <w:color w:val="auto"/>
        </w:rPr>
      </w:pPr>
      <w:r>
        <w:rPr>
          <w:rFonts w:ascii="Arial" w:cs="Arial" w:eastAsia="Arial" w:hAnsi="Arial"/>
          <w:sz w:val="18"/>
          <w:szCs w:val="18"/>
          <w:color w:val="3F3F3F"/>
        </w:rPr>
        <w:t>A quorum must be present at the Annual Meeting for any business to be conducted. The presence at the Annual Meeting, virtually or by proxy, of the holders of a majority in voting power of the Common Stock issued and outstanding and entitled to vote on the Record Date will constitute a quorum.</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Who can attend the 2022 Annual Meeting of Stockholders?</w:t>
      </w:r>
    </w:p>
    <w:p>
      <w:pPr>
        <w:spacing w:after="0" w:line="104" w:lineRule="exact"/>
        <w:rPr>
          <w:sz w:val="20"/>
          <w:szCs w:val="20"/>
          <w:color w:val="auto"/>
        </w:rPr>
      </w:pPr>
    </w:p>
    <w:p>
      <w:pPr>
        <w:ind w:left="560" w:right="100"/>
        <w:spacing w:after="0" w:line="242" w:lineRule="auto"/>
        <w:rPr>
          <w:sz w:val="20"/>
          <w:szCs w:val="20"/>
          <w:color w:val="auto"/>
        </w:rPr>
      </w:pPr>
      <w:r>
        <w:rPr>
          <w:rFonts w:ascii="Arial" w:cs="Arial" w:eastAsia="Arial" w:hAnsi="Arial"/>
          <w:sz w:val="18"/>
          <w:szCs w:val="18"/>
          <w:color w:val="3F3F3F"/>
        </w:rPr>
        <w:t>We will be hosting the Annual Meeting live via the Internet. You will not be able to attend the Annual Meeting in person. Any stockholder can listen to and participate in the meeting live via the Internet at www.virtualshareholdermeeting.com/MEDP2022. The webcast will start at 9:00 a.m. Eastern Time. You will need the sixteen digit control number that is included in your Notice or your proxy card (if you received a printed copy of the proxy materials) to vote and submit questions while attending the meeting online. You may attend the Annual Meeting only if you are a Medpace stockholder who is entitled to vote at the Annual Meeting, or if you hold a valid proxy for the Annual Meeting.</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Why will I be able to attend the meeting virtually and not in person?</w:t>
      </w:r>
    </w:p>
    <w:p>
      <w:pPr>
        <w:spacing w:after="0" w:line="104" w:lineRule="exact"/>
        <w:rPr>
          <w:sz w:val="20"/>
          <w:szCs w:val="20"/>
          <w:color w:val="auto"/>
        </w:rPr>
      </w:pPr>
    </w:p>
    <w:p>
      <w:pPr>
        <w:jc w:val="both"/>
        <w:ind w:left="560" w:right="480"/>
        <w:spacing w:after="0" w:line="247" w:lineRule="auto"/>
        <w:rPr>
          <w:sz w:val="20"/>
          <w:szCs w:val="20"/>
          <w:color w:val="auto"/>
        </w:rPr>
      </w:pPr>
      <w:r>
        <w:rPr>
          <w:rFonts w:ascii="Arial" w:cs="Arial" w:eastAsia="Arial" w:hAnsi="Arial"/>
          <w:sz w:val="18"/>
          <w:szCs w:val="18"/>
          <w:color w:val="3F3F3F"/>
        </w:rPr>
        <w:t>We are hosting a virtual meeting of shareholders because the virtual meeting format provides expanded access and improved communication between our shareholders and the Company. We see the virtual format as a way to drive more shareholders to attend and participate in the Annual Meeting because the virtual format allows shareholders, wherever they may be located, to attend the Annual Meeting. Mindful that our shareholders reside in locations throughout the United States</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F3F3F"/>
        </w:rPr>
        <w:t>4</w:t>
      </w:r>
    </w:p>
    <w:p>
      <w:pPr>
        <w:sectPr>
          <w:pgSz w:w="11900" w:h="16838" w:orient="portrait"/>
          <w:cols w:equalWidth="0" w:num="1">
            <w:col w:w="11080"/>
          </w:cols>
          <w:pgMar w:left="320" w:top="455" w:right="4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QUESTIONS AND ANSWERS ABOUT THE 2022 ANNUAL MEETING OF STOCKHOLDERS</w:t>
      </w:r>
    </w:p>
    <w:p>
      <w:pPr>
        <w:spacing w:after="0" w:line="144" w:lineRule="exact"/>
        <w:rPr>
          <w:sz w:val="20"/>
          <w:szCs w:val="20"/>
          <w:color w:val="auto"/>
        </w:rPr>
      </w:pPr>
    </w:p>
    <w:p>
      <w:pPr>
        <w:ind w:left="560" w:right="140"/>
        <w:spacing w:after="0" w:line="253" w:lineRule="auto"/>
        <w:rPr>
          <w:sz w:val="20"/>
          <w:szCs w:val="20"/>
          <w:color w:val="auto"/>
        </w:rPr>
      </w:pPr>
      <w:r>
        <w:rPr>
          <w:rFonts w:ascii="Arial" w:cs="Arial" w:eastAsia="Arial" w:hAnsi="Arial"/>
          <w:sz w:val="18"/>
          <w:szCs w:val="18"/>
          <w:color w:val="3F3F3F"/>
        </w:rPr>
        <w:t>and the world, we want to provide an opportunity to our shareholders to attend the Annual Meeting without incurring the expense or devoting the time to travel to a physical location. In other words, we believe that the virtual format not only enhances the access shareholders have in attending the Annual Meeting, but it also saves our shareholders the money and time travel can require.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What if a quorum is not present at the Annual Meeting?</w:t>
      </w:r>
    </w:p>
    <w:p>
      <w:pPr>
        <w:spacing w:after="0" w:line="104" w:lineRule="exact"/>
        <w:rPr>
          <w:sz w:val="20"/>
          <w:szCs w:val="20"/>
          <w:color w:val="auto"/>
        </w:rPr>
      </w:pPr>
    </w:p>
    <w:p>
      <w:pPr>
        <w:ind w:left="560" w:right="100"/>
        <w:spacing w:after="0" w:line="253" w:lineRule="auto"/>
        <w:rPr>
          <w:sz w:val="20"/>
          <w:szCs w:val="20"/>
          <w:color w:val="auto"/>
        </w:rPr>
      </w:pPr>
      <w:r>
        <w:rPr>
          <w:rFonts w:ascii="Arial" w:cs="Arial" w:eastAsia="Arial" w:hAnsi="Arial"/>
          <w:sz w:val="18"/>
          <w:szCs w:val="18"/>
          <w:color w:val="3F3F3F"/>
        </w:rPr>
        <w:t>If a quorum is not present at the scheduled time of the Annual Meeting, (i) the Chairperson of the Annual Meeting or (ii) a majority in voting power of the stockholders entitled to vote at the Annual Meeting, present virtually or represented by proxy, may postpone or adjourn the Annual Meeting until a quorum is present or represented</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What does it mean if I receive more than one Internet Notice or more than one set of proxy materials?</w:t>
      </w:r>
    </w:p>
    <w:p>
      <w:pPr>
        <w:spacing w:after="0" w:line="104" w:lineRule="exact"/>
        <w:rPr>
          <w:sz w:val="20"/>
          <w:szCs w:val="20"/>
          <w:color w:val="auto"/>
        </w:rPr>
      </w:pPr>
    </w:p>
    <w:p>
      <w:pPr>
        <w:ind w:left="560" w:right="120"/>
        <w:spacing w:after="0" w:line="247" w:lineRule="auto"/>
        <w:rPr>
          <w:sz w:val="20"/>
          <w:szCs w:val="20"/>
          <w:color w:val="auto"/>
        </w:rPr>
      </w:pPr>
      <w:r>
        <w:rPr>
          <w:rFonts w:ascii="Arial" w:cs="Arial" w:eastAsia="Arial" w:hAnsi="Arial"/>
          <w:sz w:val="18"/>
          <w:szCs w:val="18"/>
          <w:color w:val="3F3F3F"/>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postage-paid envelope.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How do I vote?</w:t>
      </w:r>
    </w:p>
    <w:p>
      <w:pPr>
        <w:spacing w:after="0" w:line="104" w:lineRule="exact"/>
        <w:rPr>
          <w:sz w:val="20"/>
          <w:szCs w:val="20"/>
          <w:color w:val="auto"/>
        </w:rPr>
      </w:pPr>
    </w:p>
    <w:p>
      <w:pPr>
        <w:ind w:left="560"/>
        <w:spacing w:after="0" w:line="271" w:lineRule="auto"/>
        <w:rPr>
          <w:sz w:val="20"/>
          <w:szCs w:val="20"/>
          <w:color w:val="auto"/>
        </w:rPr>
      </w:pPr>
      <w:r>
        <w:rPr>
          <w:rFonts w:ascii="Arial" w:cs="Arial" w:eastAsia="Arial" w:hAnsi="Arial"/>
          <w:sz w:val="18"/>
          <w:szCs w:val="18"/>
          <w:color w:val="3F3F3F"/>
        </w:rPr>
        <w:t>We recommend that stockholders vote by proxy even if they plan to virtually attend the Annual Meeting and vote virtually. If you are a stockholder of record, there are three ways to vote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126365</wp:posOffset>
            </wp:positionV>
            <wp:extent cx="240030" cy="45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0030" cy="45402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120"/>
        <w:spacing w:after="0"/>
        <w:rPr>
          <w:sz w:val="20"/>
          <w:szCs w:val="20"/>
          <w:color w:val="auto"/>
        </w:rPr>
      </w:pPr>
      <w:r>
        <w:rPr>
          <w:rFonts w:ascii="Arial" w:cs="Arial" w:eastAsia="Arial" w:hAnsi="Arial"/>
          <w:sz w:val="18"/>
          <w:szCs w:val="18"/>
          <w:color w:val="3F3F3F"/>
        </w:rPr>
        <w:t>By Telephone—You can vote by telephone by calling 1-800-690-6903 and following the instructions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206375</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274955</wp:posOffset>
            </wp:positionV>
            <wp:extent cx="402590" cy="368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2590" cy="36830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120"/>
        <w:spacing w:after="0" w:line="271" w:lineRule="auto"/>
        <w:rPr>
          <w:sz w:val="20"/>
          <w:szCs w:val="20"/>
          <w:color w:val="auto"/>
        </w:rPr>
      </w:pPr>
      <w:r>
        <w:rPr>
          <w:rFonts w:ascii="Arial" w:cs="Arial" w:eastAsia="Arial" w:hAnsi="Arial"/>
          <w:sz w:val="18"/>
          <w:szCs w:val="18"/>
          <w:color w:val="3F3F3F"/>
        </w:rPr>
        <w:t xml:space="preserve">By Internet—You can vote over the Internet at </w:t>
      </w:r>
      <w:r>
        <w:rPr>
          <w:rFonts w:ascii="Arial" w:cs="Arial" w:eastAsia="Arial" w:hAnsi="Arial"/>
          <w:sz w:val="18"/>
          <w:szCs w:val="18"/>
          <w:i w:val="1"/>
          <w:iCs w:val="1"/>
          <w:color w:val="3F3F3F"/>
        </w:rPr>
        <w:t>www.proxyvote.com</w:t>
      </w:r>
      <w:r>
        <w:rPr>
          <w:rFonts w:ascii="Arial" w:cs="Arial" w:eastAsia="Arial" w:hAnsi="Arial"/>
          <w:sz w:val="18"/>
          <w:szCs w:val="18"/>
          <w:color w:val="3F3F3F"/>
        </w:rPr>
        <w:t xml:space="preserve"> by following the instructions on the Internet Notice or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126365</wp:posOffset>
            </wp:positionV>
            <wp:extent cx="394335" cy="265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4335" cy="265430"/>
                    </a:xfrm>
                    <a:prstGeom prst="rect">
                      <a:avLst/>
                    </a:prstGeom>
                    <a:noFill/>
                  </pic:spPr>
                </pic:pic>
              </a:graphicData>
            </a:graphic>
          </wp:anchor>
        </w:drawing>
      </w:r>
    </w:p>
    <w:p>
      <w:pPr>
        <w:spacing w:after="0" w:line="309" w:lineRule="exact"/>
        <w:rPr>
          <w:sz w:val="20"/>
          <w:szCs w:val="20"/>
          <w:color w:val="auto"/>
        </w:rPr>
      </w:pPr>
    </w:p>
    <w:p>
      <w:pPr>
        <w:ind w:left="1120"/>
        <w:spacing w:after="0"/>
        <w:rPr>
          <w:sz w:val="20"/>
          <w:szCs w:val="20"/>
          <w:color w:val="auto"/>
        </w:rPr>
      </w:pPr>
      <w:r>
        <w:rPr>
          <w:rFonts w:ascii="Arial" w:cs="Arial" w:eastAsia="Arial" w:hAnsi="Arial"/>
          <w:sz w:val="18"/>
          <w:szCs w:val="18"/>
          <w:color w:val="3F3F3F"/>
        </w:rPr>
        <w:t>By Mail—You can vote by mail by signing, dating and mailing the proxy card, which you may have received by mail.</w:t>
      </w:r>
    </w:p>
    <w:p>
      <w:pPr>
        <w:spacing w:after="0" w:line="360" w:lineRule="exact"/>
        <w:rPr>
          <w:sz w:val="20"/>
          <w:szCs w:val="20"/>
          <w:color w:val="auto"/>
        </w:rPr>
      </w:pPr>
    </w:p>
    <w:p>
      <w:pPr>
        <w:ind w:left="560" w:right="620"/>
        <w:spacing w:after="0" w:line="271" w:lineRule="auto"/>
        <w:rPr>
          <w:sz w:val="20"/>
          <w:szCs w:val="20"/>
          <w:color w:val="auto"/>
        </w:rPr>
      </w:pPr>
      <w:r>
        <w:rPr>
          <w:rFonts w:ascii="Arial" w:cs="Arial" w:eastAsia="Arial" w:hAnsi="Arial"/>
          <w:sz w:val="18"/>
          <w:szCs w:val="18"/>
          <w:color w:val="3F3F3F"/>
        </w:rPr>
        <w:t>Telephone and Internet voting facilities for stockholders of record will be available 24 hours a day and will close at 11:59 p.m., Eastern Time, on May 19, 2022.</w:t>
      </w:r>
    </w:p>
    <w:p>
      <w:pPr>
        <w:spacing w:after="0" w:line="154" w:lineRule="exact"/>
        <w:rPr>
          <w:sz w:val="20"/>
          <w:szCs w:val="20"/>
          <w:color w:val="auto"/>
        </w:rPr>
      </w:pPr>
    </w:p>
    <w:p>
      <w:pPr>
        <w:ind w:left="560" w:right="120"/>
        <w:spacing w:after="0" w:line="247" w:lineRule="auto"/>
        <w:rPr>
          <w:sz w:val="20"/>
          <w:szCs w:val="20"/>
          <w:color w:val="auto"/>
        </w:rPr>
      </w:pPr>
      <w:r>
        <w:rPr>
          <w:rFonts w:ascii="Arial" w:cs="Arial" w:eastAsia="Arial" w:hAnsi="Arial"/>
          <w:sz w:val="18"/>
          <w:szCs w:val="18"/>
          <w:color w:val="3F3F3F"/>
        </w:rPr>
        <w:t>If your shares are held in street name through a bank or broker, you will receive instructions on how to vote from the bank or broker. You must follow their instructions in order for your shares to be voted. Telephone and Internet voting also may be offered to stockholders owning shares through certain banks and brokers. If your shares are not registered in your own name and you would like to vote your shares virtually at the Annual Meeting, you should contact your bank or broker to obtain a legal proxy.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5</w:t>
      </w:r>
    </w:p>
    <w:p>
      <w:pPr>
        <w:sectPr>
          <w:pgSz w:w="11900" w:h="16838" w:orient="portrait"/>
          <w:cols w:equalWidth="0" w:num="1">
            <w:col w:w="11120"/>
          </w:cols>
          <w:pgMar w:left="32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QUESTIONS AND ANSWERS ABOUT THE 2022 ANNUAL MEETING OF STOCKHOLDERS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Can I change my vote after I submit my proxy?</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3F3F3F"/>
        </w:rPr>
        <w:t>Yes.</w:t>
      </w:r>
    </w:p>
    <w:p>
      <w:pPr>
        <w:spacing w:after="0" w:line="212" w:lineRule="exact"/>
        <w:rPr>
          <w:sz w:val="20"/>
          <w:szCs w:val="20"/>
          <w:color w:val="auto"/>
        </w:rPr>
      </w:pPr>
    </w:p>
    <w:p>
      <w:pPr>
        <w:ind w:left="560" w:right="340"/>
        <w:spacing w:after="0" w:line="271" w:lineRule="auto"/>
        <w:rPr>
          <w:sz w:val="20"/>
          <w:szCs w:val="20"/>
          <w:color w:val="auto"/>
        </w:rPr>
      </w:pPr>
      <w:r>
        <w:rPr>
          <w:rFonts w:ascii="Arial" w:cs="Arial" w:eastAsia="Arial" w:hAnsi="Arial"/>
          <w:sz w:val="18"/>
          <w:szCs w:val="18"/>
          <w:color w:val="3F3F3F"/>
        </w:rPr>
        <w:t>If you are a record stockholder (i.e., your shares are registered in your name with our transfer agent), you may revoke your proxy and change your vote:</w:t>
      </w:r>
    </w:p>
    <w:p>
      <w:pPr>
        <w:ind w:left="1420" w:hanging="427"/>
        <w:spacing w:after="0" w:line="214" w:lineRule="auto"/>
        <w:tabs>
          <w:tab w:leader="none" w:pos="1420" w:val="left"/>
        </w:tabs>
        <w:numPr>
          <w:ilvl w:val="0"/>
          <w:numId w:val="8"/>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by delivering to our Corporate Secretary a duly executed new proxy bearing a later date;</w:t>
      </w:r>
    </w:p>
    <w:p>
      <w:pPr>
        <w:spacing w:after="0" w:line="103" w:lineRule="exact"/>
        <w:rPr>
          <w:rFonts w:ascii="Times New Roman" w:cs="Times New Roman" w:eastAsia="Times New Roman" w:hAnsi="Times New Roman"/>
          <w:sz w:val="29"/>
          <w:szCs w:val="29"/>
          <w:color w:val="3F3F3F"/>
          <w:vertAlign w:val="superscript"/>
        </w:rPr>
      </w:pPr>
    </w:p>
    <w:p>
      <w:pPr>
        <w:ind w:left="1420" w:hanging="427"/>
        <w:spacing w:after="0" w:line="184" w:lineRule="auto"/>
        <w:tabs>
          <w:tab w:leader="none" w:pos="1420" w:val="left"/>
        </w:tabs>
        <w:numPr>
          <w:ilvl w:val="0"/>
          <w:numId w:val="8"/>
        </w:numPr>
        <w:rPr>
          <w:rFonts w:ascii="Times New Roman" w:cs="Times New Roman" w:eastAsia="Times New Roman" w:hAnsi="Times New Roman"/>
          <w:sz w:val="25"/>
          <w:szCs w:val="25"/>
          <w:color w:val="3F3F3F"/>
          <w:vertAlign w:val="superscript"/>
        </w:rPr>
      </w:pPr>
      <w:r>
        <w:rPr>
          <w:rFonts w:ascii="Arial" w:cs="Arial" w:eastAsia="Arial" w:hAnsi="Arial"/>
          <w:sz w:val="16"/>
          <w:szCs w:val="16"/>
          <w:color w:val="3F3F3F"/>
        </w:rPr>
        <w:t>by granting a subsequent proxy through the Internet or telephone;</w:t>
      </w:r>
    </w:p>
    <w:p>
      <w:pPr>
        <w:spacing w:after="0" w:line="103" w:lineRule="exact"/>
        <w:rPr>
          <w:rFonts w:ascii="Times New Roman" w:cs="Times New Roman" w:eastAsia="Times New Roman" w:hAnsi="Times New Roman"/>
          <w:sz w:val="25"/>
          <w:szCs w:val="25"/>
          <w:color w:val="3F3F3F"/>
          <w:vertAlign w:val="superscript"/>
        </w:rPr>
      </w:pPr>
    </w:p>
    <w:p>
      <w:pPr>
        <w:ind w:left="1420" w:hanging="427"/>
        <w:spacing w:after="0" w:line="184" w:lineRule="auto"/>
        <w:tabs>
          <w:tab w:leader="none" w:pos="1420" w:val="left"/>
        </w:tabs>
        <w:numPr>
          <w:ilvl w:val="0"/>
          <w:numId w:val="8"/>
        </w:numPr>
        <w:rPr>
          <w:rFonts w:ascii="Times New Roman" w:cs="Times New Roman" w:eastAsia="Times New Roman" w:hAnsi="Times New Roman"/>
          <w:sz w:val="25"/>
          <w:szCs w:val="25"/>
          <w:color w:val="3F3F3F"/>
          <w:vertAlign w:val="superscript"/>
        </w:rPr>
      </w:pPr>
      <w:r>
        <w:rPr>
          <w:rFonts w:ascii="Arial" w:cs="Arial" w:eastAsia="Arial" w:hAnsi="Arial"/>
          <w:sz w:val="16"/>
          <w:szCs w:val="16"/>
          <w:color w:val="3F3F3F"/>
        </w:rPr>
        <w:t>by delivering a revocation of the proxy to our Corporate Secretary prior to or when the vote is taken; or</w:t>
      </w:r>
    </w:p>
    <w:p>
      <w:pPr>
        <w:spacing w:after="0" w:line="103" w:lineRule="exact"/>
        <w:rPr>
          <w:rFonts w:ascii="Times New Roman" w:cs="Times New Roman" w:eastAsia="Times New Roman" w:hAnsi="Times New Roman"/>
          <w:sz w:val="25"/>
          <w:szCs w:val="25"/>
          <w:color w:val="3F3F3F"/>
          <w:vertAlign w:val="superscript"/>
        </w:rPr>
      </w:pPr>
    </w:p>
    <w:p>
      <w:pPr>
        <w:ind w:left="1420" w:hanging="427"/>
        <w:spacing w:after="0" w:line="184" w:lineRule="auto"/>
        <w:tabs>
          <w:tab w:leader="none" w:pos="1420" w:val="left"/>
        </w:tabs>
        <w:numPr>
          <w:ilvl w:val="0"/>
          <w:numId w:val="8"/>
        </w:numPr>
        <w:rPr>
          <w:rFonts w:ascii="Times New Roman" w:cs="Times New Roman" w:eastAsia="Times New Roman" w:hAnsi="Times New Roman"/>
          <w:sz w:val="25"/>
          <w:szCs w:val="25"/>
          <w:color w:val="3F3F3F"/>
          <w:vertAlign w:val="superscript"/>
        </w:rPr>
      </w:pPr>
      <w:r>
        <w:rPr>
          <w:rFonts w:ascii="Arial" w:cs="Arial" w:eastAsia="Arial" w:hAnsi="Arial"/>
          <w:sz w:val="16"/>
          <w:szCs w:val="16"/>
          <w:color w:val="3F3F3F"/>
        </w:rPr>
        <w:t>by voting virtually at the Annual Meeting.</w:t>
      </w:r>
    </w:p>
    <w:p>
      <w:pPr>
        <w:spacing w:after="0" w:line="180" w:lineRule="exact"/>
        <w:rPr>
          <w:sz w:val="20"/>
          <w:szCs w:val="20"/>
          <w:color w:val="auto"/>
        </w:rPr>
      </w:pPr>
    </w:p>
    <w:p>
      <w:pPr>
        <w:ind w:left="560"/>
        <w:spacing w:after="0" w:line="253" w:lineRule="auto"/>
        <w:rPr>
          <w:sz w:val="20"/>
          <w:szCs w:val="20"/>
          <w:color w:val="auto"/>
        </w:rPr>
      </w:pPr>
      <w:r>
        <w:rPr>
          <w:rFonts w:ascii="Arial" w:cs="Arial" w:eastAsia="Arial" w:hAnsi="Arial"/>
          <w:sz w:val="18"/>
          <w:szCs w:val="18"/>
          <w:color w:val="3F3F3F"/>
        </w:rPr>
        <w:t>Your most recent proxy card or telephone or Internet proxy is the one that is counted. Your attendance at the Annual Meeting by itself will not revoke your proxy unless you give written notice of revocation to the Corporate Secretary before your proxy is voted or you vote virtually at the Annual Meeting.</w:t>
      </w:r>
    </w:p>
    <w:p>
      <w:pPr>
        <w:spacing w:after="0" w:line="169" w:lineRule="exact"/>
        <w:rPr>
          <w:sz w:val="20"/>
          <w:szCs w:val="20"/>
          <w:color w:val="auto"/>
        </w:rPr>
      </w:pPr>
    </w:p>
    <w:p>
      <w:pPr>
        <w:ind w:left="560"/>
        <w:spacing w:after="0" w:line="253" w:lineRule="auto"/>
        <w:rPr>
          <w:sz w:val="20"/>
          <w:szCs w:val="20"/>
          <w:color w:val="auto"/>
        </w:rPr>
      </w:pPr>
      <w:r>
        <w:rPr>
          <w:rFonts w:ascii="Arial" w:cs="Arial" w:eastAsia="Arial" w:hAnsi="Arial"/>
          <w:sz w:val="18"/>
          <w:szCs w:val="18"/>
          <w:color w:val="3F3F3F"/>
        </w:rPr>
        <w:t>If your shares are held in street name (i.e., through a broker or bank), you may change or revoke your voting instructions by following the specific directions provided to you by your bank or broker, or you may vote virtually at the Annual Meeting by obtaining a legal proxy from your bank or broker and submitting the legal proxy along with your ballot.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Who will count the votes?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3F3F3F"/>
        </w:rPr>
        <w:t>A representative of Broadridge Financial Solutions, Inc., our inspector of election, will tabulate and certify the votes.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What if I do not specify how my shares are to be voted?</w:t>
      </w:r>
    </w:p>
    <w:p>
      <w:pPr>
        <w:spacing w:after="0" w:line="104" w:lineRule="exact"/>
        <w:rPr>
          <w:sz w:val="20"/>
          <w:szCs w:val="20"/>
          <w:color w:val="auto"/>
        </w:rPr>
      </w:pPr>
    </w:p>
    <w:p>
      <w:pPr>
        <w:ind w:left="560" w:right="200"/>
        <w:spacing w:after="0" w:line="253" w:lineRule="auto"/>
        <w:rPr>
          <w:sz w:val="20"/>
          <w:szCs w:val="20"/>
          <w:color w:val="auto"/>
        </w:rPr>
      </w:pPr>
      <w:r>
        <w:rPr>
          <w:rFonts w:ascii="Arial" w:cs="Arial" w:eastAsia="Arial" w:hAnsi="Arial"/>
          <w:sz w:val="18"/>
          <w:szCs w:val="18"/>
          <w:color w:val="3F3F3F"/>
        </w:rPr>
        <w:t>If you submit a proxy but do not indicate any voting instructions, the persons named as proxies will vote in accordance with the recommendations of the Board. The Board’s recommendations are indicated on page 2 of this proxy statement, as well as with the description of each proposal in this proxy statement.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Will any other business be conducted at the Annual Meeting?</w:t>
      </w:r>
    </w:p>
    <w:p>
      <w:pPr>
        <w:spacing w:after="0" w:line="104" w:lineRule="exact"/>
        <w:rPr>
          <w:sz w:val="20"/>
          <w:szCs w:val="20"/>
          <w:color w:val="auto"/>
        </w:rPr>
      </w:pPr>
    </w:p>
    <w:p>
      <w:pPr>
        <w:ind w:left="560" w:right="40"/>
        <w:spacing w:after="0" w:line="253" w:lineRule="auto"/>
        <w:rPr>
          <w:sz w:val="20"/>
          <w:szCs w:val="20"/>
          <w:color w:val="auto"/>
        </w:rPr>
      </w:pPr>
      <w:r>
        <w:rPr>
          <w:rFonts w:ascii="Arial" w:cs="Arial" w:eastAsia="Arial" w:hAnsi="Arial"/>
          <w:sz w:val="18"/>
          <w:szCs w:val="18"/>
          <w:color w:val="3F3F3F"/>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6</w:t>
      </w:r>
    </w:p>
    <w:p>
      <w:pPr>
        <w:sectPr>
          <w:pgSz w:w="11900" w:h="16838" w:orient="portrait"/>
          <w:cols w:equalWidth="0" w:num="1">
            <w:col w:w="11120"/>
          </w:cols>
          <w:pgMar w:left="320" w:top="455" w:right="4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QUESTIONS AND ANSWERS ABOUT THE 2022 ANNUAL MEETING OF STOCKHOLDERS</w:t>
      </w:r>
    </w:p>
    <w:p>
      <w:pPr>
        <w:spacing w:after="0" w:line="144" w:lineRule="exact"/>
        <w:rPr>
          <w:sz w:val="20"/>
          <w:szCs w:val="20"/>
          <w:color w:val="auto"/>
        </w:rPr>
      </w:pPr>
    </w:p>
    <w:p>
      <w:pPr>
        <w:ind w:left="120" w:right="80"/>
        <w:spacing w:after="0" w:line="281" w:lineRule="auto"/>
        <w:rPr>
          <w:sz w:val="20"/>
          <w:szCs w:val="20"/>
          <w:color w:val="auto"/>
        </w:rPr>
      </w:pPr>
      <w:r>
        <w:rPr>
          <w:rFonts w:ascii="Arial" w:cs="Arial" w:eastAsia="Arial" w:hAnsi="Arial"/>
          <w:sz w:val="18"/>
          <w:szCs w:val="18"/>
          <w:b w:val="1"/>
          <w:bCs w:val="1"/>
          <w:color w:val="006098"/>
        </w:rPr>
        <w:t>How many votes are required for the approval of the proposals to be voted upon and how will abstentions and broker non-votes be treated?</w:t>
      </w:r>
    </w:p>
    <w:p>
      <w:pPr>
        <w:spacing w:after="0" w:line="173"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006098"/>
        </w:rPr>
        <w:t>Effect of Votes Withheld / Abstentions and</w:t>
      </w:r>
    </w:p>
    <w:p>
      <w:pPr>
        <w:spacing w:after="0" w:line="15" w:lineRule="exact"/>
        <w:rPr>
          <w:sz w:val="20"/>
          <w:szCs w:val="20"/>
          <w:color w:val="auto"/>
        </w:rPr>
      </w:pPr>
    </w:p>
    <w:p>
      <w:pPr>
        <w:ind w:left="120"/>
        <w:spacing w:after="0"/>
        <w:tabs>
          <w:tab w:leader="none" w:pos="3300" w:val="left"/>
          <w:tab w:leader="none" w:pos="7160" w:val="left"/>
        </w:tabs>
        <w:rPr>
          <w:sz w:val="20"/>
          <w:szCs w:val="20"/>
          <w:color w:val="auto"/>
        </w:rPr>
      </w:pPr>
      <w:r>
        <w:rPr>
          <w:rFonts w:ascii="Arial" w:cs="Arial" w:eastAsia="Arial" w:hAnsi="Arial"/>
          <w:sz w:val="14"/>
          <w:szCs w:val="14"/>
          <w:b w:val="1"/>
          <w:bCs w:val="1"/>
          <w:color w:val="006098"/>
        </w:rPr>
        <w:t>Proposal</w:t>
      </w:r>
      <w:r>
        <w:rPr>
          <w:sz w:val="20"/>
          <w:szCs w:val="20"/>
          <w:color w:val="auto"/>
        </w:rPr>
        <w:tab/>
      </w:r>
      <w:r>
        <w:rPr>
          <w:rFonts w:ascii="Arial" w:cs="Arial" w:eastAsia="Arial" w:hAnsi="Arial"/>
          <w:sz w:val="14"/>
          <w:szCs w:val="14"/>
          <w:b w:val="1"/>
          <w:bCs w:val="1"/>
          <w:color w:val="006098"/>
        </w:rPr>
        <w:t>Votes required</w:t>
      </w:r>
      <w:r>
        <w:rPr>
          <w:sz w:val="20"/>
          <w:szCs w:val="20"/>
          <w:color w:val="auto"/>
        </w:rPr>
        <w:tab/>
      </w:r>
      <w:r>
        <w:rPr>
          <w:rFonts w:ascii="Arial" w:cs="Arial" w:eastAsia="Arial" w:hAnsi="Arial"/>
          <w:sz w:val="14"/>
          <w:szCs w:val="14"/>
          <w:b w:val="1"/>
          <w:bCs w:val="1"/>
          <w:color w:val="006098"/>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tbl>
      <w:tblPr>
        <w:tblLayout w:type="fixed"/>
        <w:tblInd w:w="120" w:type="dxa"/>
        <w:tblCellMar>
          <w:top w:w="0" w:type="dxa"/>
          <w:left w:w="0" w:type="dxa"/>
          <w:bottom w:w="0" w:type="dxa"/>
          <w:right w:w="0" w:type="dxa"/>
        </w:tblCellMar>
      </w:tblPr>
      <w:tr>
        <w:trPr>
          <w:trHeight w:val="185"/>
        </w:trPr>
        <w:tc>
          <w:tcPr>
            <w:tcW w:w="2920" w:type="dxa"/>
            <w:vAlign w:val="bottom"/>
            <w:gridSpan w:val="2"/>
          </w:tcPr>
          <w:p>
            <w:pPr>
              <w:spacing w:after="0" w:line="185" w:lineRule="exact"/>
              <w:rPr>
                <w:sz w:val="20"/>
                <w:szCs w:val="20"/>
                <w:color w:val="auto"/>
              </w:rPr>
            </w:pPr>
            <w:r>
              <w:rPr>
                <w:rFonts w:ascii="Arial" w:cs="Arial" w:eastAsia="Arial" w:hAnsi="Arial"/>
                <w:sz w:val="18"/>
                <w:szCs w:val="18"/>
                <w:b w:val="1"/>
                <w:bCs w:val="1"/>
                <w:color w:val="3F87B1"/>
              </w:rPr>
              <w:t xml:space="preserve">Proposal 1: </w:t>
            </w:r>
            <w:r>
              <w:rPr>
                <w:rFonts w:ascii="Arial" w:cs="Arial" w:eastAsia="Arial" w:hAnsi="Arial"/>
                <w:sz w:val="18"/>
                <w:szCs w:val="18"/>
                <w:color w:val="3F3F3F"/>
              </w:rPr>
              <w:t>Election of Directors</w:t>
            </w:r>
          </w:p>
        </w:tc>
        <w:tc>
          <w:tcPr>
            <w:tcW w:w="4000" w:type="dxa"/>
            <w:vAlign w:val="bottom"/>
          </w:tcPr>
          <w:p>
            <w:pPr>
              <w:ind w:left="280"/>
              <w:spacing w:after="0" w:line="185" w:lineRule="exact"/>
              <w:rPr>
                <w:sz w:val="20"/>
                <w:szCs w:val="20"/>
                <w:color w:val="auto"/>
              </w:rPr>
            </w:pPr>
            <w:r>
              <w:rPr>
                <w:rFonts w:ascii="Arial" w:cs="Arial" w:eastAsia="Arial" w:hAnsi="Arial"/>
                <w:sz w:val="18"/>
                <w:szCs w:val="18"/>
                <w:color w:val="3F3F3F"/>
                <w:w w:val="99"/>
              </w:rPr>
              <w:t>The plurality of the votes cast. This means that</w:t>
            </w:r>
          </w:p>
        </w:tc>
      </w:tr>
      <w:tr>
        <w:trPr>
          <w:trHeight w:val="191"/>
        </w:trPr>
        <w:tc>
          <w:tcPr>
            <w:tcW w:w="920" w:type="dxa"/>
            <w:vAlign w:val="bottom"/>
            <w:tcBorders>
              <w:top w:val="single" w:sz="8" w:color="3F87B1"/>
            </w:tcBorders>
          </w:tcPr>
          <w:p>
            <w:pPr>
              <w:spacing w:after="0"/>
              <w:rPr>
                <w:sz w:val="16"/>
                <w:szCs w:val="16"/>
                <w:color w:val="auto"/>
              </w:rPr>
            </w:pPr>
          </w:p>
        </w:tc>
        <w:tc>
          <w:tcPr>
            <w:tcW w:w="2000" w:type="dxa"/>
            <w:vAlign w:val="bottom"/>
          </w:tcPr>
          <w:p>
            <w:pPr>
              <w:spacing w:after="0"/>
              <w:rPr>
                <w:sz w:val="16"/>
                <w:szCs w:val="16"/>
                <w:color w:val="auto"/>
              </w:rPr>
            </w:pPr>
          </w:p>
        </w:tc>
        <w:tc>
          <w:tcPr>
            <w:tcW w:w="4000" w:type="dxa"/>
            <w:vAlign w:val="bottom"/>
          </w:tcPr>
          <w:p>
            <w:pPr>
              <w:ind w:left="280"/>
              <w:spacing w:after="0" w:line="191" w:lineRule="exact"/>
              <w:rPr>
                <w:sz w:val="20"/>
                <w:szCs w:val="20"/>
                <w:color w:val="auto"/>
              </w:rPr>
            </w:pPr>
            <w:r>
              <w:rPr>
                <w:rFonts w:ascii="Arial" w:cs="Arial" w:eastAsia="Arial" w:hAnsi="Arial"/>
                <w:sz w:val="18"/>
                <w:szCs w:val="18"/>
                <w:color w:val="3F3F3F"/>
              </w:rPr>
              <w:t>the two nominees receiving the highest</w:t>
            </w:r>
          </w:p>
        </w:tc>
      </w:tr>
      <w:tr>
        <w:trPr>
          <w:trHeight w:val="203"/>
        </w:trPr>
        <w:tc>
          <w:tcPr>
            <w:tcW w:w="9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000" w:type="dxa"/>
            <w:vAlign w:val="bottom"/>
          </w:tcPr>
          <w:p>
            <w:pPr>
              <w:ind w:left="280"/>
              <w:spacing w:after="0" w:line="202" w:lineRule="exact"/>
              <w:rPr>
                <w:sz w:val="20"/>
                <w:szCs w:val="20"/>
                <w:color w:val="auto"/>
              </w:rPr>
            </w:pPr>
            <w:r>
              <w:rPr>
                <w:rFonts w:ascii="Arial" w:cs="Arial" w:eastAsia="Arial" w:hAnsi="Arial"/>
                <w:sz w:val="18"/>
                <w:szCs w:val="18"/>
                <w:color w:val="3F3F3F"/>
              </w:rPr>
              <w:t>number of affirmative “FOR” votes will be</w:t>
            </w:r>
          </w:p>
        </w:tc>
      </w:tr>
      <w:tr>
        <w:trPr>
          <w:trHeight w:val="239"/>
        </w:trPr>
        <w:tc>
          <w:tcPr>
            <w:tcW w:w="9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00" w:type="dxa"/>
            <w:vAlign w:val="bottom"/>
          </w:tcPr>
          <w:p>
            <w:pPr>
              <w:ind w:left="280"/>
              <w:spacing w:after="0"/>
              <w:rPr>
                <w:sz w:val="20"/>
                <w:szCs w:val="20"/>
                <w:color w:val="auto"/>
              </w:rPr>
            </w:pPr>
            <w:r>
              <w:rPr>
                <w:rFonts w:ascii="Arial" w:cs="Arial" w:eastAsia="Arial" w:hAnsi="Arial"/>
                <w:sz w:val="18"/>
                <w:szCs w:val="18"/>
                <w:color w:val="3F3F3F"/>
              </w:rPr>
              <w:t>elected as Class III Directors.</w:t>
            </w:r>
          </w:p>
        </w:tc>
      </w:tr>
    </w:tbl>
    <w:p>
      <w:pPr>
        <w:spacing w:after="0" w:line="20" w:lineRule="exact"/>
        <w:rPr>
          <w:sz w:val="20"/>
          <w:szCs w:val="20"/>
          <w:color w:val="auto"/>
        </w:rPr>
      </w:pPr>
      <w:r>
        <w:rPr>
          <w:sz w:val="20"/>
          <w:szCs w:val="20"/>
          <w:color w:val="auto"/>
        </w:rPr>
        <w:br w:type="column"/>
      </w:r>
    </w:p>
    <w:p>
      <w:pPr>
        <w:ind w:right="60"/>
        <w:spacing w:after="0" w:line="250" w:lineRule="auto"/>
        <w:rPr>
          <w:sz w:val="20"/>
          <w:szCs w:val="20"/>
          <w:color w:val="auto"/>
        </w:rPr>
      </w:pPr>
      <w:r>
        <w:rPr>
          <w:rFonts w:ascii="Arial" w:cs="Arial" w:eastAsia="Arial" w:hAnsi="Arial"/>
          <w:sz w:val="18"/>
          <w:szCs w:val="18"/>
          <w:color w:val="3F3F3F"/>
        </w:rPr>
        <w:t>Votes withheld and broker non-votes will have no effect.</w:t>
      </w:r>
    </w:p>
    <w:p>
      <w:pPr>
        <w:spacing w:after="0" w:line="575" w:lineRule="exact"/>
        <w:rPr>
          <w:sz w:val="20"/>
          <w:szCs w:val="20"/>
          <w:color w:val="auto"/>
        </w:rPr>
      </w:pPr>
    </w:p>
    <w:p>
      <w:pPr>
        <w:sectPr>
          <w:pgSz w:w="11900" w:h="16838" w:orient="portrait"/>
          <w:cols w:equalWidth="0" w:num="2">
            <w:col w:w="7040" w:space="140"/>
            <w:col w:w="396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189"/>
        </w:trPr>
        <w:tc>
          <w:tcPr>
            <w:tcW w:w="3100" w:type="dxa"/>
            <w:vAlign w:val="bottom"/>
            <w:tcBorders>
              <w:top w:val="single" w:sz="8" w:color="BFBFBF"/>
            </w:tcBorders>
            <w:gridSpan w:val="2"/>
          </w:tcPr>
          <w:p>
            <w:pPr>
              <w:spacing w:after="0" w:line="189" w:lineRule="exact"/>
              <w:rPr>
                <w:sz w:val="20"/>
                <w:szCs w:val="20"/>
                <w:color w:val="auto"/>
              </w:rPr>
            </w:pPr>
            <w:r>
              <w:rPr>
                <w:rFonts w:ascii="Arial" w:cs="Arial" w:eastAsia="Arial" w:hAnsi="Arial"/>
                <w:sz w:val="18"/>
                <w:szCs w:val="18"/>
                <w:b w:val="1"/>
                <w:bCs w:val="1"/>
                <w:color w:val="3F87B1"/>
              </w:rPr>
              <w:t xml:space="preserve">Proposal 2: </w:t>
            </w:r>
            <w:r>
              <w:rPr>
                <w:rFonts w:ascii="Arial" w:cs="Arial" w:eastAsia="Arial" w:hAnsi="Arial"/>
                <w:sz w:val="18"/>
                <w:szCs w:val="18"/>
                <w:color w:val="3F3F3F"/>
              </w:rPr>
              <w:t>Ratification of</w:t>
            </w:r>
          </w:p>
        </w:tc>
        <w:tc>
          <w:tcPr>
            <w:tcW w:w="3840" w:type="dxa"/>
            <w:vAlign w:val="bottom"/>
            <w:tcBorders>
              <w:top w:val="single" w:sz="8" w:color="BFBFBF"/>
            </w:tcBorders>
          </w:tcPr>
          <w:p>
            <w:pPr>
              <w:ind w:left="100"/>
              <w:spacing w:after="0" w:line="189" w:lineRule="exact"/>
              <w:rPr>
                <w:sz w:val="20"/>
                <w:szCs w:val="20"/>
                <w:color w:val="auto"/>
              </w:rPr>
            </w:pPr>
            <w:r>
              <w:rPr>
                <w:rFonts w:ascii="Arial" w:cs="Arial" w:eastAsia="Arial" w:hAnsi="Arial"/>
                <w:sz w:val="18"/>
                <w:szCs w:val="18"/>
                <w:color w:val="3F3F3F"/>
              </w:rPr>
              <w:t>The affirmative vote of the holders of a</w:t>
            </w:r>
          </w:p>
        </w:tc>
        <w:tc>
          <w:tcPr>
            <w:tcW w:w="4080" w:type="dxa"/>
            <w:vAlign w:val="bottom"/>
            <w:tcBorders>
              <w:top w:val="single" w:sz="8" w:color="BFBFBF"/>
            </w:tcBorders>
          </w:tcPr>
          <w:p>
            <w:pPr>
              <w:ind w:left="120"/>
              <w:spacing w:after="0" w:line="189" w:lineRule="exact"/>
              <w:rPr>
                <w:sz w:val="20"/>
                <w:szCs w:val="20"/>
                <w:color w:val="auto"/>
              </w:rPr>
            </w:pPr>
            <w:r>
              <w:rPr>
                <w:rFonts w:ascii="Arial" w:cs="Arial" w:eastAsia="Arial" w:hAnsi="Arial"/>
                <w:sz w:val="18"/>
                <w:szCs w:val="18"/>
                <w:color w:val="3F3F3F"/>
              </w:rPr>
              <w:t>Abstentions will have the same effect as votes</w:t>
            </w:r>
          </w:p>
        </w:tc>
      </w:tr>
      <w:tr>
        <w:trPr>
          <w:trHeight w:val="191"/>
        </w:trPr>
        <w:tc>
          <w:tcPr>
            <w:tcW w:w="920" w:type="dxa"/>
            <w:vAlign w:val="bottom"/>
            <w:tcBorders>
              <w:top w:val="single" w:sz="8" w:color="3F87B1"/>
            </w:tcBorders>
          </w:tcPr>
          <w:p>
            <w:pPr>
              <w:spacing w:after="0" w:line="191" w:lineRule="exact"/>
              <w:rPr>
                <w:sz w:val="20"/>
                <w:szCs w:val="20"/>
                <w:color w:val="auto"/>
              </w:rPr>
            </w:pPr>
            <w:r>
              <w:rPr>
                <w:rFonts w:ascii="Arial" w:cs="Arial" w:eastAsia="Arial" w:hAnsi="Arial"/>
                <w:sz w:val="18"/>
                <w:szCs w:val="18"/>
                <w:color w:val="3F3F3F"/>
                <w:w w:val="89"/>
              </w:rPr>
              <w:t>Appointment</w:t>
            </w:r>
          </w:p>
        </w:tc>
        <w:tc>
          <w:tcPr>
            <w:tcW w:w="2180" w:type="dxa"/>
            <w:vAlign w:val="bottom"/>
          </w:tcPr>
          <w:p>
            <w:pPr>
              <w:ind w:left="140"/>
              <w:spacing w:after="0" w:line="191" w:lineRule="exact"/>
              <w:rPr>
                <w:sz w:val="20"/>
                <w:szCs w:val="20"/>
                <w:color w:val="auto"/>
              </w:rPr>
            </w:pPr>
            <w:r>
              <w:rPr>
                <w:rFonts w:ascii="Arial" w:cs="Arial" w:eastAsia="Arial" w:hAnsi="Arial"/>
                <w:sz w:val="18"/>
                <w:szCs w:val="18"/>
                <w:color w:val="3F3F3F"/>
              </w:rPr>
              <w:t>of Independent</w:t>
            </w:r>
          </w:p>
        </w:tc>
        <w:tc>
          <w:tcPr>
            <w:tcW w:w="3840" w:type="dxa"/>
            <w:vAlign w:val="bottom"/>
          </w:tcPr>
          <w:p>
            <w:pPr>
              <w:ind w:left="100"/>
              <w:spacing w:after="0" w:line="191" w:lineRule="exact"/>
              <w:rPr>
                <w:sz w:val="20"/>
                <w:szCs w:val="20"/>
                <w:color w:val="auto"/>
              </w:rPr>
            </w:pPr>
            <w:r>
              <w:rPr>
                <w:rFonts w:ascii="Arial" w:cs="Arial" w:eastAsia="Arial" w:hAnsi="Arial"/>
                <w:sz w:val="18"/>
                <w:szCs w:val="18"/>
                <w:color w:val="3F3F3F"/>
              </w:rPr>
              <w:t>majority in voting power of the shares present</w:t>
            </w:r>
          </w:p>
        </w:tc>
        <w:tc>
          <w:tcPr>
            <w:tcW w:w="4080" w:type="dxa"/>
            <w:vAlign w:val="bottom"/>
          </w:tcPr>
          <w:p>
            <w:pPr>
              <w:ind w:left="120"/>
              <w:spacing w:after="0" w:line="191" w:lineRule="exact"/>
              <w:rPr>
                <w:sz w:val="20"/>
                <w:szCs w:val="20"/>
                <w:color w:val="auto"/>
              </w:rPr>
            </w:pPr>
            <w:r>
              <w:rPr>
                <w:rFonts w:ascii="Arial" w:cs="Arial" w:eastAsia="Arial" w:hAnsi="Arial"/>
                <w:sz w:val="18"/>
                <w:szCs w:val="18"/>
                <w:color w:val="3F3F3F"/>
              </w:rPr>
              <w:t>against. We do not expect any broker non-votes</w:t>
            </w:r>
          </w:p>
        </w:tc>
      </w:tr>
      <w:tr>
        <w:trPr>
          <w:trHeight w:val="239"/>
        </w:trPr>
        <w:tc>
          <w:tcPr>
            <w:tcW w:w="3100" w:type="dxa"/>
            <w:vAlign w:val="bottom"/>
            <w:gridSpan w:val="2"/>
          </w:tcPr>
          <w:p>
            <w:pPr>
              <w:spacing w:after="0"/>
              <w:rPr>
                <w:sz w:val="20"/>
                <w:szCs w:val="20"/>
                <w:color w:val="auto"/>
              </w:rPr>
            </w:pPr>
            <w:r>
              <w:rPr>
                <w:rFonts w:ascii="Arial" w:cs="Arial" w:eastAsia="Arial" w:hAnsi="Arial"/>
                <w:sz w:val="18"/>
                <w:szCs w:val="18"/>
                <w:color w:val="3F3F3F"/>
              </w:rPr>
              <w:t>Registered Public Accounting Firm</w:t>
            </w:r>
          </w:p>
        </w:tc>
        <w:tc>
          <w:tcPr>
            <w:tcW w:w="3840" w:type="dxa"/>
            <w:vAlign w:val="bottom"/>
          </w:tcPr>
          <w:p>
            <w:pPr>
              <w:ind w:left="100"/>
              <w:spacing w:after="0"/>
              <w:rPr>
                <w:sz w:val="20"/>
                <w:szCs w:val="20"/>
                <w:color w:val="auto"/>
              </w:rPr>
            </w:pPr>
            <w:r>
              <w:rPr>
                <w:rFonts w:ascii="Arial" w:cs="Arial" w:eastAsia="Arial" w:hAnsi="Arial"/>
                <w:sz w:val="18"/>
                <w:szCs w:val="18"/>
                <w:color w:val="3F3F3F"/>
              </w:rPr>
              <w:t>and entitled to vote on the matter.</w:t>
            </w:r>
          </w:p>
        </w:tc>
        <w:tc>
          <w:tcPr>
            <w:tcW w:w="4080" w:type="dxa"/>
            <w:vAlign w:val="bottom"/>
          </w:tcPr>
          <w:p>
            <w:pPr>
              <w:ind w:left="120"/>
              <w:spacing w:after="0"/>
              <w:rPr>
                <w:sz w:val="20"/>
                <w:szCs w:val="20"/>
                <w:color w:val="auto"/>
              </w:rPr>
            </w:pPr>
            <w:r>
              <w:rPr>
                <w:rFonts w:ascii="Arial" w:cs="Arial" w:eastAsia="Arial" w:hAnsi="Arial"/>
                <w:sz w:val="18"/>
                <w:szCs w:val="18"/>
                <w:color w:val="3F3F3F"/>
              </w:rPr>
              <w:t>on this proposal.</w:t>
            </w:r>
          </w:p>
        </w:tc>
      </w:tr>
      <w:tr>
        <w:trPr>
          <w:trHeight w:val="198"/>
        </w:trPr>
        <w:tc>
          <w:tcPr>
            <w:tcW w:w="920" w:type="dxa"/>
            <w:vAlign w:val="bottom"/>
            <w:tcBorders>
              <w:bottom w:val="single" w:sz="8" w:color="BFBFBF"/>
            </w:tcBorders>
          </w:tcPr>
          <w:p>
            <w:pPr>
              <w:spacing w:after="0"/>
              <w:rPr>
                <w:sz w:val="17"/>
                <w:szCs w:val="17"/>
                <w:color w:val="auto"/>
              </w:rPr>
            </w:pPr>
          </w:p>
        </w:tc>
        <w:tc>
          <w:tcPr>
            <w:tcW w:w="2180" w:type="dxa"/>
            <w:vAlign w:val="bottom"/>
            <w:tcBorders>
              <w:bottom w:val="single" w:sz="8" w:color="BFBFBF"/>
            </w:tcBorders>
          </w:tcPr>
          <w:p>
            <w:pPr>
              <w:spacing w:after="0"/>
              <w:rPr>
                <w:sz w:val="17"/>
                <w:szCs w:val="17"/>
                <w:color w:val="auto"/>
              </w:rPr>
            </w:pPr>
          </w:p>
        </w:tc>
        <w:tc>
          <w:tcPr>
            <w:tcW w:w="3840" w:type="dxa"/>
            <w:vAlign w:val="bottom"/>
            <w:tcBorders>
              <w:bottom w:val="single" w:sz="8" w:color="BFBFBF"/>
            </w:tcBorders>
          </w:tcPr>
          <w:p>
            <w:pPr>
              <w:spacing w:after="0"/>
              <w:rPr>
                <w:sz w:val="17"/>
                <w:szCs w:val="17"/>
                <w:color w:val="auto"/>
              </w:rPr>
            </w:pPr>
          </w:p>
        </w:tc>
        <w:tc>
          <w:tcPr>
            <w:tcW w:w="4080" w:type="dxa"/>
            <w:vAlign w:val="bottom"/>
            <w:tcBorders>
              <w:bottom w:val="single" w:sz="8" w:color="BFBFBF"/>
            </w:tcBorders>
          </w:tcPr>
          <w:p>
            <w:pPr>
              <w:spacing w:after="0"/>
              <w:rPr>
                <w:sz w:val="17"/>
                <w:szCs w:val="17"/>
                <w:color w:val="auto"/>
              </w:rPr>
            </w:pPr>
          </w:p>
        </w:tc>
      </w:tr>
      <w:tr>
        <w:trPr>
          <w:trHeight w:val="169"/>
        </w:trPr>
        <w:tc>
          <w:tcPr>
            <w:tcW w:w="3100" w:type="dxa"/>
            <w:vAlign w:val="bottom"/>
            <w:gridSpan w:val="2"/>
          </w:tcPr>
          <w:p>
            <w:pPr>
              <w:spacing w:after="0" w:line="169" w:lineRule="exact"/>
              <w:rPr>
                <w:sz w:val="20"/>
                <w:szCs w:val="20"/>
                <w:color w:val="auto"/>
              </w:rPr>
            </w:pPr>
            <w:r>
              <w:rPr>
                <w:rFonts w:ascii="Arial" w:cs="Arial" w:eastAsia="Arial" w:hAnsi="Arial"/>
                <w:sz w:val="18"/>
                <w:szCs w:val="18"/>
                <w:b w:val="1"/>
                <w:bCs w:val="1"/>
                <w:color w:val="3F87B1"/>
              </w:rPr>
              <w:t xml:space="preserve">Proposal 3: </w:t>
            </w:r>
            <w:r>
              <w:rPr>
                <w:rFonts w:ascii="Arial" w:cs="Arial" w:eastAsia="Arial" w:hAnsi="Arial"/>
                <w:sz w:val="18"/>
                <w:szCs w:val="18"/>
                <w:color w:val="3F3F3F"/>
              </w:rPr>
              <w:t>Approval, on an advisory</w:t>
            </w:r>
          </w:p>
        </w:tc>
        <w:tc>
          <w:tcPr>
            <w:tcW w:w="3840" w:type="dxa"/>
            <w:vAlign w:val="bottom"/>
          </w:tcPr>
          <w:p>
            <w:pPr>
              <w:ind w:left="100"/>
              <w:spacing w:after="0" w:line="169" w:lineRule="exact"/>
              <w:rPr>
                <w:sz w:val="20"/>
                <w:szCs w:val="20"/>
                <w:color w:val="auto"/>
              </w:rPr>
            </w:pPr>
            <w:r>
              <w:rPr>
                <w:rFonts w:ascii="Arial" w:cs="Arial" w:eastAsia="Arial" w:hAnsi="Arial"/>
                <w:sz w:val="18"/>
                <w:szCs w:val="18"/>
                <w:color w:val="3F3F3F"/>
              </w:rPr>
              <w:t>The affirmative vote of a majority of the votes</w:t>
            </w:r>
          </w:p>
        </w:tc>
        <w:tc>
          <w:tcPr>
            <w:tcW w:w="4080" w:type="dxa"/>
            <w:vAlign w:val="bottom"/>
          </w:tcPr>
          <w:p>
            <w:pPr>
              <w:ind w:left="120"/>
              <w:spacing w:after="0" w:line="169" w:lineRule="exact"/>
              <w:rPr>
                <w:sz w:val="20"/>
                <w:szCs w:val="20"/>
                <w:color w:val="auto"/>
              </w:rPr>
            </w:pPr>
            <w:r>
              <w:rPr>
                <w:rFonts w:ascii="Arial" w:cs="Arial" w:eastAsia="Arial" w:hAnsi="Arial"/>
                <w:sz w:val="18"/>
                <w:szCs w:val="18"/>
                <w:color w:val="3F3F3F"/>
              </w:rPr>
              <w:t>Abstentions and broker non-votes will not be</w:t>
            </w:r>
          </w:p>
        </w:tc>
      </w:tr>
      <w:tr>
        <w:trPr>
          <w:trHeight w:val="191"/>
        </w:trPr>
        <w:tc>
          <w:tcPr>
            <w:tcW w:w="920" w:type="dxa"/>
            <w:vAlign w:val="bottom"/>
            <w:tcBorders>
              <w:top w:val="single" w:sz="8" w:color="3F87B1"/>
            </w:tcBorders>
          </w:tcPr>
          <w:p>
            <w:pPr>
              <w:spacing w:after="0" w:line="191" w:lineRule="exact"/>
              <w:rPr>
                <w:sz w:val="20"/>
                <w:szCs w:val="20"/>
                <w:color w:val="auto"/>
              </w:rPr>
            </w:pPr>
            <w:r>
              <w:rPr>
                <w:rFonts w:ascii="Arial" w:cs="Arial" w:eastAsia="Arial" w:hAnsi="Arial"/>
                <w:sz w:val="18"/>
                <w:szCs w:val="18"/>
                <w:color w:val="3F3F3F"/>
                <w:w w:val="92"/>
              </w:rPr>
              <w:t>basis, of the</w:t>
            </w:r>
          </w:p>
        </w:tc>
        <w:tc>
          <w:tcPr>
            <w:tcW w:w="2180" w:type="dxa"/>
            <w:vAlign w:val="bottom"/>
          </w:tcPr>
          <w:p>
            <w:pPr>
              <w:ind w:left="100"/>
              <w:spacing w:after="0" w:line="191" w:lineRule="exact"/>
              <w:rPr>
                <w:sz w:val="20"/>
                <w:szCs w:val="20"/>
                <w:color w:val="auto"/>
              </w:rPr>
            </w:pPr>
            <w:r>
              <w:rPr>
                <w:rFonts w:ascii="Arial" w:cs="Arial" w:eastAsia="Arial" w:hAnsi="Arial"/>
                <w:sz w:val="18"/>
                <w:szCs w:val="18"/>
                <w:color w:val="3F3F3F"/>
              </w:rPr>
              <w:t>Compensation of our</w:t>
            </w:r>
          </w:p>
        </w:tc>
        <w:tc>
          <w:tcPr>
            <w:tcW w:w="3840" w:type="dxa"/>
            <w:vAlign w:val="bottom"/>
          </w:tcPr>
          <w:p>
            <w:pPr>
              <w:ind w:left="100"/>
              <w:spacing w:after="0" w:line="191" w:lineRule="exact"/>
              <w:rPr>
                <w:sz w:val="20"/>
                <w:szCs w:val="20"/>
                <w:color w:val="auto"/>
              </w:rPr>
            </w:pPr>
            <w:r>
              <w:rPr>
                <w:rFonts w:ascii="Arial" w:cs="Arial" w:eastAsia="Arial" w:hAnsi="Arial"/>
                <w:sz w:val="18"/>
                <w:szCs w:val="18"/>
                <w:color w:val="3F3F3F"/>
              </w:rPr>
              <w:t>cast at the Annual Meeting by the holders of</w:t>
            </w:r>
          </w:p>
        </w:tc>
        <w:tc>
          <w:tcPr>
            <w:tcW w:w="4080" w:type="dxa"/>
            <w:vAlign w:val="bottom"/>
          </w:tcPr>
          <w:p>
            <w:pPr>
              <w:ind w:left="120"/>
              <w:spacing w:after="0" w:line="191" w:lineRule="exact"/>
              <w:rPr>
                <w:sz w:val="20"/>
                <w:szCs w:val="20"/>
                <w:color w:val="auto"/>
              </w:rPr>
            </w:pPr>
            <w:r>
              <w:rPr>
                <w:rFonts w:ascii="Arial" w:cs="Arial" w:eastAsia="Arial" w:hAnsi="Arial"/>
                <w:sz w:val="18"/>
                <w:szCs w:val="18"/>
                <w:color w:val="3F3F3F"/>
              </w:rPr>
              <w:t>counted as votes “for” or “against” this proposal.</w:t>
            </w:r>
          </w:p>
        </w:tc>
      </w:tr>
      <w:tr>
        <w:trPr>
          <w:trHeight w:val="203"/>
        </w:trPr>
        <w:tc>
          <w:tcPr>
            <w:tcW w:w="3100" w:type="dxa"/>
            <w:vAlign w:val="bottom"/>
            <w:gridSpan w:val="2"/>
          </w:tcPr>
          <w:p>
            <w:pPr>
              <w:spacing w:after="0" w:line="202" w:lineRule="exact"/>
              <w:rPr>
                <w:sz w:val="20"/>
                <w:szCs w:val="20"/>
                <w:color w:val="auto"/>
              </w:rPr>
            </w:pPr>
            <w:r>
              <w:rPr>
                <w:rFonts w:ascii="Arial" w:cs="Arial" w:eastAsia="Arial" w:hAnsi="Arial"/>
                <w:sz w:val="18"/>
                <w:szCs w:val="18"/>
                <w:color w:val="3F3F3F"/>
              </w:rPr>
              <w:t>Named Executive Officers</w:t>
            </w:r>
          </w:p>
        </w:tc>
        <w:tc>
          <w:tcPr>
            <w:tcW w:w="3840" w:type="dxa"/>
            <w:vAlign w:val="bottom"/>
          </w:tcPr>
          <w:p>
            <w:pPr>
              <w:ind w:left="100"/>
              <w:spacing w:after="0" w:line="202" w:lineRule="exact"/>
              <w:rPr>
                <w:sz w:val="20"/>
                <w:szCs w:val="20"/>
                <w:color w:val="auto"/>
              </w:rPr>
            </w:pPr>
            <w:r>
              <w:rPr>
                <w:rFonts w:ascii="Arial" w:cs="Arial" w:eastAsia="Arial" w:hAnsi="Arial"/>
                <w:sz w:val="18"/>
                <w:szCs w:val="18"/>
                <w:color w:val="3F3F3F"/>
              </w:rPr>
              <w:t>shares present and entitled to vote on the</w:t>
            </w:r>
          </w:p>
        </w:tc>
        <w:tc>
          <w:tcPr>
            <w:tcW w:w="4080" w:type="dxa"/>
            <w:vAlign w:val="bottom"/>
          </w:tcPr>
          <w:p>
            <w:pPr>
              <w:spacing w:after="0"/>
              <w:rPr>
                <w:sz w:val="17"/>
                <w:szCs w:val="17"/>
                <w:color w:val="auto"/>
              </w:rPr>
            </w:pPr>
          </w:p>
        </w:tc>
      </w:tr>
      <w:tr>
        <w:trPr>
          <w:trHeight w:val="239"/>
        </w:trPr>
        <w:tc>
          <w:tcPr>
            <w:tcW w:w="9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3F3F3F"/>
              </w:rPr>
              <w:t>matter.</w:t>
            </w:r>
          </w:p>
        </w:tc>
        <w:tc>
          <w:tcPr>
            <w:tcW w:w="4080" w:type="dxa"/>
            <w:vAlign w:val="bottom"/>
          </w:tcPr>
          <w:p>
            <w:pPr>
              <w:spacing w:after="0"/>
              <w:rPr>
                <w:sz w:val="20"/>
                <w:szCs w:val="20"/>
                <w:color w:val="auto"/>
              </w:rPr>
            </w:pPr>
          </w:p>
        </w:tc>
      </w:tr>
      <w:tr>
        <w:trPr>
          <w:trHeight w:val="198"/>
        </w:trPr>
        <w:tc>
          <w:tcPr>
            <w:tcW w:w="920" w:type="dxa"/>
            <w:vAlign w:val="bottom"/>
            <w:tcBorders>
              <w:bottom w:val="single" w:sz="8" w:color="BFBFBF"/>
            </w:tcBorders>
          </w:tcPr>
          <w:p>
            <w:pPr>
              <w:spacing w:after="0"/>
              <w:rPr>
                <w:sz w:val="17"/>
                <w:szCs w:val="17"/>
                <w:color w:val="auto"/>
              </w:rPr>
            </w:pPr>
          </w:p>
        </w:tc>
        <w:tc>
          <w:tcPr>
            <w:tcW w:w="2180" w:type="dxa"/>
            <w:vAlign w:val="bottom"/>
            <w:tcBorders>
              <w:bottom w:val="single" w:sz="8" w:color="BFBFBF"/>
            </w:tcBorders>
          </w:tcPr>
          <w:p>
            <w:pPr>
              <w:spacing w:after="0"/>
              <w:rPr>
                <w:sz w:val="17"/>
                <w:szCs w:val="17"/>
                <w:color w:val="auto"/>
              </w:rPr>
            </w:pPr>
          </w:p>
        </w:tc>
        <w:tc>
          <w:tcPr>
            <w:tcW w:w="3840" w:type="dxa"/>
            <w:vAlign w:val="bottom"/>
            <w:tcBorders>
              <w:bottom w:val="single" w:sz="8" w:color="BFBFBF"/>
            </w:tcBorders>
          </w:tcPr>
          <w:p>
            <w:pPr>
              <w:spacing w:after="0"/>
              <w:rPr>
                <w:sz w:val="17"/>
                <w:szCs w:val="17"/>
                <w:color w:val="auto"/>
              </w:rPr>
            </w:pPr>
          </w:p>
        </w:tc>
        <w:tc>
          <w:tcPr>
            <w:tcW w:w="4080" w:type="dxa"/>
            <w:vAlign w:val="bottom"/>
            <w:tcBorders>
              <w:bottom w:val="single" w:sz="8" w:color="BFBFBF"/>
            </w:tcBorders>
          </w:tcPr>
          <w:p>
            <w:pPr>
              <w:spacing w:after="0"/>
              <w:rPr>
                <w:sz w:val="17"/>
                <w:szCs w:val="17"/>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What is an abstention and how will votes withheld and abstentions be treated?</w:t>
      </w:r>
    </w:p>
    <w:p>
      <w:pPr>
        <w:spacing w:after="0" w:line="104" w:lineRule="exact"/>
        <w:rPr>
          <w:sz w:val="20"/>
          <w:szCs w:val="20"/>
          <w:color w:val="auto"/>
        </w:rPr>
      </w:pPr>
    </w:p>
    <w:p>
      <w:pPr>
        <w:ind w:left="560" w:right="80"/>
        <w:spacing w:after="0"/>
        <w:rPr>
          <w:sz w:val="20"/>
          <w:szCs w:val="20"/>
          <w:color w:val="auto"/>
        </w:rPr>
      </w:pPr>
      <w:r>
        <w:rPr>
          <w:rFonts w:ascii="Arial" w:cs="Arial" w:eastAsia="Arial" w:hAnsi="Arial"/>
          <w:sz w:val="18"/>
          <w:szCs w:val="18"/>
          <w:color w:val="3F3F3F"/>
        </w:rPr>
        <w:t>A “vote withheld,” in the case of the proposal regarding the election of a director, or an “abstention,” in the case of the proposals regarding the ratification of the appointment of Deloitte &amp; Touche LLP as our independent registered public accounting firm and the advisory vote on the compensation of our named executive officers (“Say-on-Pay Vote”), represents a stockholder’s affirmative choice to decline to vote on a proposal. Votes withheld and abstentions are counted as present and entitled to vote for purposes of determining a quorum. Votes withheld have no effect on the election of a director. Abstentions have the same effect as votes against the ratification of the appointment of Deloitte &amp; Touche LLP. Abstentions and broker non-votes are not counted as votes “for” or “against” the Say-on-Pay Vote.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What are broker non-votes and do they count for determining a quorum?</w:t>
      </w:r>
    </w:p>
    <w:p>
      <w:pPr>
        <w:spacing w:after="0" w:line="104" w:lineRule="exact"/>
        <w:rPr>
          <w:sz w:val="20"/>
          <w:szCs w:val="20"/>
          <w:color w:val="auto"/>
        </w:rPr>
      </w:pPr>
    </w:p>
    <w:p>
      <w:pPr>
        <w:ind w:left="560" w:right="20"/>
        <w:spacing w:after="0"/>
        <w:rPr>
          <w:sz w:val="20"/>
          <w:szCs w:val="20"/>
          <w:color w:val="auto"/>
        </w:rPr>
      </w:pPr>
      <w:r>
        <w:rPr>
          <w:rFonts w:ascii="Arial" w:cs="Arial" w:eastAsia="Arial" w:hAnsi="Arial"/>
          <w:sz w:val="18"/>
          <w:szCs w:val="18"/>
          <w:color w:val="3F3F3F"/>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Deloitte &amp; Touche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a director or the Say-on-Pay Vote. Broker non-votes count for purposes of determining whether a quorum is present.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Where can I find the voting results of the 2022 Annual Meeting of Stockholders?</w:t>
      </w:r>
    </w:p>
    <w:p>
      <w:pPr>
        <w:spacing w:after="0" w:line="104" w:lineRule="exact"/>
        <w:rPr>
          <w:sz w:val="20"/>
          <w:szCs w:val="20"/>
          <w:color w:val="auto"/>
        </w:rPr>
      </w:pPr>
    </w:p>
    <w:p>
      <w:pPr>
        <w:ind w:left="560" w:right="500"/>
        <w:spacing w:after="0" w:line="271" w:lineRule="auto"/>
        <w:rPr>
          <w:sz w:val="20"/>
          <w:szCs w:val="20"/>
          <w:color w:val="auto"/>
        </w:rPr>
      </w:pPr>
      <w:r>
        <w:rPr>
          <w:rFonts w:ascii="Arial" w:cs="Arial" w:eastAsia="Arial" w:hAnsi="Arial"/>
          <w:sz w:val="18"/>
          <w:szCs w:val="18"/>
          <w:color w:val="3F3F3F"/>
        </w:rPr>
        <w:t>We plan to announce preliminary voting results at the Annual Meeting and we will report the final results in a Current Report on Form 8-K, which we intend to file with the SEC after the Annual Meeting.</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7</w:t>
      </w:r>
    </w:p>
    <w:p>
      <w:pPr>
        <w:sectPr>
          <w:pgSz w:w="11900" w:h="16838" w:orient="portrait"/>
          <w:cols w:equalWidth="0" w:num="1">
            <w:col w:w="11140"/>
          </w:cols>
          <w:pgMar w:left="320" w:top="455" w:right="4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PROPOSAL 1</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color w:val="3F3F3F"/>
        </w:rPr>
        <w:t>At the Annual Meeting, two (2) Class III Directors are to be elected to hold office until the Annual Meeting of Stockholders to be held in 2025 and until such director’s successor is elected and qualified or until such director’s earlier death, resignation or removal.</w:t>
      </w:r>
    </w:p>
    <w:p>
      <w:pPr>
        <w:spacing w:after="0" w:line="154"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3F3F3F"/>
        </w:rPr>
        <w:t>We currently have seven (7) directors on our Board, including two (2) Class III Directors. Our current Class III Directors are August J. Troendle who has served on our Board since July 1992, and Ashley M. Keating, who has served on our Board since May 17, 2019. The Board has nominated August J. Troendle and Ashley M. Keating for election as Class III Directors at the Annual Meeting. Proxies cannot be voted for a greater number of persons than the number of nominees named in this proposal.</w:t>
      </w:r>
    </w:p>
    <w:p>
      <w:pPr>
        <w:spacing w:after="0" w:line="174"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3F3F3F"/>
        </w:rPr>
        <w:t>The proposal regarding the election of directors requires the approval of a plurality of the votes cast. This means that the two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As set forth in our Amended and Restated Certificate of Incorporation,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current term expires at the 2023 Annual Meeting of Stockholders and whose subsequent term will expire at the 2026 Annual Meeting of Stockholders; Class II, whose current term expires at the 2024 Annual Meeting of Stockholders and whose subsequent term will expire at the 2027 Annual Meeting of Stockholders; and Class III, whose current term expires at the 2022 Annual Meeting of Stockholders and whose new term will expire at the 2025 Annual Meeting of Stockholders. The current Class I Directors are Brian T. Carley, Thomas C. King and Robert O. Kraft and the current Class II Directors are Fred B. Davenport, Jr. and Cornelius P. McCarthy III.</w:t>
      </w:r>
    </w:p>
    <w:p>
      <w:pPr>
        <w:spacing w:after="0" w:line="180" w:lineRule="exact"/>
        <w:rPr>
          <w:sz w:val="20"/>
          <w:szCs w:val="20"/>
          <w:color w:val="auto"/>
        </w:rPr>
      </w:pPr>
    </w:p>
    <w:p>
      <w:pPr>
        <w:ind w:left="120" w:right="700"/>
        <w:spacing w:after="0" w:line="253" w:lineRule="auto"/>
        <w:rPr>
          <w:sz w:val="20"/>
          <w:szCs w:val="20"/>
          <w:color w:val="auto"/>
        </w:rPr>
      </w:pPr>
      <w:r>
        <w:rPr>
          <w:rFonts w:ascii="Arial" w:cs="Arial" w:eastAsia="Arial" w:hAnsi="Arial"/>
          <w:sz w:val="18"/>
          <w:szCs w:val="18"/>
          <w:color w:val="3F3F3F"/>
        </w:rPr>
        <w:t>There are no family relationships among any of our executive officers or directors. Our Chief Executive Officer and founder, August J. Troendle and our Executive Vice President of Operations, Susan E. Burwig, each of whom is a named executive officer, cohabitate. For information regarding each of their compensation arrangements, see “Executive Compensation.”</w:t>
      </w:r>
    </w:p>
    <w:p>
      <w:pPr>
        <w:spacing w:after="0" w:line="169"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3F3F3F"/>
        </w:rPr>
        <w:t>If you submit a proxy but do not indicate any voting instructions, the persons named as proxies will vote the shares of Common Stock represented thereby for the election as Class III Directors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VOTE REQUIRED</w:t>
      </w:r>
    </w:p>
    <w:p>
      <w:pPr>
        <w:spacing w:after="0" w:line="104"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3F3F3F"/>
        </w:rPr>
        <w:t>The proposal regarding the election of directors requires the approval of a plurality of the votes cast. This means that the two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F3F3F"/>
        </w:rPr>
        <w:t>8</w:t>
      </w:r>
    </w:p>
    <w:p>
      <w:pPr>
        <w:sectPr>
          <w:pgSz w:w="11900" w:h="16838" w:orient="portrait"/>
          <w:cols w:equalWidth="0" w:num="1">
            <w:col w:w="11120"/>
          </w:cols>
          <w:pgMar w:left="320" w:top="455"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445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445770"/>
                    </a:xfrm>
                    <a:prstGeom prst="rect">
                      <a:avLst/>
                    </a:prstGeom>
                    <a:noFill/>
                  </pic:spPr>
                </pic:pic>
              </a:graphicData>
            </a:graphic>
          </wp:anchor>
        </w:drawing>
      </w:r>
    </w:p>
    <w:p>
      <w:pPr>
        <w:spacing w:after="0" w:line="259" w:lineRule="exact"/>
        <w:rPr>
          <w:sz w:val="20"/>
          <w:szCs w:val="20"/>
          <w:color w:val="auto"/>
        </w:rPr>
      </w:pPr>
    </w:p>
    <w:p>
      <w:pPr>
        <w:ind w:left="1120" w:right="840"/>
        <w:spacing w:after="0" w:line="281" w:lineRule="auto"/>
        <w:rPr>
          <w:sz w:val="20"/>
          <w:szCs w:val="20"/>
          <w:color w:val="auto"/>
        </w:rPr>
      </w:pPr>
      <w:r>
        <w:rPr>
          <w:rFonts w:ascii="Arial" w:cs="Arial" w:eastAsia="Arial" w:hAnsi="Arial"/>
          <w:sz w:val="18"/>
          <w:szCs w:val="18"/>
          <w:b w:val="1"/>
          <w:bCs w:val="1"/>
          <w:color w:val="FFFFFF"/>
        </w:rPr>
        <w:t xml:space="preserve">The Board of Directors unanimously recommends a vote </w:t>
      </w:r>
      <w:r>
        <w:rPr>
          <w:rFonts w:ascii="Arial" w:cs="Arial" w:eastAsia="Arial" w:hAnsi="Arial"/>
          <w:sz w:val="18"/>
          <w:szCs w:val="18"/>
          <w:b w:val="1"/>
          <w:bCs w:val="1"/>
          <w:color w:val="83BA90"/>
        </w:rPr>
        <w:t>FOR</w:t>
      </w:r>
      <w:r>
        <w:rPr>
          <w:rFonts w:ascii="Arial" w:cs="Arial" w:eastAsia="Arial" w:hAnsi="Arial"/>
          <w:sz w:val="18"/>
          <w:szCs w:val="18"/>
          <w:b w:val="1"/>
          <w:bCs w:val="1"/>
          <w:color w:val="FFFFFF"/>
        </w:rPr>
        <w:t xml:space="preserve"> the election of the following Class III Director nominees.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NOMINEES FOR CLASS III DIRECTORS (TERMS TO EXPIRE AT THE 2025 ANNUAL MEETING)</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current members of the Board who are also nominees for election to the Board as Class III Directors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tcPr>
          <w:p>
            <w:pPr>
              <w:jc w:val="right"/>
              <w:ind w:right="199"/>
              <w:spacing w:after="0"/>
              <w:rPr>
                <w:sz w:val="20"/>
                <w:szCs w:val="20"/>
                <w:color w:val="auto"/>
              </w:rPr>
            </w:pPr>
            <w:r>
              <w:rPr>
                <w:rFonts w:ascii="Arial" w:cs="Arial" w:eastAsia="Arial" w:hAnsi="Arial"/>
                <w:sz w:val="14"/>
                <w:szCs w:val="14"/>
                <w:b w:val="1"/>
                <w:bCs w:val="1"/>
                <w:color w:val="006098"/>
              </w:rPr>
              <w:t>Served as a</w:t>
            </w:r>
          </w:p>
        </w:tc>
        <w:tc>
          <w:tcPr>
            <w:tcW w:w="6060" w:type="dxa"/>
            <w:vAlign w:val="bottom"/>
          </w:tcPr>
          <w:p>
            <w:pPr>
              <w:spacing w:after="0"/>
              <w:rPr>
                <w:sz w:val="14"/>
                <w:szCs w:val="14"/>
                <w:color w:val="auto"/>
              </w:rPr>
            </w:pPr>
          </w:p>
        </w:tc>
      </w:tr>
      <w:tr>
        <w:trPr>
          <w:trHeight w:val="185"/>
        </w:trPr>
        <w:tc>
          <w:tcPr>
            <w:tcW w:w="2280" w:type="dxa"/>
            <w:vAlign w:val="bottom"/>
            <w:tcBorders>
              <w:bottom w:val="single" w:sz="8" w:color="83BA90"/>
            </w:tcBorders>
          </w:tcPr>
          <w:p>
            <w:pPr>
              <w:spacing w:after="0"/>
              <w:rPr>
                <w:sz w:val="20"/>
                <w:szCs w:val="20"/>
                <w:color w:val="auto"/>
              </w:rPr>
            </w:pPr>
            <w:r>
              <w:rPr>
                <w:rFonts w:ascii="Arial" w:cs="Arial" w:eastAsia="Arial" w:hAnsi="Arial"/>
                <w:sz w:val="14"/>
                <w:szCs w:val="14"/>
                <w:b w:val="1"/>
                <w:bCs w:val="1"/>
                <w:color w:val="006098"/>
              </w:rPr>
              <w:t>Name</w:t>
            </w:r>
          </w:p>
        </w:tc>
        <w:tc>
          <w:tcPr>
            <w:tcW w:w="1280" w:type="dxa"/>
            <w:vAlign w:val="bottom"/>
            <w:tcBorders>
              <w:bottom w:val="single" w:sz="8" w:color="83BA90"/>
            </w:tcBorders>
          </w:tcPr>
          <w:p>
            <w:pPr>
              <w:jc w:val="right"/>
              <w:ind w:right="156"/>
              <w:spacing w:after="0"/>
              <w:rPr>
                <w:sz w:val="20"/>
                <w:szCs w:val="20"/>
                <w:color w:val="auto"/>
              </w:rPr>
            </w:pPr>
            <w:r>
              <w:rPr>
                <w:rFonts w:ascii="Arial" w:cs="Arial" w:eastAsia="Arial" w:hAnsi="Arial"/>
                <w:sz w:val="14"/>
                <w:szCs w:val="14"/>
                <w:b w:val="1"/>
                <w:bCs w:val="1"/>
                <w:color w:val="006098"/>
              </w:rPr>
              <w:t>Age</w:t>
            </w:r>
          </w:p>
        </w:tc>
        <w:tc>
          <w:tcPr>
            <w:tcW w:w="1400" w:type="dxa"/>
            <w:vAlign w:val="bottom"/>
            <w:tcBorders>
              <w:bottom w:val="single" w:sz="8" w:color="83BA90"/>
            </w:tcBorders>
          </w:tcPr>
          <w:p>
            <w:pPr>
              <w:jc w:val="right"/>
              <w:ind w:right="99"/>
              <w:spacing w:after="0"/>
              <w:rPr>
                <w:sz w:val="20"/>
                <w:szCs w:val="20"/>
                <w:color w:val="auto"/>
              </w:rPr>
            </w:pPr>
            <w:r>
              <w:rPr>
                <w:rFonts w:ascii="Arial" w:cs="Arial" w:eastAsia="Arial" w:hAnsi="Arial"/>
                <w:sz w:val="14"/>
                <w:szCs w:val="14"/>
                <w:b w:val="1"/>
                <w:bCs w:val="1"/>
                <w:color w:val="006098"/>
              </w:rPr>
              <w:t>Director Since</w:t>
            </w:r>
          </w:p>
        </w:tc>
        <w:tc>
          <w:tcPr>
            <w:tcW w:w="6060" w:type="dxa"/>
            <w:vAlign w:val="bottom"/>
            <w:tcBorders>
              <w:bottom w:val="single" w:sz="8" w:color="83BA90"/>
            </w:tcBorders>
          </w:tcPr>
          <w:p>
            <w:pPr>
              <w:ind w:left="180"/>
              <w:spacing w:after="0"/>
              <w:rPr>
                <w:sz w:val="20"/>
                <w:szCs w:val="20"/>
                <w:color w:val="auto"/>
              </w:rPr>
            </w:pPr>
            <w:r>
              <w:rPr>
                <w:rFonts w:ascii="Arial" w:cs="Arial" w:eastAsia="Arial" w:hAnsi="Arial"/>
                <w:sz w:val="14"/>
                <w:szCs w:val="14"/>
                <w:b w:val="1"/>
                <w:bCs w:val="1"/>
                <w:color w:val="006098"/>
              </w:rPr>
              <w:t>Position with Medpace</w:t>
            </w:r>
          </w:p>
        </w:tc>
      </w:tr>
      <w:tr>
        <w:trPr>
          <w:trHeight w:val="196"/>
        </w:trPr>
        <w:tc>
          <w:tcPr>
            <w:tcW w:w="228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3F3F3F"/>
              </w:rPr>
              <w:t>August J. Troendle</w:t>
            </w:r>
          </w:p>
        </w:tc>
        <w:tc>
          <w:tcPr>
            <w:tcW w:w="1280" w:type="dxa"/>
            <w:vAlign w:val="bottom"/>
            <w:tcBorders>
              <w:bottom w:val="single" w:sz="8" w:color="BFBFBF"/>
            </w:tcBorders>
          </w:tcPr>
          <w:p>
            <w:pPr>
              <w:jc w:val="right"/>
              <w:ind w:right="136"/>
              <w:spacing w:after="0" w:line="196" w:lineRule="exact"/>
              <w:rPr>
                <w:sz w:val="20"/>
                <w:szCs w:val="20"/>
                <w:color w:val="auto"/>
              </w:rPr>
            </w:pPr>
            <w:r>
              <w:rPr>
                <w:rFonts w:ascii="Arial" w:cs="Arial" w:eastAsia="Arial" w:hAnsi="Arial"/>
                <w:sz w:val="18"/>
                <w:szCs w:val="18"/>
                <w:color w:val="3F3F3F"/>
              </w:rPr>
              <w:t>65</w:t>
            </w:r>
          </w:p>
        </w:tc>
        <w:tc>
          <w:tcPr>
            <w:tcW w:w="1400" w:type="dxa"/>
            <w:vAlign w:val="bottom"/>
            <w:tcBorders>
              <w:bottom w:val="single" w:sz="8" w:color="BFBFBF"/>
            </w:tcBorders>
          </w:tcPr>
          <w:p>
            <w:pPr>
              <w:jc w:val="right"/>
              <w:ind w:right="99"/>
              <w:spacing w:after="0" w:line="196" w:lineRule="exact"/>
              <w:rPr>
                <w:sz w:val="20"/>
                <w:szCs w:val="20"/>
                <w:color w:val="auto"/>
              </w:rPr>
            </w:pPr>
            <w:r>
              <w:rPr>
                <w:rFonts w:ascii="Arial" w:cs="Arial" w:eastAsia="Arial" w:hAnsi="Arial"/>
                <w:sz w:val="18"/>
                <w:szCs w:val="18"/>
                <w:color w:val="3F3F3F"/>
              </w:rPr>
              <w:t>1992</w:t>
            </w:r>
          </w:p>
        </w:tc>
        <w:tc>
          <w:tcPr>
            <w:tcW w:w="6060" w:type="dxa"/>
            <w:vAlign w:val="bottom"/>
            <w:tcBorders>
              <w:bottom w:val="single" w:sz="8" w:color="BFBFBF"/>
            </w:tcBorders>
          </w:tcPr>
          <w:p>
            <w:pPr>
              <w:ind w:left="180"/>
              <w:spacing w:after="0" w:line="196" w:lineRule="exact"/>
              <w:rPr>
                <w:sz w:val="20"/>
                <w:szCs w:val="20"/>
                <w:color w:val="auto"/>
              </w:rPr>
            </w:pPr>
            <w:r>
              <w:rPr>
                <w:rFonts w:ascii="Arial" w:cs="Arial" w:eastAsia="Arial" w:hAnsi="Arial"/>
                <w:sz w:val="18"/>
                <w:szCs w:val="18"/>
                <w:color w:val="3F3F3F"/>
              </w:rPr>
              <w:t>Chief Executive Officer and Chairman of the Board</w:t>
            </w:r>
          </w:p>
        </w:tc>
      </w:tr>
      <w:tr>
        <w:trPr>
          <w:trHeight w:val="196"/>
        </w:trPr>
        <w:tc>
          <w:tcPr>
            <w:tcW w:w="228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3F3F3F"/>
              </w:rPr>
              <w:t>Ashley M. Keating</w:t>
            </w:r>
          </w:p>
        </w:tc>
        <w:tc>
          <w:tcPr>
            <w:tcW w:w="1280" w:type="dxa"/>
            <w:vAlign w:val="bottom"/>
            <w:tcBorders>
              <w:bottom w:val="single" w:sz="8" w:color="BFBFBF"/>
            </w:tcBorders>
          </w:tcPr>
          <w:p>
            <w:pPr>
              <w:jc w:val="right"/>
              <w:ind w:right="136"/>
              <w:spacing w:after="0" w:line="196" w:lineRule="exact"/>
              <w:rPr>
                <w:sz w:val="20"/>
                <w:szCs w:val="20"/>
                <w:color w:val="auto"/>
              </w:rPr>
            </w:pPr>
            <w:r>
              <w:rPr>
                <w:rFonts w:ascii="Arial" w:cs="Arial" w:eastAsia="Arial" w:hAnsi="Arial"/>
                <w:sz w:val="18"/>
                <w:szCs w:val="18"/>
                <w:color w:val="3F3F3F"/>
              </w:rPr>
              <w:t>40</w:t>
            </w:r>
          </w:p>
        </w:tc>
        <w:tc>
          <w:tcPr>
            <w:tcW w:w="1400" w:type="dxa"/>
            <w:vAlign w:val="bottom"/>
            <w:tcBorders>
              <w:bottom w:val="single" w:sz="8" w:color="BFBFBF"/>
            </w:tcBorders>
          </w:tcPr>
          <w:p>
            <w:pPr>
              <w:jc w:val="right"/>
              <w:ind w:right="99"/>
              <w:spacing w:after="0" w:line="196" w:lineRule="exact"/>
              <w:rPr>
                <w:sz w:val="20"/>
                <w:szCs w:val="20"/>
                <w:color w:val="auto"/>
              </w:rPr>
            </w:pPr>
            <w:r>
              <w:rPr>
                <w:rFonts w:ascii="Arial" w:cs="Arial" w:eastAsia="Arial" w:hAnsi="Arial"/>
                <w:sz w:val="18"/>
                <w:szCs w:val="18"/>
                <w:color w:val="3F3F3F"/>
              </w:rPr>
              <w:t>2019</w:t>
            </w:r>
          </w:p>
        </w:tc>
        <w:tc>
          <w:tcPr>
            <w:tcW w:w="6060" w:type="dxa"/>
            <w:vAlign w:val="bottom"/>
            <w:tcBorders>
              <w:bottom w:val="single" w:sz="8" w:color="BFBFBF"/>
            </w:tcBorders>
          </w:tcPr>
          <w:p>
            <w:pPr>
              <w:ind w:left="180"/>
              <w:spacing w:after="0" w:line="196" w:lineRule="exact"/>
              <w:rPr>
                <w:sz w:val="20"/>
                <w:szCs w:val="20"/>
                <w:color w:val="auto"/>
              </w:rPr>
            </w:pPr>
            <w:r>
              <w:rPr>
                <w:rFonts w:ascii="Arial" w:cs="Arial" w:eastAsia="Arial" w:hAnsi="Arial"/>
                <w:sz w:val="18"/>
                <w:szCs w:val="18"/>
                <w:color w:val="3F3F3F"/>
              </w:rPr>
              <w:t>Director</w:t>
            </w:r>
          </w:p>
        </w:tc>
      </w:tr>
    </w:tbl>
    <w:p>
      <w:pPr>
        <w:spacing w:after="0" w:line="197"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3F3F3F"/>
        </w:rPr>
        <w:t>The principal occupations and business experience, for at least the past five years, of each Class III Director Nominee for election at the 2022 Annual Meeting are as follows: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August J. Troendle</w:t>
      </w:r>
    </w:p>
    <w:p>
      <w:pPr>
        <w:spacing w:after="0" w:line="62"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520" w:type="dxa"/>
            <w:vAlign w:val="bottom"/>
            <w:tcBorders>
              <w:top w:val="single" w:sz="8" w:color="83BA90"/>
            </w:tcBorders>
            <w:shd w:val="clear" w:color="auto" w:fill="D8D8D8"/>
          </w:tcPr>
          <w:p>
            <w:pPr>
              <w:ind w:left="60"/>
              <w:spacing w:after="0"/>
              <w:rPr>
                <w:sz w:val="20"/>
                <w:szCs w:val="20"/>
                <w:color w:val="auto"/>
              </w:rPr>
            </w:pPr>
            <w:r>
              <w:rPr>
                <w:rFonts w:ascii="Arial" w:cs="Arial" w:eastAsia="Arial" w:hAnsi="Arial"/>
                <w:sz w:val="16"/>
                <w:szCs w:val="16"/>
                <w:b w:val="1"/>
                <w:bCs w:val="1"/>
                <w:color w:val="3F87B1"/>
              </w:rPr>
              <w:t xml:space="preserve">Age: </w:t>
            </w:r>
            <w:r>
              <w:rPr>
                <w:rFonts w:ascii="Arial" w:cs="Arial" w:eastAsia="Arial" w:hAnsi="Arial"/>
                <w:sz w:val="16"/>
                <w:szCs w:val="16"/>
                <w:color w:val="3F3F3F"/>
              </w:rPr>
              <w:t>65</w:t>
            </w:r>
          </w:p>
        </w:tc>
        <w:tc>
          <w:tcPr>
            <w:tcW w:w="9500" w:type="dxa"/>
            <w:vAlign w:val="bottom"/>
            <w:tcBorders>
              <w:top w:val="single" w:sz="8" w:color="83BA90"/>
            </w:tcBorders>
          </w:tcPr>
          <w:p>
            <w:pPr>
              <w:ind w:left="260"/>
              <w:spacing w:after="0"/>
              <w:rPr>
                <w:sz w:val="20"/>
                <w:szCs w:val="20"/>
                <w:color w:val="auto"/>
              </w:rPr>
            </w:pPr>
            <w:r>
              <w:rPr>
                <w:rFonts w:ascii="Arial" w:cs="Arial" w:eastAsia="Arial" w:hAnsi="Arial"/>
                <w:sz w:val="18"/>
                <w:szCs w:val="18"/>
                <w:color w:val="3F3F3F"/>
              </w:rPr>
              <w:t>August J. Troendle, M.D. has been the Chief Executive Officer and Chairman of the Board of Medpace since he</w:t>
            </w:r>
          </w:p>
        </w:tc>
      </w:tr>
      <w:tr>
        <w:trPr>
          <w:trHeight w:val="202"/>
        </w:trPr>
        <w:tc>
          <w:tcPr>
            <w:tcW w:w="1520" w:type="dxa"/>
            <w:vAlign w:val="bottom"/>
            <w:shd w:val="clear" w:color="auto" w:fill="D8D8D8"/>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rPr>
              <w:t>founded the Company in July 1992, and also was the President through July 31, 2021. Before founding Medpace,</w:t>
            </w:r>
          </w:p>
        </w:tc>
      </w:tr>
      <w:tr>
        <w:trPr>
          <w:trHeight w:val="203"/>
        </w:trPr>
        <w:tc>
          <w:tcPr>
            <w:tcW w:w="1520" w:type="dxa"/>
            <w:vAlign w:val="bottom"/>
            <w:shd w:val="clear" w:color="auto" w:fill="D8D8D8"/>
          </w:tcPr>
          <w:p>
            <w:pPr>
              <w:ind w:left="60"/>
              <w:spacing w:after="0"/>
              <w:rPr>
                <w:sz w:val="20"/>
                <w:szCs w:val="20"/>
                <w:color w:val="auto"/>
              </w:rPr>
            </w:pPr>
            <w:r>
              <w:rPr>
                <w:rFonts w:ascii="Arial" w:cs="Arial" w:eastAsia="Arial" w:hAnsi="Arial"/>
                <w:sz w:val="16"/>
                <w:szCs w:val="16"/>
                <w:b w:val="1"/>
                <w:bCs w:val="1"/>
                <w:color w:val="3F87B1"/>
              </w:rPr>
              <w:t>Director Since:</w:t>
            </w: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rPr>
              <w:t>Mr. Troendle served as Assistant Director, Associate Director and Senior Associate Director from 1987 to 1992 at</w:t>
            </w:r>
          </w:p>
        </w:tc>
      </w:tr>
      <w:tr>
        <w:trPr>
          <w:trHeight w:val="203"/>
        </w:trPr>
        <w:tc>
          <w:tcPr>
            <w:tcW w:w="1520" w:type="dxa"/>
            <w:vAlign w:val="bottom"/>
            <w:shd w:val="clear" w:color="auto" w:fill="D8D8D8"/>
          </w:tcPr>
          <w:p>
            <w:pPr>
              <w:ind w:left="60"/>
              <w:spacing w:after="0"/>
              <w:rPr>
                <w:sz w:val="20"/>
                <w:szCs w:val="20"/>
                <w:color w:val="auto"/>
              </w:rPr>
            </w:pPr>
            <w:r>
              <w:rPr>
                <w:rFonts w:ascii="Arial" w:cs="Arial" w:eastAsia="Arial" w:hAnsi="Arial"/>
                <w:sz w:val="16"/>
                <w:szCs w:val="16"/>
                <w:color w:val="3F3F3F"/>
              </w:rPr>
              <w:t>Founding in</w:t>
            </w: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rPr>
              <w:t>Sandoz (Novartis), where he was responsible for the clinical development of lipid altering agents. From 1986 to</w:t>
            </w:r>
          </w:p>
        </w:tc>
      </w:tr>
      <w:tr>
        <w:trPr>
          <w:trHeight w:val="203"/>
        </w:trPr>
        <w:tc>
          <w:tcPr>
            <w:tcW w:w="1520" w:type="dxa"/>
            <w:vAlign w:val="bottom"/>
            <w:shd w:val="clear" w:color="auto" w:fill="D8D8D8"/>
          </w:tcPr>
          <w:p>
            <w:pPr>
              <w:ind w:left="60"/>
              <w:spacing w:after="0"/>
              <w:rPr>
                <w:sz w:val="20"/>
                <w:szCs w:val="20"/>
                <w:color w:val="auto"/>
              </w:rPr>
            </w:pPr>
            <w:r>
              <w:rPr>
                <w:rFonts w:ascii="Arial" w:cs="Arial" w:eastAsia="Arial" w:hAnsi="Arial"/>
                <w:sz w:val="16"/>
                <w:szCs w:val="16"/>
                <w:color w:val="3F3F3F"/>
              </w:rPr>
              <w:t>July 1992</w:t>
            </w: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w w:val="99"/>
              </w:rPr>
              <w:t>1987, Mr. Troendle worked as a Medical Review Officer in the Division of Metabolic and Endocrine Drug Products at</w:t>
            </w: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rPr>
              <w:t>the FDA. Mr. Troendle also has extensive experience serving as a director for a diverse group of public and private</w:t>
            </w: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w w:val="99"/>
              </w:rPr>
              <w:t>companies, including as a director of Coherus BioSciences, Inc. from 2012 to February 2018, as a director of Xenon</w:t>
            </w: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rPr>
              <w:t>Pharmaceuticals Inc. from 2007 to 2008, as a director of LIB Therapeutics, LLC since 2015, as a director of CinCor</w:t>
            </w:r>
          </w:p>
        </w:tc>
      </w:tr>
      <w:tr>
        <w:trPr>
          <w:trHeight w:val="239"/>
        </w:trPr>
        <w:tc>
          <w:tcPr>
            <w:tcW w:w="1520" w:type="dxa"/>
            <w:vAlign w:val="bottom"/>
            <w:shd w:val="clear" w:color="auto" w:fill="D8D8D8"/>
          </w:tcPr>
          <w:p>
            <w:pPr>
              <w:spacing w:after="0"/>
              <w:rPr>
                <w:sz w:val="20"/>
                <w:szCs w:val="20"/>
                <w:color w:val="auto"/>
              </w:rPr>
            </w:pPr>
          </w:p>
        </w:tc>
        <w:tc>
          <w:tcPr>
            <w:tcW w:w="9500" w:type="dxa"/>
            <w:vAlign w:val="bottom"/>
          </w:tcPr>
          <w:p>
            <w:pPr>
              <w:ind w:left="260"/>
              <w:spacing w:after="0"/>
              <w:rPr>
                <w:sz w:val="20"/>
                <w:szCs w:val="20"/>
                <w:color w:val="auto"/>
              </w:rPr>
            </w:pPr>
            <w:r>
              <w:rPr>
                <w:rFonts w:ascii="Arial" w:cs="Arial" w:eastAsia="Arial" w:hAnsi="Arial"/>
                <w:sz w:val="18"/>
                <w:szCs w:val="18"/>
                <w:color w:val="3F3F3F"/>
              </w:rPr>
              <w:t>Pharma, Inc. from March 2018 to November 2021 and as a director of CinRx Pharma, LLC since 2015.</w:t>
            </w:r>
          </w:p>
        </w:tc>
      </w:tr>
      <w:tr>
        <w:trPr>
          <w:trHeight w:val="288"/>
        </w:trPr>
        <w:tc>
          <w:tcPr>
            <w:tcW w:w="1520" w:type="dxa"/>
            <w:vAlign w:val="bottom"/>
            <w:shd w:val="clear" w:color="auto" w:fill="D8D8D8"/>
          </w:tcPr>
          <w:p>
            <w:pPr>
              <w:spacing w:after="0"/>
              <w:rPr>
                <w:sz w:val="24"/>
                <w:szCs w:val="24"/>
                <w:color w:val="auto"/>
              </w:rPr>
            </w:pPr>
          </w:p>
        </w:tc>
        <w:tc>
          <w:tcPr>
            <w:tcW w:w="9500" w:type="dxa"/>
            <w:vAlign w:val="bottom"/>
          </w:tcPr>
          <w:p>
            <w:pPr>
              <w:ind w:left="260"/>
              <w:spacing w:after="0"/>
              <w:rPr>
                <w:sz w:val="20"/>
                <w:szCs w:val="20"/>
                <w:color w:val="auto"/>
              </w:rPr>
            </w:pPr>
            <w:r>
              <w:rPr>
                <w:rFonts w:ascii="Arial" w:cs="Arial" w:eastAsia="Arial" w:hAnsi="Arial"/>
                <w:sz w:val="18"/>
                <w:szCs w:val="18"/>
                <w:color w:val="3F3F3F"/>
              </w:rPr>
              <w:t>Mr. Troendle received his Medical Degree from the University of Maryland, School of Medicine and his Master of</w:t>
            </w: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rPr>
              <w:t>Business Administration from Boston University. We believe Mr. Troendle brings to our Board valuable perspective</w:t>
            </w: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w w:val="99"/>
              </w:rPr>
              <w:t>and experience as our Chief Executive Officer, and as a former member of a large pharmaceutical company and the</w:t>
            </w: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rPr>
              <w:t>FDA, as well as extensive knowledge of the CRO and biopharmaceutical industries, and his experience serving on</w:t>
            </w:r>
          </w:p>
        </w:tc>
      </w:tr>
      <w:tr>
        <w:trPr>
          <w:trHeight w:val="255"/>
        </w:trPr>
        <w:tc>
          <w:tcPr>
            <w:tcW w:w="1520" w:type="dxa"/>
            <w:vAlign w:val="bottom"/>
            <w:tcBorders>
              <w:bottom w:val="single" w:sz="8" w:color="D8D8D8"/>
            </w:tcBorders>
            <w:shd w:val="clear" w:color="auto" w:fill="D8D8D8"/>
          </w:tcPr>
          <w:p>
            <w:pPr>
              <w:spacing w:after="0"/>
              <w:rPr>
                <w:sz w:val="22"/>
                <w:szCs w:val="22"/>
                <w:color w:val="auto"/>
              </w:rPr>
            </w:pPr>
          </w:p>
        </w:tc>
        <w:tc>
          <w:tcPr>
            <w:tcW w:w="9500" w:type="dxa"/>
            <w:vAlign w:val="bottom"/>
          </w:tcPr>
          <w:p>
            <w:pPr>
              <w:ind w:left="260"/>
              <w:spacing w:after="0"/>
              <w:rPr>
                <w:sz w:val="20"/>
                <w:szCs w:val="20"/>
                <w:color w:val="auto"/>
              </w:rPr>
            </w:pPr>
            <w:r>
              <w:rPr>
                <w:rFonts w:ascii="Arial" w:cs="Arial" w:eastAsia="Arial" w:hAnsi="Arial"/>
                <w:sz w:val="18"/>
                <w:szCs w:val="18"/>
                <w:color w:val="3F3F3F"/>
              </w:rPr>
              <w:t>public and private boards, all of which qualify him to serve as the Chairman of our Board.</w:t>
            </w:r>
          </w:p>
        </w:tc>
      </w:tr>
      <w:tr>
        <w:trPr>
          <w:trHeight w:val="552"/>
        </w:trPr>
        <w:tc>
          <w:tcPr>
            <w:tcW w:w="1520" w:type="dxa"/>
            <w:vAlign w:val="bottom"/>
          </w:tcPr>
          <w:p>
            <w:pPr>
              <w:spacing w:after="0"/>
              <w:rPr>
                <w:sz w:val="20"/>
                <w:szCs w:val="20"/>
                <w:color w:val="auto"/>
              </w:rPr>
            </w:pPr>
            <w:r>
              <w:rPr>
                <w:rFonts w:ascii="Arial" w:cs="Arial" w:eastAsia="Arial" w:hAnsi="Arial"/>
                <w:sz w:val="18"/>
                <w:szCs w:val="18"/>
                <w:b w:val="1"/>
                <w:bCs w:val="1"/>
                <w:color w:val="006098"/>
                <w:w w:val="95"/>
              </w:rPr>
              <w:t>Ashley M. Keating</w:t>
            </w:r>
          </w:p>
        </w:tc>
        <w:tc>
          <w:tcPr>
            <w:tcW w:w="9500" w:type="dxa"/>
            <w:vAlign w:val="bottom"/>
          </w:tcPr>
          <w:p>
            <w:pPr>
              <w:spacing w:after="0"/>
              <w:rPr>
                <w:sz w:val="24"/>
                <w:szCs w:val="24"/>
                <w:color w:val="auto"/>
              </w:rPr>
            </w:pPr>
          </w:p>
        </w:tc>
      </w:tr>
      <w:tr>
        <w:trPr>
          <w:trHeight w:val="42"/>
        </w:trPr>
        <w:tc>
          <w:tcPr>
            <w:tcW w:w="1520" w:type="dxa"/>
            <w:vAlign w:val="bottom"/>
            <w:tcBorders>
              <w:bottom w:val="single" w:sz="8" w:color="83BA90"/>
            </w:tcBorders>
          </w:tcPr>
          <w:p>
            <w:pPr>
              <w:spacing w:after="0"/>
              <w:rPr>
                <w:sz w:val="3"/>
                <w:szCs w:val="3"/>
                <w:color w:val="auto"/>
              </w:rPr>
            </w:pPr>
          </w:p>
        </w:tc>
        <w:tc>
          <w:tcPr>
            <w:tcW w:w="9500" w:type="dxa"/>
            <w:vAlign w:val="bottom"/>
            <w:tcBorders>
              <w:bottom w:val="single" w:sz="8" w:color="83BA90"/>
            </w:tcBorders>
          </w:tcPr>
          <w:p>
            <w:pPr>
              <w:spacing w:after="0"/>
              <w:rPr>
                <w:sz w:val="3"/>
                <w:szCs w:val="3"/>
                <w:color w:val="auto"/>
              </w:rPr>
            </w:pPr>
          </w:p>
        </w:tc>
      </w:tr>
      <w:tr>
        <w:trPr>
          <w:trHeight w:val="218"/>
        </w:trPr>
        <w:tc>
          <w:tcPr>
            <w:tcW w:w="1520" w:type="dxa"/>
            <w:vAlign w:val="bottom"/>
            <w:shd w:val="clear" w:color="auto" w:fill="D8D8D8"/>
          </w:tcPr>
          <w:p>
            <w:pPr>
              <w:ind w:left="60"/>
              <w:spacing w:after="0"/>
              <w:rPr>
                <w:sz w:val="20"/>
                <w:szCs w:val="20"/>
                <w:color w:val="auto"/>
              </w:rPr>
            </w:pPr>
            <w:r>
              <w:rPr>
                <w:rFonts w:ascii="Arial" w:cs="Arial" w:eastAsia="Arial" w:hAnsi="Arial"/>
                <w:sz w:val="16"/>
                <w:szCs w:val="16"/>
                <w:b w:val="1"/>
                <w:bCs w:val="1"/>
                <w:color w:val="3F87B1"/>
              </w:rPr>
              <w:t xml:space="preserve">Age: </w:t>
            </w:r>
            <w:r>
              <w:rPr>
                <w:rFonts w:ascii="Arial" w:cs="Arial" w:eastAsia="Arial" w:hAnsi="Arial"/>
                <w:sz w:val="16"/>
                <w:szCs w:val="16"/>
                <w:color w:val="3F3F3F"/>
              </w:rPr>
              <w:t>40</w:t>
            </w:r>
          </w:p>
        </w:tc>
        <w:tc>
          <w:tcPr>
            <w:tcW w:w="9500" w:type="dxa"/>
            <w:vAlign w:val="bottom"/>
            <w:tcBorders>
              <w:left w:val="single" w:sz="8" w:color="D8D8D8"/>
            </w:tcBorders>
          </w:tcPr>
          <w:p>
            <w:pPr>
              <w:ind w:left="580"/>
              <w:spacing w:after="0"/>
              <w:rPr>
                <w:sz w:val="20"/>
                <w:szCs w:val="20"/>
                <w:color w:val="auto"/>
              </w:rPr>
            </w:pPr>
            <w:r>
              <w:rPr>
                <w:rFonts w:ascii="Arial" w:cs="Arial" w:eastAsia="Arial" w:hAnsi="Arial"/>
                <w:sz w:val="18"/>
                <w:szCs w:val="18"/>
                <w:color w:val="3F3F3F"/>
              </w:rPr>
              <w:t>Ms. Keating is currently the Chief Financial Officer of CincyTech, one of the most active seed-stage investors in</w:t>
            </w: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Borders>
              <w:left w:val="single" w:sz="8" w:color="D8D8D8"/>
            </w:tcBorders>
          </w:tcPr>
          <w:p>
            <w:pPr>
              <w:ind w:left="580"/>
              <w:spacing w:after="0" w:line="202" w:lineRule="exact"/>
              <w:rPr>
                <w:sz w:val="20"/>
                <w:szCs w:val="20"/>
                <w:color w:val="auto"/>
              </w:rPr>
            </w:pPr>
            <w:r>
              <w:rPr>
                <w:rFonts w:ascii="Arial" w:cs="Arial" w:eastAsia="Arial" w:hAnsi="Arial"/>
                <w:sz w:val="18"/>
                <w:szCs w:val="18"/>
                <w:color w:val="3F3F3F"/>
              </w:rPr>
              <w:t>the Midwest focused on providing startup capital and guidance to human health and technology companies</w:t>
            </w:r>
          </w:p>
        </w:tc>
      </w:tr>
      <w:tr>
        <w:trPr>
          <w:trHeight w:val="203"/>
        </w:trPr>
        <w:tc>
          <w:tcPr>
            <w:tcW w:w="1520" w:type="dxa"/>
            <w:vAlign w:val="bottom"/>
            <w:shd w:val="clear" w:color="auto" w:fill="D8D8D8"/>
          </w:tcPr>
          <w:p>
            <w:pPr>
              <w:ind w:left="60"/>
              <w:spacing w:after="0"/>
              <w:rPr>
                <w:sz w:val="20"/>
                <w:szCs w:val="20"/>
                <w:color w:val="auto"/>
              </w:rPr>
            </w:pPr>
            <w:r>
              <w:rPr>
                <w:rFonts w:ascii="Arial" w:cs="Arial" w:eastAsia="Arial" w:hAnsi="Arial"/>
                <w:sz w:val="16"/>
                <w:szCs w:val="16"/>
                <w:b w:val="1"/>
                <w:bCs w:val="1"/>
                <w:color w:val="3F87B1"/>
              </w:rPr>
              <w:t>Director Since:</w:t>
            </w:r>
          </w:p>
        </w:tc>
        <w:tc>
          <w:tcPr>
            <w:tcW w:w="9500" w:type="dxa"/>
            <w:vAlign w:val="bottom"/>
            <w:tcBorders>
              <w:left w:val="single" w:sz="8" w:color="D8D8D8"/>
            </w:tcBorders>
          </w:tcPr>
          <w:p>
            <w:pPr>
              <w:ind w:left="580"/>
              <w:spacing w:after="0" w:line="202" w:lineRule="exact"/>
              <w:rPr>
                <w:sz w:val="20"/>
                <w:szCs w:val="20"/>
                <w:color w:val="auto"/>
              </w:rPr>
            </w:pPr>
            <w:r>
              <w:rPr>
                <w:rFonts w:ascii="Arial" w:cs="Arial" w:eastAsia="Arial" w:hAnsi="Arial"/>
                <w:sz w:val="18"/>
                <w:szCs w:val="18"/>
                <w:color w:val="3F3F3F"/>
              </w:rPr>
              <w:t>primarily in Southwest Ohio. Ms. Keating has held this position since 2016. From 2005 to April 2016,</w:t>
            </w:r>
          </w:p>
        </w:tc>
      </w:tr>
      <w:tr>
        <w:trPr>
          <w:trHeight w:val="203"/>
        </w:trPr>
        <w:tc>
          <w:tcPr>
            <w:tcW w:w="1520" w:type="dxa"/>
            <w:vAlign w:val="bottom"/>
            <w:shd w:val="clear" w:color="auto" w:fill="D8D8D8"/>
          </w:tcPr>
          <w:p>
            <w:pPr>
              <w:ind w:left="60"/>
              <w:spacing w:after="0"/>
              <w:rPr>
                <w:sz w:val="20"/>
                <w:szCs w:val="20"/>
                <w:color w:val="auto"/>
              </w:rPr>
            </w:pPr>
            <w:r>
              <w:rPr>
                <w:rFonts w:ascii="Arial" w:cs="Arial" w:eastAsia="Arial" w:hAnsi="Arial"/>
                <w:sz w:val="16"/>
                <w:szCs w:val="16"/>
                <w:color w:val="3F3F3F"/>
              </w:rPr>
              <w:t>May 17, 2019</w:t>
            </w:r>
          </w:p>
        </w:tc>
        <w:tc>
          <w:tcPr>
            <w:tcW w:w="9500" w:type="dxa"/>
            <w:vAlign w:val="bottom"/>
            <w:tcBorders>
              <w:left w:val="single" w:sz="8" w:color="D8D8D8"/>
            </w:tcBorders>
          </w:tcPr>
          <w:p>
            <w:pPr>
              <w:ind w:left="580"/>
              <w:spacing w:after="0" w:line="202" w:lineRule="exact"/>
              <w:rPr>
                <w:sz w:val="20"/>
                <w:szCs w:val="20"/>
                <w:color w:val="auto"/>
              </w:rPr>
            </w:pPr>
            <w:r>
              <w:rPr>
                <w:rFonts w:ascii="Arial" w:cs="Arial" w:eastAsia="Arial" w:hAnsi="Arial"/>
                <w:sz w:val="18"/>
                <w:szCs w:val="18"/>
                <w:color w:val="3F3F3F"/>
              </w:rPr>
              <w:t>Ms. Keating worked at PricewaterhouseCoopers (PwC) where she focused on finance, operations, business</w:t>
            </w: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Borders>
              <w:left w:val="single" w:sz="8" w:color="D8D8D8"/>
            </w:tcBorders>
          </w:tcPr>
          <w:p>
            <w:pPr>
              <w:ind w:left="580"/>
              <w:spacing w:after="0" w:line="202" w:lineRule="exact"/>
              <w:rPr>
                <w:sz w:val="20"/>
                <w:szCs w:val="20"/>
                <w:color w:val="auto"/>
              </w:rPr>
            </w:pPr>
            <w:r>
              <w:rPr>
                <w:rFonts w:ascii="Arial" w:cs="Arial" w:eastAsia="Arial" w:hAnsi="Arial"/>
                <w:sz w:val="18"/>
                <w:szCs w:val="18"/>
                <w:color w:val="3F3F3F"/>
              </w:rPr>
              <w:t>leadership and mergers and acquisitions. She began her career in audit services at PwC’s Cincinnati office and</w:t>
            </w:r>
          </w:p>
        </w:tc>
      </w:tr>
      <w:tr>
        <w:trPr>
          <w:trHeight w:val="239"/>
        </w:trPr>
        <w:tc>
          <w:tcPr>
            <w:tcW w:w="1520" w:type="dxa"/>
            <w:vAlign w:val="bottom"/>
            <w:shd w:val="clear" w:color="auto" w:fill="D8D8D8"/>
          </w:tcPr>
          <w:p>
            <w:pPr>
              <w:spacing w:after="0"/>
              <w:rPr>
                <w:sz w:val="20"/>
                <w:szCs w:val="20"/>
                <w:color w:val="auto"/>
              </w:rPr>
            </w:pPr>
          </w:p>
        </w:tc>
        <w:tc>
          <w:tcPr>
            <w:tcW w:w="9500" w:type="dxa"/>
            <w:vAlign w:val="bottom"/>
            <w:tcBorders>
              <w:left w:val="single" w:sz="8" w:color="D8D8D8"/>
            </w:tcBorders>
          </w:tcPr>
          <w:p>
            <w:pPr>
              <w:ind w:left="580"/>
              <w:spacing w:after="0"/>
              <w:rPr>
                <w:sz w:val="20"/>
                <w:szCs w:val="20"/>
                <w:color w:val="auto"/>
              </w:rPr>
            </w:pPr>
            <w:r>
              <w:rPr>
                <w:rFonts w:ascii="Arial" w:cs="Arial" w:eastAsia="Arial" w:hAnsi="Arial"/>
                <w:sz w:val="18"/>
                <w:szCs w:val="18"/>
                <w:color w:val="3F3F3F"/>
              </w:rPr>
              <w:t>later transferred to PwC’s transaction services practice in the New York and London offices.</w:t>
            </w:r>
          </w:p>
        </w:tc>
      </w:tr>
      <w:tr>
        <w:trPr>
          <w:trHeight w:val="288"/>
        </w:trPr>
        <w:tc>
          <w:tcPr>
            <w:tcW w:w="1520" w:type="dxa"/>
            <w:vAlign w:val="bottom"/>
            <w:shd w:val="clear" w:color="auto" w:fill="D8D8D8"/>
          </w:tcPr>
          <w:p>
            <w:pPr>
              <w:spacing w:after="0"/>
              <w:rPr>
                <w:sz w:val="24"/>
                <w:szCs w:val="24"/>
                <w:color w:val="auto"/>
              </w:rPr>
            </w:pPr>
          </w:p>
        </w:tc>
        <w:tc>
          <w:tcPr>
            <w:tcW w:w="9500" w:type="dxa"/>
            <w:vAlign w:val="bottom"/>
            <w:tcBorders>
              <w:left w:val="single" w:sz="8" w:color="D8D8D8"/>
            </w:tcBorders>
          </w:tcPr>
          <w:p>
            <w:pPr>
              <w:ind w:left="580"/>
              <w:spacing w:after="0"/>
              <w:rPr>
                <w:sz w:val="20"/>
                <w:szCs w:val="20"/>
                <w:color w:val="auto"/>
              </w:rPr>
            </w:pPr>
            <w:r>
              <w:rPr>
                <w:rFonts w:ascii="Arial" w:cs="Arial" w:eastAsia="Arial" w:hAnsi="Arial"/>
                <w:sz w:val="18"/>
                <w:szCs w:val="18"/>
                <w:color w:val="3F3F3F"/>
              </w:rPr>
              <w:t>Ms. Keating is a Certified Public Accountant. She received her Bachelor of Business Administration in</w:t>
            </w: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Borders>
              <w:left w:val="single" w:sz="8" w:color="D8D8D8"/>
            </w:tcBorders>
          </w:tcPr>
          <w:p>
            <w:pPr>
              <w:ind w:left="580"/>
              <w:spacing w:after="0" w:line="202" w:lineRule="exact"/>
              <w:rPr>
                <w:sz w:val="20"/>
                <w:szCs w:val="20"/>
                <w:color w:val="auto"/>
              </w:rPr>
            </w:pPr>
            <w:r>
              <w:rPr>
                <w:rFonts w:ascii="Arial" w:cs="Arial" w:eastAsia="Arial" w:hAnsi="Arial"/>
                <w:sz w:val="18"/>
                <w:szCs w:val="18"/>
                <w:color w:val="3F3F3F"/>
              </w:rPr>
              <w:t>Accounting and Finance from Ohio University. While at Ohio University Ms. Keating played on the women’s golf</w:t>
            </w: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Borders>
              <w:left w:val="single" w:sz="8" w:color="D8D8D8"/>
            </w:tcBorders>
          </w:tcPr>
          <w:p>
            <w:pPr>
              <w:ind w:left="580"/>
              <w:spacing w:after="0" w:line="202" w:lineRule="exact"/>
              <w:rPr>
                <w:sz w:val="20"/>
                <w:szCs w:val="20"/>
                <w:color w:val="auto"/>
              </w:rPr>
            </w:pPr>
            <w:r>
              <w:rPr>
                <w:rFonts w:ascii="Arial" w:cs="Arial" w:eastAsia="Arial" w:hAnsi="Arial"/>
                <w:sz w:val="18"/>
                <w:szCs w:val="18"/>
                <w:color w:val="3F3F3F"/>
              </w:rPr>
              <w:t>team and was named a Division I All-American Scholar. Ms. Keating was chosen as a director because of her</w:t>
            </w:r>
          </w:p>
        </w:tc>
      </w:tr>
      <w:tr>
        <w:trPr>
          <w:trHeight w:val="255"/>
        </w:trPr>
        <w:tc>
          <w:tcPr>
            <w:tcW w:w="1520" w:type="dxa"/>
            <w:vAlign w:val="bottom"/>
            <w:tcBorders>
              <w:bottom w:val="single" w:sz="8" w:color="D8D8D8"/>
            </w:tcBorders>
            <w:shd w:val="clear" w:color="auto" w:fill="D8D8D8"/>
          </w:tcPr>
          <w:p>
            <w:pPr>
              <w:spacing w:after="0"/>
              <w:rPr>
                <w:sz w:val="22"/>
                <w:szCs w:val="22"/>
                <w:color w:val="auto"/>
              </w:rPr>
            </w:pPr>
          </w:p>
        </w:tc>
        <w:tc>
          <w:tcPr>
            <w:tcW w:w="9500" w:type="dxa"/>
            <w:vAlign w:val="bottom"/>
            <w:tcBorders>
              <w:left w:val="single" w:sz="8" w:color="D8D8D8"/>
            </w:tcBorders>
          </w:tcPr>
          <w:p>
            <w:pPr>
              <w:ind w:left="580"/>
              <w:spacing w:after="0"/>
              <w:rPr>
                <w:sz w:val="20"/>
                <w:szCs w:val="20"/>
                <w:color w:val="auto"/>
              </w:rPr>
            </w:pPr>
            <w:r>
              <w:rPr>
                <w:rFonts w:ascii="Arial" w:cs="Arial" w:eastAsia="Arial" w:hAnsi="Arial"/>
                <w:sz w:val="18"/>
                <w:szCs w:val="18"/>
                <w:color w:val="3F3F3F"/>
              </w:rPr>
              <w:t>experience with biotech funding and her financial and accounting experience.</w:t>
            </w:r>
          </w:p>
        </w:tc>
      </w:tr>
      <w:tr>
        <w:trPr>
          <w:trHeight w:val="369"/>
        </w:trPr>
        <w:tc>
          <w:tcPr>
            <w:tcW w:w="1520" w:type="dxa"/>
            <w:vAlign w:val="bottom"/>
          </w:tcPr>
          <w:p>
            <w:pPr>
              <w:spacing w:after="0"/>
              <w:rPr>
                <w:sz w:val="24"/>
                <w:szCs w:val="24"/>
                <w:color w:val="auto"/>
              </w:rPr>
            </w:pPr>
          </w:p>
        </w:tc>
        <w:tc>
          <w:tcPr>
            <w:tcW w:w="9500" w:type="dxa"/>
            <w:vAlign w:val="bottom"/>
          </w:tcPr>
          <w:p>
            <w:pPr>
              <w:ind w:left="3940"/>
              <w:spacing w:after="0"/>
              <w:rPr>
                <w:sz w:val="20"/>
                <w:szCs w:val="20"/>
                <w:color w:val="auto"/>
              </w:rPr>
            </w:pPr>
            <w:r>
              <w:rPr>
                <w:rFonts w:ascii="Arial" w:cs="Arial" w:eastAsia="Arial" w:hAnsi="Arial"/>
                <w:sz w:val="18"/>
                <w:szCs w:val="18"/>
                <w:color w:val="3F3F3F"/>
              </w:rPr>
              <w:t>9</w:t>
            </w: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PROPOSAL 1 – ELECTION OF DIRECTORS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CLASS I DIRECTORS (TERMS TO EXPIRE AT THE 2023 ANNUAL MEETING)</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current members of the Board who are Class I Directors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jc w:val="right"/>
              <w:ind w:right="197"/>
              <w:spacing w:after="0"/>
              <w:rPr>
                <w:sz w:val="20"/>
                <w:szCs w:val="20"/>
                <w:color w:val="auto"/>
              </w:rPr>
            </w:pPr>
            <w:r>
              <w:rPr>
                <w:rFonts w:ascii="Arial" w:cs="Arial" w:eastAsia="Arial" w:hAnsi="Arial"/>
                <w:sz w:val="14"/>
                <w:szCs w:val="14"/>
                <w:b w:val="1"/>
                <w:bCs w:val="1"/>
                <w:color w:val="006098"/>
              </w:rPr>
              <w:t>Served as a</w:t>
            </w:r>
          </w:p>
        </w:tc>
        <w:tc>
          <w:tcPr>
            <w:tcW w:w="6080" w:type="dxa"/>
            <w:vAlign w:val="bottom"/>
          </w:tcPr>
          <w:p>
            <w:pPr>
              <w:spacing w:after="0"/>
              <w:rPr>
                <w:sz w:val="14"/>
                <w:szCs w:val="14"/>
                <w:color w:val="auto"/>
              </w:rPr>
            </w:pPr>
          </w:p>
        </w:tc>
      </w:tr>
      <w:tr>
        <w:trPr>
          <w:trHeight w:val="185"/>
        </w:trPr>
        <w:tc>
          <w:tcPr>
            <w:tcW w:w="2140" w:type="dxa"/>
            <w:vAlign w:val="bottom"/>
            <w:tcBorders>
              <w:bottom w:val="single" w:sz="8" w:color="83BA90"/>
            </w:tcBorders>
          </w:tcPr>
          <w:p>
            <w:pPr>
              <w:spacing w:after="0"/>
              <w:rPr>
                <w:sz w:val="20"/>
                <w:szCs w:val="20"/>
                <w:color w:val="auto"/>
              </w:rPr>
            </w:pPr>
            <w:r>
              <w:rPr>
                <w:rFonts w:ascii="Arial" w:cs="Arial" w:eastAsia="Arial" w:hAnsi="Arial"/>
                <w:sz w:val="14"/>
                <w:szCs w:val="14"/>
                <w:b w:val="1"/>
                <w:bCs w:val="1"/>
                <w:color w:val="006098"/>
              </w:rPr>
              <w:t>Name</w:t>
            </w:r>
          </w:p>
        </w:tc>
        <w:tc>
          <w:tcPr>
            <w:tcW w:w="1380" w:type="dxa"/>
            <w:vAlign w:val="bottom"/>
            <w:tcBorders>
              <w:bottom w:val="single" w:sz="8" w:color="83BA90"/>
            </w:tcBorders>
          </w:tcPr>
          <w:p>
            <w:pPr>
              <w:jc w:val="right"/>
              <w:ind w:right="155"/>
              <w:spacing w:after="0"/>
              <w:rPr>
                <w:sz w:val="20"/>
                <w:szCs w:val="20"/>
                <w:color w:val="auto"/>
              </w:rPr>
            </w:pPr>
            <w:r>
              <w:rPr>
                <w:rFonts w:ascii="Arial" w:cs="Arial" w:eastAsia="Arial" w:hAnsi="Arial"/>
                <w:sz w:val="14"/>
                <w:szCs w:val="14"/>
                <w:b w:val="1"/>
                <w:bCs w:val="1"/>
                <w:color w:val="006098"/>
              </w:rPr>
              <w:t>Age</w:t>
            </w:r>
          </w:p>
        </w:tc>
        <w:tc>
          <w:tcPr>
            <w:tcW w:w="1420" w:type="dxa"/>
            <w:vAlign w:val="bottom"/>
            <w:tcBorders>
              <w:bottom w:val="single" w:sz="8" w:color="83BA90"/>
            </w:tcBorders>
          </w:tcPr>
          <w:p>
            <w:pPr>
              <w:jc w:val="right"/>
              <w:ind w:right="117"/>
              <w:spacing w:after="0"/>
              <w:rPr>
                <w:sz w:val="20"/>
                <w:szCs w:val="20"/>
                <w:color w:val="auto"/>
              </w:rPr>
            </w:pPr>
            <w:r>
              <w:rPr>
                <w:rFonts w:ascii="Arial" w:cs="Arial" w:eastAsia="Arial" w:hAnsi="Arial"/>
                <w:sz w:val="14"/>
                <w:szCs w:val="14"/>
                <w:b w:val="1"/>
                <w:bCs w:val="1"/>
                <w:color w:val="006098"/>
              </w:rPr>
              <w:t>Director Since</w:t>
            </w:r>
          </w:p>
        </w:tc>
        <w:tc>
          <w:tcPr>
            <w:tcW w:w="6080" w:type="dxa"/>
            <w:vAlign w:val="bottom"/>
            <w:tcBorders>
              <w:bottom w:val="single" w:sz="8" w:color="83BA90"/>
            </w:tcBorders>
          </w:tcPr>
          <w:p>
            <w:pPr>
              <w:ind w:left="180"/>
              <w:spacing w:after="0"/>
              <w:rPr>
                <w:sz w:val="20"/>
                <w:szCs w:val="20"/>
                <w:color w:val="auto"/>
              </w:rPr>
            </w:pPr>
            <w:r>
              <w:rPr>
                <w:rFonts w:ascii="Arial" w:cs="Arial" w:eastAsia="Arial" w:hAnsi="Arial"/>
                <w:sz w:val="14"/>
                <w:szCs w:val="14"/>
                <w:b w:val="1"/>
                <w:bCs w:val="1"/>
                <w:color w:val="006098"/>
              </w:rPr>
              <w:t>Position with Medpace</w:t>
            </w:r>
          </w:p>
        </w:tc>
      </w:tr>
      <w:tr>
        <w:trPr>
          <w:trHeight w:val="196"/>
        </w:trPr>
        <w:tc>
          <w:tcPr>
            <w:tcW w:w="21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3F3F3F"/>
              </w:rPr>
              <w:t>Brian T. Carley</w:t>
            </w:r>
          </w:p>
        </w:tc>
        <w:tc>
          <w:tcPr>
            <w:tcW w:w="1380" w:type="dxa"/>
            <w:vAlign w:val="bottom"/>
            <w:tcBorders>
              <w:bottom w:val="single" w:sz="8" w:color="BFBFBF"/>
            </w:tcBorders>
          </w:tcPr>
          <w:p>
            <w:pPr>
              <w:jc w:val="right"/>
              <w:ind w:right="135"/>
              <w:spacing w:after="0" w:line="196" w:lineRule="exact"/>
              <w:rPr>
                <w:sz w:val="20"/>
                <w:szCs w:val="20"/>
                <w:color w:val="auto"/>
              </w:rPr>
            </w:pPr>
            <w:r>
              <w:rPr>
                <w:rFonts w:ascii="Arial" w:cs="Arial" w:eastAsia="Arial" w:hAnsi="Arial"/>
                <w:sz w:val="18"/>
                <w:szCs w:val="18"/>
                <w:color w:val="3F3F3F"/>
              </w:rPr>
              <w:t>68</w:t>
            </w:r>
          </w:p>
        </w:tc>
        <w:tc>
          <w:tcPr>
            <w:tcW w:w="1420" w:type="dxa"/>
            <w:vAlign w:val="bottom"/>
            <w:tcBorders>
              <w:bottom w:val="single" w:sz="8" w:color="BFBFBF"/>
            </w:tcBorders>
          </w:tcPr>
          <w:p>
            <w:pPr>
              <w:jc w:val="right"/>
              <w:ind w:right="117"/>
              <w:spacing w:after="0" w:line="196" w:lineRule="exact"/>
              <w:rPr>
                <w:sz w:val="20"/>
                <w:szCs w:val="20"/>
                <w:color w:val="auto"/>
              </w:rPr>
            </w:pPr>
            <w:r>
              <w:rPr>
                <w:rFonts w:ascii="Arial" w:cs="Arial" w:eastAsia="Arial" w:hAnsi="Arial"/>
                <w:sz w:val="18"/>
                <w:szCs w:val="18"/>
                <w:color w:val="3F3F3F"/>
              </w:rPr>
              <w:t>2016</w:t>
            </w:r>
          </w:p>
        </w:tc>
        <w:tc>
          <w:tcPr>
            <w:tcW w:w="6080" w:type="dxa"/>
            <w:vAlign w:val="bottom"/>
            <w:tcBorders>
              <w:bottom w:val="single" w:sz="8" w:color="BFBFBF"/>
            </w:tcBorders>
          </w:tcPr>
          <w:p>
            <w:pPr>
              <w:ind w:left="180"/>
              <w:spacing w:after="0" w:line="196" w:lineRule="exact"/>
              <w:rPr>
                <w:sz w:val="20"/>
                <w:szCs w:val="20"/>
                <w:color w:val="auto"/>
              </w:rPr>
            </w:pPr>
            <w:r>
              <w:rPr>
                <w:rFonts w:ascii="Arial" w:cs="Arial" w:eastAsia="Arial" w:hAnsi="Arial"/>
                <w:sz w:val="18"/>
                <w:szCs w:val="18"/>
                <w:color w:val="3F3F3F"/>
              </w:rPr>
              <w:t>Director</w:t>
            </w:r>
          </w:p>
        </w:tc>
      </w:tr>
      <w:tr>
        <w:trPr>
          <w:trHeight w:val="196"/>
        </w:trPr>
        <w:tc>
          <w:tcPr>
            <w:tcW w:w="21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3F3F3F"/>
              </w:rPr>
              <w:t>Thomas C. King</w:t>
            </w:r>
          </w:p>
        </w:tc>
        <w:tc>
          <w:tcPr>
            <w:tcW w:w="1380" w:type="dxa"/>
            <w:vAlign w:val="bottom"/>
            <w:tcBorders>
              <w:bottom w:val="single" w:sz="8" w:color="BFBFBF"/>
            </w:tcBorders>
          </w:tcPr>
          <w:p>
            <w:pPr>
              <w:jc w:val="right"/>
              <w:ind w:right="135"/>
              <w:spacing w:after="0" w:line="196" w:lineRule="exact"/>
              <w:rPr>
                <w:sz w:val="20"/>
                <w:szCs w:val="20"/>
                <w:color w:val="auto"/>
              </w:rPr>
            </w:pPr>
            <w:r>
              <w:rPr>
                <w:rFonts w:ascii="Arial" w:cs="Arial" w:eastAsia="Arial" w:hAnsi="Arial"/>
                <w:sz w:val="18"/>
                <w:szCs w:val="18"/>
                <w:color w:val="3F3F3F"/>
              </w:rPr>
              <w:t>64</w:t>
            </w:r>
          </w:p>
        </w:tc>
        <w:tc>
          <w:tcPr>
            <w:tcW w:w="1420" w:type="dxa"/>
            <w:vAlign w:val="bottom"/>
            <w:tcBorders>
              <w:bottom w:val="single" w:sz="8" w:color="BFBFBF"/>
            </w:tcBorders>
          </w:tcPr>
          <w:p>
            <w:pPr>
              <w:jc w:val="right"/>
              <w:ind w:right="117"/>
              <w:spacing w:after="0" w:line="196" w:lineRule="exact"/>
              <w:rPr>
                <w:sz w:val="20"/>
                <w:szCs w:val="20"/>
                <w:color w:val="auto"/>
              </w:rPr>
            </w:pPr>
            <w:r>
              <w:rPr>
                <w:rFonts w:ascii="Arial" w:cs="Arial" w:eastAsia="Arial" w:hAnsi="Arial"/>
                <w:sz w:val="18"/>
                <w:szCs w:val="18"/>
                <w:color w:val="3F3F3F"/>
              </w:rPr>
              <w:t>2019</w:t>
            </w:r>
          </w:p>
        </w:tc>
        <w:tc>
          <w:tcPr>
            <w:tcW w:w="6080" w:type="dxa"/>
            <w:vAlign w:val="bottom"/>
            <w:tcBorders>
              <w:bottom w:val="single" w:sz="8" w:color="BFBFBF"/>
            </w:tcBorders>
          </w:tcPr>
          <w:p>
            <w:pPr>
              <w:ind w:left="180"/>
              <w:spacing w:after="0" w:line="196" w:lineRule="exact"/>
              <w:rPr>
                <w:sz w:val="20"/>
                <w:szCs w:val="20"/>
                <w:color w:val="auto"/>
              </w:rPr>
            </w:pPr>
            <w:r>
              <w:rPr>
                <w:rFonts w:ascii="Arial" w:cs="Arial" w:eastAsia="Arial" w:hAnsi="Arial"/>
                <w:sz w:val="18"/>
                <w:szCs w:val="18"/>
                <w:color w:val="3F3F3F"/>
              </w:rPr>
              <w:t>Director</w:t>
            </w:r>
          </w:p>
        </w:tc>
      </w:tr>
      <w:tr>
        <w:trPr>
          <w:trHeight w:val="196"/>
        </w:trPr>
        <w:tc>
          <w:tcPr>
            <w:tcW w:w="21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3F3F3F"/>
              </w:rPr>
              <w:t>Robert O. Kraft</w:t>
            </w:r>
          </w:p>
        </w:tc>
        <w:tc>
          <w:tcPr>
            <w:tcW w:w="1380" w:type="dxa"/>
            <w:vAlign w:val="bottom"/>
            <w:tcBorders>
              <w:bottom w:val="single" w:sz="8" w:color="BFBFBF"/>
            </w:tcBorders>
          </w:tcPr>
          <w:p>
            <w:pPr>
              <w:jc w:val="right"/>
              <w:ind w:right="135"/>
              <w:spacing w:after="0" w:line="196" w:lineRule="exact"/>
              <w:rPr>
                <w:sz w:val="20"/>
                <w:szCs w:val="20"/>
                <w:color w:val="auto"/>
              </w:rPr>
            </w:pPr>
            <w:r>
              <w:rPr>
                <w:rFonts w:ascii="Arial" w:cs="Arial" w:eastAsia="Arial" w:hAnsi="Arial"/>
                <w:sz w:val="18"/>
                <w:szCs w:val="18"/>
                <w:color w:val="3F3F3F"/>
              </w:rPr>
              <w:t>51</w:t>
            </w:r>
          </w:p>
        </w:tc>
        <w:tc>
          <w:tcPr>
            <w:tcW w:w="1420" w:type="dxa"/>
            <w:vAlign w:val="bottom"/>
            <w:tcBorders>
              <w:bottom w:val="single" w:sz="8" w:color="BFBFBF"/>
            </w:tcBorders>
          </w:tcPr>
          <w:p>
            <w:pPr>
              <w:jc w:val="right"/>
              <w:ind w:right="117"/>
              <w:spacing w:after="0" w:line="196" w:lineRule="exact"/>
              <w:rPr>
                <w:sz w:val="20"/>
                <w:szCs w:val="20"/>
                <w:color w:val="auto"/>
              </w:rPr>
            </w:pPr>
            <w:r>
              <w:rPr>
                <w:rFonts w:ascii="Arial" w:cs="Arial" w:eastAsia="Arial" w:hAnsi="Arial"/>
                <w:sz w:val="18"/>
                <w:szCs w:val="18"/>
                <w:color w:val="3F3F3F"/>
              </w:rPr>
              <w:t>2016</w:t>
            </w:r>
          </w:p>
        </w:tc>
        <w:tc>
          <w:tcPr>
            <w:tcW w:w="6080" w:type="dxa"/>
            <w:vAlign w:val="bottom"/>
            <w:tcBorders>
              <w:bottom w:val="single" w:sz="8" w:color="BFBFBF"/>
            </w:tcBorders>
          </w:tcPr>
          <w:p>
            <w:pPr>
              <w:ind w:left="180"/>
              <w:spacing w:after="0" w:line="196" w:lineRule="exact"/>
              <w:rPr>
                <w:sz w:val="20"/>
                <w:szCs w:val="20"/>
                <w:color w:val="auto"/>
              </w:rPr>
            </w:pPr>
            <w:r>
              <w:rPr>
                <w:rFonts w:ascii="Arial" w:cs="Arial" w:eastAsia="Arial" w:hAnsi="Arial"/>
                <w:sz w:val="18"/>
                <w:szCs w:val="18"/>
                <w:color w:val="3F3F3F"/>
              </w:rPr>
              <w:t>Director</w:t>
            </w: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principal occupations and business experience, for at least the past five years, of each Class I Director are as follows: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Brian T. Carley</w:t>
      </w:r>
    </w:p>
    <w:p>
      <w:pPr>
        <w:spacing w:after="0" w:line="62"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520" w:type="dxa"/>
            <w:vAlign w:val="bottom"/>
            <w:tcBorders>
              <w:top w:val="single" w:sz="8" w:color="83BA90"/>
            </w:tcBorders>
            <w:shd w:val="clear" w:color="auto" w:fill="D8D8D8"/>
          </w:tcPr>
          <w:p>
            <w:pPr>
              <w:ind w:left="60"/>
              <w:spacing w:after="0"/>
              <w:rPr>
                <w:sz w:val="20"/>
                <w:szCs w:val="20"/>
                <w:color w:val="auto"/>
              </w:rPr>
            </w:pPr>
            <w:r>
              <w:rPr>
                <w:rFonts w:ascii="Arial" w:cs="Arial" w:eastAsia="Arial" w:hAnsi="Arial"/>
                <w:sz w:val="16"/>
                <w:szCs w:val="16"/>
                <w:b w:val="1"/>
                <w:bCs w:val="1"/>
                <w:color w:val="3F87B1"/>
              </w:rPr>
              <w:t xml:space="preserve">Age: </w:t>
            </w:r>
            <w:r>
              <w:rPr>
                <w:rFonts w:ascii="Arial" w:cs="Arial" w:eastAsia="Arial" w:hAnsi="Arial"/>
                <w:sz w:val="16"/>
                <w:szCs w:val="16"/>
                <w:color w:val="3F3F3F"/>
              </w:rPr>
              <w:t>68</w:t>
            </w:r>
          </w:p>
        </w:tc>
        <w:tc>
          <w:tcPr>
            <w:tcW w:w="9500" w:type="dxa"/>
            <w:vAlign w:val="bottom"/>
            <w:tcBorders>
              <w:top w:val="single" w:sz="8" w:color="83BA90"/>
            </w:tcBorders>
          </w:tcPr>
          <w:p>
            <w:pPr>
              <w:ind w:left="260"/>
              <w:spacing w:after="0"/>
              <w:rPr>
                <w:sz w:val="20"/>
                <w:szCs w:val="20"/>
                <w:color w:val="auto"/>
              </w:rPr>
            </w:pPr>
            <w:r>
              <w:rPr>
                <w:rFonts w:ascii="Arial" w:cs="Arial" w:eastAsia="Arial" w:hAnsi="Arial"/>
                <w:sz w:val="18"/>
                <w:szCs w:val="18"/>
                <w:color w:val="3F3F3F"/>
              </w:rPr>
              <w:t>Mr. Carley is currently the Senior Vice President and Chief Financial Officer of Clubessential Holdings, LLC, a</w:t>
            </w:r>
          </w:p>
        </w:tc>
        <w:tc>
          <w:tcPr>
            <w:tcW w:w="0" w:type="dxa"/>
            <w:vAlign w:val="bottom"/>
          </w:tcPr>
          <w:p>
            <w:pPr>
              <w:spacing w:after="0"/>
              <w:rPr>
                <w:sz w:val="1"/>
                <w:szCs w:val="1"/>
                <w:color w:val="auto"/>
              </w:rPr>
            </w:pPr>
          </w:p>
        </w:tc>
      </w:tr>
      <w:tr>
        <w:trPr>
          <w:trHeight w:val="203"/>
        </w:trPr>
        <w:tc>
          <w:tcPr>
            <w:tcW w:w="1520" w:type="dxa"/>
            <w:vAlign w:val="bottom"/>
            <w:vMerge w:val="restart"/>
            <w:shd w:val="clear" w:color="auto" w:fill="D8D8D8"/>
          </w:tcPr>
          <w:p>
            <w:pPr>
              <w:ind w:left="60"/>
              <w:spacing w:after="0"/>
              <w:rPr>
                <w:sz w:val="20"/>
                <w:szCs w:val="20"/>
                <w:color w:val="auto"/>
              </w:rPr>
            </w:pPr>
            <w:r>
              <w:rPr>
                <w:rFonts w:ascii="Arial" w:cs="Arial" w:eastAsia="Arial" w:hAnsi="Arial"/>
                <w:sz w:val="16"/>
                <w:szCs w:val="16"/>
                <w:b w:val="1"/>
                <w:bCs w:val="1"/>
                <w:color w:val="3F87B1"/>
              </w:rPr>
              <w:t>Director Since:</w:t>
            </w: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rPr>
              <w:t>privately held Software as a Service (SaaS) holding company providing member engagement, club management</w:t>
            </w:r>
          </w:p>
        </w:tc>
        <w:tc>
          <w:tcPr>
            <w:tcW w:w="0" w:type="dxa"/>
            <w:vAlign w:val="bottom"/>
          </w:tcPr>
          <w:p>
            <w:pPr>
              <w:spacing w:after="0"/>
              <w:rPr>
                <w:sz w:val="1"/>
                <w:szCs w:val="1"/>
                <w:color w:val="auto"/>
              </w:rPr>
            </w:pPr>
          </w:p>
        </w:tc>
      </w:tr>
      <w:tr>
        <w:trPr>
          <w:trHeight w:val="99"/>
        </w:trPr>
        <w:tc>
          <w:tcPr>
            <w:tcW w:w="1520" w:type="dxa"/>
            <w:vAlign w:val="bottom"/>
            <w:vMerge w:val="continue"/>
            <w:shd w:val="clear" w:color="auto" w:fill="D8D8D8"/>
          </w:tcPr>
          <w:p>
            <w:pPr>
              <w:spacing w:after="0"/>
              <w:rPr>
                <w:sz w:val="8"/>
                <w:szCs w:val="8"/>
                <w:color w:val="auto"/>
              </w:rPr>
            </w:pPr>
          </w:p>
        </w:tc>
        <w:tc>
          <w:tcPr>
            <w:tcW w:w="9500" w:type="dxa"/>
            <w:vAlign w:val="bottom"/>
            <w:vMerge w:val="restart"/>
          </w:tcPr>
          <w:p>
            <w:pPr>
              <w:ind w:left="260"/>
              <w:spacing w:after="0" w:line="202" w:lineRule="exact"/>
              <w:rPr>
                <w:sz w:val="20"/>
                <w:szCs w:val="20"/>
                <w:color w:val="auto"/>
              </w:rPr>
            </w:pPr>
            <w:r>
              <w:rPr>
                <w:rFonts w:ascii="Arial" w:cs="Arial" w:eastAsia="Arial" w:hAnsi="Arial"/>
                <w:sz w:val="18"/>
                <w:szCs w:val="18"/>
                <w:color w:val="3F3F3F"/>
              </w:rPr>
              <w:t>and athletics software. He previously served as President and Chief Executive Officer of the Cincinnati USA</w:t>
            </w:r>
          </w:p>
        </w:tc>
        <w:tc>
          <w:tcPr>
            <w:tcW w:w="0" w:type="dxa"/>
            <w:vAlign w:val="bottom"/>
          </w:tcPr>
          <w:p>
            <w:pPr>
              <w:spacing w:after="0"/>
              <w:rPr>
                <w:sz w:val="1"/>
                <w:szCs w:val="1"/>
                <w:color w:val="auto"/>
              </w:rPr>
            </w:pPr>
          </w:p>
        </w:tc>
      </w:tr>
      <w:tr>
        <w:trPr>
          <w:trHeight w:val="103"/>
        </w:trPr>
        <w:tc>
          <w:tcPr>
            <w:tcW w:w="1520" w:type="dxa"/>
            <w:vAlign w:val="bottom"/>
            <w:vMerge w:val="restart"/>
            <w:shd w:val="clear" w:color="auto" w:fill="D8D8D8"/>
          </w:tcPr>
          <w:p>
            <w:pPr>
              <w:ind w:left="60"/>
              <w:spacing w:after="0"/>
              <w:rPr>
                <w:sz w:val="20"/>
                <w:szCs w:val="20"/>
                <w:color w:val="auto"/>
              </w:rPr>
            </w:pPr>
            <w:r>
              <w:rPr>
                <w:rFonts w:ascii="Arial" w:cs="Arial" w:eastAsia="Arial" w:hAnsi="Arial"/>
                <w:sz w:val="16"/>
                <w:szCs w:val="16"/>
                <w:color w:val="3F3F3F"/>
              </w:rPr>
              <w:t>July 1, 2016</w:t>
            </w:r>
          </w:p>
        </w:tc>
        <w:tc>
          <w:tcPr>
            <w:tcW w:w="9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520" w:type="dxa"/>
            <w:vAlign w:val="bottom"/>
            <w:vMerge w:val="continue"/>
            <w:shd w:val="clear" w:color="auto" w:fill="D8D8D8"/>
          </w:tcPr>
          <w:p>
            <w:pPr>
              <w:spacing w:after="0"/>
              <w:rPr>
                <w:sz w:val="9"/>
                <w:szCs w:val="9"/>
                <w:color w:val="auto"/>
              </w:rPr>
            </w:pPr>
          </w:p>
        </w:tc>
        <w:tc>
          <w:tcPr>
            <w:tcW w:w="9500" w:type="dxa"/>
            <w:vAlign w:val="bottom"/>
            <w:vMerge w:val="restart"/>
          </w:tcPr>
          <w:p>
            <w:pPr>
              <w:ind w:left="260"/>
              <w:spacing w:after="0" w:line="202" w:lineRule="exact"/>
              <w:rPr>
                <w:sz w:val="20"/>
                <w:szCs w:val="20"/>
                <w:color w:val="auto"/>
              </w:rPr>
            </w:pPr>
            <w:r>
              <w:rPr>
                <w:rFonts w:ascii="Arial" w:cs="Arial" w:eastAsia="Arial" w:hAnsi="Arial"/>
                <w:sz w:val="18"/>
                <w:szCs w:val="18"/>
                <w:color w:val="3F3F3F"/>
              </w:rPr>
              <w:t>Regional Chamber from 2014 to 2015. From 2002 to 2014, Mr. Carley worked at Deloitte &amp; Touche LLP, where he</w:t>
            </w:r>
          </w:p>
        </w:tc>
        <w:tc>
          <w:tcPr>
            <w:tcW w:w="0" w:type="dxa"/>
            <w:vAlign w:val="bottom"/>
          </w:tcPr>
          <w:p>
            <w:pPr>
              <w:spacing w:after="0"/>
              <w:rPr>
                <w:sz w:val="1"/>
                <w:szCs w:val="1"/>
                <w:color w:val="auto"/>
              </w:rPr>
            </w:pPr>
          </w:p>
        </w:tc>
      </w:tr>
      <w:tr>
        <w:trPr>
          <w:trHeight w:val="91"/>
        </w:trPr>
        <w:tc>
          <w:tcPr>
            <w:tcW w:w="1520" w:type="dxa"/>
            <w:vAlign w:val="bottom"/>
            <w:shd w:val="clear" w:color="auto" w:fill="D8D8D8"/>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w w:val="99"/>
              </w:rPr>
              <w:t>served as regional and office audit division head and audit partner. Before joining Deloitte &amp; Touche LLP, Mr. Carley</w:t>
            </w: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rPr>
              <w:t>was employed by Arthur Andersen LLP from 1976 to 2002. There, he served as office managing partner and audit</w:t>
            </w: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rPr>
              <w:t>partner. Mr. Carley also has extensive experience serving as a director for a diverse group of companies, including</w:t>
            </w: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rPr>
              <w:t>as a director of Assurex Health, Inc. from 2015 until its sale in August 2016, and as a director and officer of</w:t>
            </w: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rPr>
              <w:t>numerous civic and charitable organizations. Mr. Carley currently sits on the board of directors of the following</w:t>
            </w: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rPr>
              <w:t>private companies or civic and charitable organizations: Clubessential, LLC, ClubReady, LLC, PrestoSports, LLC,</w:t>
            </w: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rPr>
              <w:t>RecTrac, LLC, (formerly Vermont Systems, Inc.), Golf Compete, Inc. (dba foreUP), Exerp Holdings ApS, TriHealth,</w:t>
            </w:r>
          </w:p>
        </w:tc>
        <w:tc>
          <w:tcPr>
            <w:tcW w:w="0" w:type="dxa"/>
            <w:vAlign w:val="bottom"/>
          </w:tcPr>
          <w:p>
            <w:pPr>
              <w:spacing w:after="0"/>
              <w:rPr>
                <w:sz w:val="1"/>
                <w:szCs w:val="1"/>
                <w:color w:val="auto"/>
              </w:rPr>
            </w:pPr>
          </w:p>
        </w:tc>
      </w:tr>
      <w:tr>
        <w:trPr>
          <w:trHeight w:val="239"/>
        </w:trPr>
        <w:tc>
          <w:tcPr>
            <w:tcW w:w="1520" w:type="dxa"/>
            <w:vAlign w:val="bottom"/>
            <w:shd w:val="clear" w:color="auto" w:fill="D8D8D8"/>
          </w:tcPr>
          <w:p>
            <w:pPr>
              <w:spacing w:after="0"/>
              <w:rPr>
                <w:sz w:val="20"/>
                <w:szCs w:val="20"/>
                <w:color w:val="auto"/>
              </w:rPr>
            </w:pPr>
          </w:p>
        </w:tc>
        <w:tc>
          <w:tcPr>
            <w:tcW w:w="9500" w:type="dxa"/>
            <w:vAlign w:val="bottom"/>
          </w:tcPr>
          <w:p>
            <w:pPr>
              <w:ind w:left="260"/>
              <w:spacing w:after="0"/>
              <w:rPr>
                <w:sz w:val="20"/>
                <w:szCs w:val="20"/>
                <w:color w:val="auto"/>
              </w:rPr>
            </w:pPr>
            <w:r>
              <w:rPr>
                <w:rFonts w:ascii="Arial" w:cs="Arial" w:eastAsia="Arial" w:hAnsi="Arial"/>
                <w:sz w:val="18"/>
                <w:szCs w:val="18"/>
                <w:color w:val="3F3F3F"/>
              </w:rPr>
              <w:t>Inc. and Cincinnati Works.</w:t>
            </w:r>
          </w:p>
        </w:tc>
        <w:tc>
          <w:tcPr>
            <w:tcW w:w="0" w:type="dxa"/>
            <w:vAlign w:val="bottom"/>
          </w:tcPr>
          <w:p>
            <w:pPr>
              <w:spacing w:after="0"/>
              <w:rPr>
                <w:sz w:val="1"/>
                <w:szCs w:val="1"/>
                <w:color w:val="auto"/>
              </w:rPr>
            </w:pPr>
          </w:p>
        </w:tc>
      </w:tr>
      <w:tr>
        <w:trPr>
          <w:trHeight w:val="288"/>
        </w:trPr>
        <w:tc>
          <w:tcPr>
            <w:tcW w:w="1520" w:type="dxa"/>
            <w:vAlign w:val="bottom"/>
            <w:shd w:val="clear" w:color="auto" w:fill="D8D8D8"/>
          </w:tcPr>
          <w:p>
            <w:pPr>
              <w:spacing w:after="0"/>
              <w:rPr>
                <w:sz w:val="24"/>
                <w:szCs w:val="24"/>
                <w:color w:val="auto"/>
              </w:rPr>
            </w:pPr>
          </w:p>
        </w:tc>
        <w:tc>
          <w:tcPr>
            <w:tcW w:w="9500" w:type="dxa"/>
            <w:vAlign w:val="bottom"/>
          </w:tcPr>
          <w:p>
            <w:pPr>
              <w:ind w:left="260"/>
              <w:spacing w:after="0"/>
              <w:rPr>
                <w:sz w:val="20"/>
                <w:szCs w:val="20"/>
                <w:color w:val="auto"/>
              </w:rPr>
            </w:pPr>
            <w:r>
              <w:rPr>
                <w:rFonts w:ascii="Arial" w:cs="Arial" w:eastAsia="Arial" w:hAnsi="Arial"/>
                <w:sz w:val="18"/>
                <w:szCs w:val="18"/>
                <w:color w:val="3F3F3F"/>
              </w:rPr>
              <w:t>Mr. Carley received his Bachelor of Science in Accountancy from the University of Illinois, and he is a retired</w:t>
            </w: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w w:val="99"/>
              </w:rPr>
              <w:t>Certified Public Accountant. Mr. Carley was chosen as a director because of his significant financial, accounting and</w:t>
            </w: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60"/>
              <w:spacing w:after="0" w:line="202" w:lineRule="exact"/>
              <w:rPr>
                <w:sz w:val="20"/>
                <w:szCs w:val="20"/>
                <w:color w:val="auto"/>
              </w:rPr>
            </w:pPr>
            <w:r>
              <w:rPr>
                <w:rFonts w:ascii="Arial" w:cs="Arial" w:eastAsia="Arial" w:hAnsi="Arial"/>
                <w:sz w:val="18"/>
                <w:szCs w:val="18"/>
                <w:color w:val="3F3F3F"/>
                <w:w w:val="99"/>
              </w:rPr>
              <w:t>directorship experience from his background as an audit partner at Deloitte &amp; Touche LLP and Arthur Andersen LLP</w:t>
            </w:r>
          </w:p>
        </w:tc>
        <w:tc>
          <w:tcPr>
            <w:tcW w:w="0" w:type="dxa"/>
            <w:vAlign w:val="bottom"/>
          </w:tcPr>
          <w:p>
            <w:pPr>
              <w:spacing w:after="0"/>
              <w:rPr>
                <w:sz w:val="1"/>
                <w:szCs w:val="1"/>
                <w:color w:val="auto"/>
              </w:rPr>
            </w:pPr>
          </w:p>
        </w:tc>
      </w:tr>
      <w:tr>
        <w:trPr>
          <w:trHeight w:val="255"/>
        </w:trPr>
        <w:tc>
          <w:tcPr>
            <w:tcW w:w="1520" w:type="dxa"/>
            <w:vAlign w:val="bottom"/>
            <w:tcBorders>
              <w:bottom w:val="single" w:sz="8" w:color="D8D8D8"/>
            </w:tcBorders>
            <w:shd w:val="clear" w:color="auto" w:fill="D8D8D8"/>
          </w:tcPr>
          <w:p>
            <w:pPr>
              <w:spacing w:after="0"/>
              <w:rPr>
                <w:sz w:val="22"/>
                <w:szCs w:val="22"/>
                <w:color w:val="auto"/>
              </w:rPr>
            </w:pPr>
          </w:p>
        </w:tc>
        <w:tc>
          <w:tcPr>
            <w:tcW w:w="9500" w:type="dxa"/>
            <w:vAlign w:val="bottom"/>
          </w:tcPr>
          <w:p>
            <w:pPr>
              <w:ind w:left="260"/>
              <w:spacing w:after="0"/>
              <w:rPr>
                <w:sz w:val="20"/>
                <w:szCs w:val="20"/>
                <w:color w:val="auto"/>
              </w:rPr>
            </w:pPr>
            <w:r>
              <w:rPr>
                <w:rFonts w:ascii="Arial" w:cs="Arial" w:eastAsia="Arial" w:hAnsi="Arial"/>
                <w:sz w:val="18"/>
                <w:szCs w:val="18"/>
                <w:color w:val="3F3F3F"/>
              </w:rPr>
              <w:t>and his experience serving on boards.</w:t>
            </w:r>
          </w:p>
        </w:tc>
        <w:tc>
          <w:tcPr>
            <w:tcW w:w="0" w:type="dxa"/>
            <w:vAlign w:val="bottom"/>
          </w:tcPr>
          <w:p>
            <w:pPr>
              <w:spacing w:after="0"/>
              <w:rPr>
                <w:sz w:val="1"/>
                <w:szCs w:val="1"/>
                <w:color w:val="auto"/>
              </w:rPr>
            </w:pPr>
          </w:p>
        </w:tc>
      </w:tr>
      <w:tr>
        <w:trPr>
          <w:trHeight w:val="368"/>
        </w:trPr>
        <w:tc>
          <w:tcPr>
            <w:tcW w:w="1520" w:type="dxa"/>
            <w:vAlign w:val="bottom"/>
          </w:tcPr>
          <w:p>
            <w:pPr>
              <w:spacing w:after="0"/>
              <w:rPr>
                <w:sz w:val="24"/>
                <w:szCs w:val="24"/>
                <w:color w:val="auto"/>
              </w:rPr>
            </w:pPr>
          </w:p>
        </w:tc>
        <w:tc>
          <w:tcPr>
            <w:tcW w:w="9500" w:type="dxa"/>
            <w:vAlign w:val="bottom"/>
          </w:tcPr>
          <w:p>
            <w:pPr>
              <w:ind w:left="3880"/>
              <w:spacing w:after="0"/>
              <w:rPr>
                <w:sz w:val="20"/>
                <w:szCs w:val="20"/>
                <w:color w:val="auto"/>
              </w:rPr>
            </w:pPr>
            <w:r>
              <w:rPr>
                <w:rFonts w:ascii="Arial" w:cs="Arial" w:eastAsia="Arial" w:hAnsi="Arial"/>
                <w:sz w:val="18"/>
                <w:szCs w:val="18"/>
                <w:color w:val="3F3F3F"/>
              </w:rPr>
              <w:t>10</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PROPOSAL 1 – ELECTION OF DIRECTORS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Thomas C. King</w:t>
      </w:r>
    </w:p>
    <w:p>
      <w:pPr>
        <w:spacing w:after="0" w:line="62"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520" w:type="dxa"/>
            <w:vAlign w:val="bottom"/>
            <w:tcBorders>
              <w:top w:val="single" w:sz="8" w:color="83BA90"/>
            </w:tcBorders>
            <w:shd w:val="clear" w:color="auto" w:fill="D8D8D8"/>
          </w:tcPr>
          <w:p>
            <w:pPr>
              <w:ind w:left="60"/>
              <w:spacing w:after="0"/>
              <w:rPr>
                <w:sz w:val="20"/>
                <w:szCs w:val="20"/>
                <w:color w:val="auto"/>
              </w:rPr>
            </w:pPr>
            <w:r>
              <w:rPr>
                <w:rFonts w:ascii="Arial" w:cs="Arial" w:eastAsia="Arial" w:hAnsi="Arial"/>
                <w:sz w:val="16"/>
                <w:szCs w:val="16"/>
                <w:b w:val="1"/>
                <w:bCs w:val="1"/>
                <w:color w:val="3F87B1"/>
              </w:rPr>
              <w:t xml:space="preserve">Age: </w:t>
            </w:r>
            <w:r>
              <w:rPr>
                <w:rFonts w:ascii="Arial" w:cs="Arial" w:eastAsia="Arial" w:hAnsi="Arial"/>
                <w:sz w:val="16"/>
                <w:szCs w:val="16"/>
                <w:color w:val="3F3F3F"/>
              </w:rPr>
              <w:t>64</w:t>
            </w:r>
          </w:p>
        </w:tc>
        <w:tc>
          <w:tcPr>
            <w:tcW w:w="9500" w:type="dxa"/>
            <w:vAlign w:val="bottom"/>
            <w:tcBorders>
              <w:top w:val="single" w:sz="8" w:color="83BA90"/>
            </w:tcBorders>
          </w:tcPr>
          <w:p>
            <w:pPr>
              <w:ind w:left="280"/>
              <w:spacing w:after="0"/>
              <w:rPr>
                <w:sz w:val="20"/>
                <w:szCs w:val="20"/>
                <w:color w:val="auto"/>
              </w:rPr>
            </w:pPr>
            <w:r>
              <w:rPr>
                <w:rFonts w:ascii="Arial" w:cs="Arial" w:eastAsia="Arial" w:hAnsi="Arial"/>
                <w:sz w:val="18"/>
                <w:szCs w:val="18"/>
                <w:color w:val="3F3F3F"/>
              </w:rPr>
              <w:t>Dr. King is a physician and a board certified Pathologist with a Ph.D. in Molecular Biology and extensive experience</w:t>
            </w:r>
          </w:p>
        </w:tc>
        <w:tc>
          <w:tcPr>
            <w:tcW w:w="0" w:type="dxa"/>
            <w:vAlign w:val="bottom"/>
          </w:tcPr>
          <w:p>
            <w:pPr>
              <w:spacing w:after="0"/>
              <w:rPr>
                <w:sz w:val="1"/>
                <w:szCs w:val="1"/>
                <w:color w:val="auto"/>
              </w:rPr>
            </w:pPr>
          </w:p>
        </w:tc>
      </w:tr>
      <w:tr>
        <w:trPr>
          <w:trHeight w:val="203"/>
        </w:trPr>
        <w:tc>
          <w:tcPr>
            <w:tcW w:w="1520" w:type="dxa"/>
            <w:vAlign w:val="bottom"/>
            <w:vMerge w:val="restart"/>
            <w:shd w:val="clear" w:color="auto" w:fill="D8D8D8"/>
          </w:tcPr>
          <w:p>
            <w:pPr>
              <w:ind w:left="60"/>
              <w:spacing w:after="0"/>
              <w:rPr>
                <w:sz w:val="20"/>
                <w:szCs w:val="20"/>
                <w:color w:val="auto"/>
              </w:rPr>
            </w:pPr>
            <w:r>
              <w:rPr>
                <w:rFonts w:ascii="Arial" w:cs="Arial" w:eastAsia="Arial" w:hAnsi="Arial"/>
                <w:sz w:val="16"/>
                <w:szCs w:val="16"/>
                <w:b w:val="1"/>
                <w:bCs w:val="1"/>
                <w:color w:val="3F87B1"/>
              </w:rPr>
              <w:t>Director Since:</w:t>
            </w:r>
          </w:p>
        </w:tc>
        <w:tc>
          <w:tcPr>
            <w:tcW w:w="9500" w:type="dxa"/>
            <w:vAlign w:val="bottom"/>
          </w:tcPr>
          <w:p>
            <w:pPr>
              <w:ind w:left="280"/>
              <w:spacing w:after="0" w:line="202" w:lineRule="exact"/>
              <w:rPr>
                <w:sz w:val="20"/>
                <w:szCs w:val="20"/>
                <w:color w:val="auto"/>
              </w:rPr>
            </w:pPr>
            <w:r>
              <w:rPr>
                <w:rFonts w:ascii="Arial" w:cs="Arial" w:eastAsia="Arial" w:hAnsi="Arial"/>
                <w:sz w:val="18"/>
                <w:szCs w:val="18"/>
                <w:color w:val="3F3F3F"/>
              </w:rPr>
              <w:t>as a laboratory director in hospital, academic and corporate settings. Currently Dr. King is the Medical Director at</w:t>
            </w:r>
          </w:p>
        </w:tc>
        <w:tc>
          <w:tcPr>
            <w:tcW w:w="0" w:type="dxa"/>
            <w:vAlign w:val="bottom"/>
          </w:tcPr>
          <w:p>
            <w:pPr>
              <w:spacing w:after="0"/>
              <w:rPr>
                <w:sz w:val="1"/>
                <w:szCs w:val="1"/>
                <w:color w:val="auto"/>
              </w:rPr>
            </w:pPr>
          </w:p>
        </w:tc>
      </w:tr>
      <w:tr>
        <w:trPr>
          <w:trHeight w:val="99"/>
        </w:trPr>
        <w:tc>
          <w:tcPr>
            <w:tcW w:w="1520" w:type="dxa"/>
            <w:vAlign w:val="bottom"/>
            <w:vMerge w:val="continue"/>
            <w:shd w:val="clear" w:color="auto" w:fill="D8D8D8"/>
          </w:tcPr>
          <w:p>
            <w:pPr>
              <w:spacing w:after="0"/>
              <w:rPr>
                <w:sz w:val="8"/>
                <w:szCs w:val="8"/>
                <w:color w:val="auto"/>
              </w:rPr>
            </w:pPr>
          </w:p>
        </w:tc>
        <w:tc>
          <w:tcPr>
            <w:tcW w:w="9500" w:type="dxa"/>
            <w:vAlign w:val="bottom"/>
            <w:vMerge w:val="restart"/>
          </w:tcPr>
          <w:p>
            <w:pPr>
              <w:ind w:left="280"/>
              <w:spacing w:after="0" w:line="202" w:lineRule="exact"/>
              <w:rPr>
                <w:sz w:val="20"/>
                <w:szCs w:val="20"/>
                <w:color w:val="auto"/>
              </w:rPr>
            </w:pPr>
            <w:r>
              <w:rPr>
                <w:rFonts w:ascii="Arial" w:cs="Arial" w:eastAsia="Arial" w:hAnsi="Arial"/>
                <w:sz w:val="18"/>
                <w:szCs w:val="18"/>
                <w:color w:val="3F3F3F"/>
              </w:rPr>
              <w:t>Immunovia, Inc. and an Adjunct Associate Professor in the School of Health Professions at Rutgers, The State</w:t>
            </w:r>
          </w:p>
        </w:tc>
        <w:tc>
          <w:tcPr>
            <w:tcW w:w="0" w:type="dxa"/>
            <w:vAlign w:val="bottom"/>
          </w:tcPr>
          <w:p>
            <w:pPr>
              <w:spacing w:after="0"/>
              <w:rPr>
                <w:sz w:val="1"/>
                <w:szCs w:val="1"/>
                <w:color w:val="auto"/>
              </w:rPr>
            </w:pPr>
          </w:p>
        </w:tc>
      </w:tr>
      <w:tr>
        <w:trPr>
          <w:trHeight w:val="103"/>
        </w:trPr>
        <w:tc>
          <w:tcPr>
            <w:tcW w:w="1520" w:type="dxa"/>
            <w:vAlign w:val="bottom"/>
            <w:vMerge w:val="restart"/>
            <w:shd w:val="clear" w:color="auto" w:fill="D8D8D8"/>
          </w:tcPr>
          <w:p>
            <w:pPr>
              <w:ind w:left="60"/>
              <w:spacing w:after="0"/>
              <w:rPr>
                <w:sz w:val="20"/>
                <w:szCs w:val="20"/>
                <w:color w:val="auto"/>
              </w:rPr>
            </w:pPr>
            <w:r>
              <w:rPr>
                <w:rFonts w:ascii="Arial" w:cs="Arial" w:eastAsia="Arial" w:hAnsi="Arial"/>
                <w:sz w:val="16"/>
                <w:szCs w:val="16"/>
                <w:color w:val="3F3F3F"/>
              </w:rPr>
              <w:t>October 24, 2019</w:t>
            </w:r>
          </w:p>
        </w:tc>
        <w:tc>
          <w:tcPr>
            <w:tcW w:w="9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520" w:type="dxa"/>
            <w:vAlign w:val="bottom"/>
            <w:vMerge w:val="continue"/>
            <w:shd w:val="clear" w:color="auto" w:fill="D8D8D8"/>
          </w:tcPr>
          <w:p>
            <w:pPr>
              <w:spacing w:after="0"/>
              <w:rPr>
                <w:sz w:val="9"/>
                <w:szCs w:val="9"/>
                <w:color w:val="auto"/>
              </w:rPr>
            </w:pPr>
          </w:p>
        </w:tc>
        <w:tc>
          <w:tcPr>
            <w:tcW w:w="9500" w:type="dxa"/>
            <w:vAlign w:val="bottom"/>
            <w:vMerge w:val="restart"/>
          </w:tcPr>
          <w:p>
            <w:pPr>
              <w:ind w:left="280"/>
              <w:spacing w:after="0" w:line="202" w:lineRule="exact"/>
              <w:rPr>
                <w:sz w:val="20"/>
                <w:szCs w:val="20"/>
                <w:color w:val="auto"/>
              </w:rPr>
            </w:pPr>
            <w:r>
              <w:rPr>
                <w:rFonts w:ascii="Arial" w:cs="Arial" w:eastAsia="Arial" w:hAnsi="Arial"/>
                <w:sz w:val="18"/>
                <w:szCs w:val="18"/>
                <w:color w:val="3F3F3F"/>
              </w:rPr>
              <w:t>University of New Jersey. From 2013 to 2017, Dr. King was the Chief of Pathology and Laboratory Medicine at St.</w:t>
            </w:r>
          </w:p>
        </w:tc>
        <w:tc>
          <w:tcPr>
            <w:tcW w:w="0" w:type="dxa"/>
            <w:vAlign w:val="bottom"/>
          </w:tcPr>
          <w:p>
            <w:pPr>
              <w:spacing w:after="0"/>
              <w:rPr>
                <w:sz w:val="1"/>
                <w:szCs w:val="1"/>
                <w:color w:val="auto"/>
              </w:rPr>
            </w:pPr>
          </w:p>
        </w:tc>
      </w:tr>
      <w:tr>
        <w:trPr>
          <w:trHeight w:val="91"/>
        </w:trPr>
        <w:tc>
          <w:tcPr>
            <w:tcW w:w="1520" w:type="dxa"/>
            <w:vAlign w:val="bottom"/>
            <w:shd w:val="clear" w:color="auto" w:fill="D8D8D8"/>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80"/>
              <w:spacing w:after="0" w:line="202" w:lineRule="exact"/>
              <w:rPr>
                <w:sz w:val="20"/>
                <w:szCs w:val="20"/>
                <w:color w:val="auto"/>
              </w:rPr>
            </w:pPr>
            <w:r>
              <w:rPr>
                <w:rFonts w:ascii="Arial" w:cs="Arial" w:eastAsia="Arial" w:hAnsi="Arial"/>
                <w:sz w:val="18"/>
                <w:szCs w:val="18"/>
                <w:color w:val="3F3F3F"/>
              </w:rPr>
              <w:t>Vincent Hospital in Worcester, Massachusetts. Dr. King was a Partner and Medical Director of Pathology and</w:t>
            </w: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80"/>
              <w:spacing w:after="0" w:line="202" w:lineRule="exact"/>
              <w:rPr>
                <w:sz w:val="20"/>
                <w:szCs w:val="20"/>
                <w:color w:val="auto"/>
              </w:rPr>
            </w:pPr>
            <w:r>
              <w:rPr>
                <w:rFonts w:ascii="Arial" w:cs="Arial" w:eastAsia="Arial" w:hAnsi="Arial"/>
                <w:sz w:val="18"/>
                <w:szCs w:val="18"/>
                <w:color w:val="3F3F3F"/>
              </w:rPr>
              <w:t>Laboratory Medicine at University Pathologists, LLC in Providence, Rhode Island from 2009 to 2013, and the</w:t>
            </w: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80"/>
              <w:spacing w:after="0" w:line="202" w:lineRule="exact"/>
              <w:rPr>
                <w:sz w:val="20"/>
                <w:szCs w:val="20"/>
                <w:color w:val="auto"/>
              </w:rPr>
            </w:pPr>
            <w:r>
              <w:rPr>
                <w:rFonts w:ascii="Arial" w:cs="Arial" w:eastAsia="Arial" w:hAnsi="Arial"/>
                <w:sz w:val="18"/>
                <w:szCs w:val="18"/>
                <w:color w:val="3F3F3F"/>
              </w:rPr>
              <w:t>Medical Director of Pathology and Laboratory Medicine at the University Medical Group in Providence, Rhode</w:t>
            </w: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80"/>
              <w:spacing w:after="0" w:line="202" w:lineRule="exact"/>
              <w:rPr>
                <w:sz w:val="20"/>
                <w:szCs w:val="20"/>
                <w:color w:val="auto"/>
              </w:rPr>
            </w:pPr>
            <w:r>
              <w:rPr>
                <w:rFonts w:ascii="Arial" w:cs="Arial" w:eastAsia="Arial" w:hAnsi="Arial"/>
                <w:sz w:val="18"/>
                <w:szCs w:val="18"/>
                <w:color w:val="3F3F3F"/>
              </w:rPr>
              <w:t>Island from 2007 to 2008. From 2002 to 2003, Dr. King was the Senior Director of Molecular Pathology at</w:t>
            </w: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80"/>
              <w:spacing w:after="0" w:line="202" w:lineRule="exact"/>
              <w:rPr>
                <w:sz w:val="20"/>
                <w:szCs w:val="20"/>
                <w:color w:val="auto"/>
              </w:rPr>
            </w:pPr>
            <w:r>
              <w:rPr>
                <w:rFonts w:ascii="Arial" w:cs="Arial" w:eastAsia="Arial" w:hAnsi="Arial"/>
                <w:sz w:val="18"/>
                <w:szCs w:val="18"/>
                <w:color w:val="3F3F3F"/>
              </w:rPr>
              <w:t>Millennium Pharmaceuticals. Additionally, Dr. King has held various positions in academia including at Boston</w:t>
            </w: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80"/>
              <w:spacing w:after="0" w:line="202" w:lineRule="exact"/>
              <w:rPr>
                <w:sz w:val="20"/>
                <w:szCs w:val="20"/>
                <w:color w:val="auto"/>
              </w:rPr>
            </w:pPr>
            <w:r>
              <w:rPr>
                <w:rFonts w:ascii="Arial" w:cs="Arial" w:eastAsia="Arial" w:hAnsi="Arial"/>
                <w:sz w:val="18"/>
                <w:szCs w:val="18"/>
                <w:color w:val="3F3F3F"/>
              </w:rPr>
              <w:t>University School of Medicine, Brown University School of Medicine, the University of Connecticut School of</w:t>
            </w: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80"/>
              <w:spacing w:after="0" w:line="202" w:lineRule="exact"/>
              <w:rPr>
                <w:sz w:val="20"/>
                <w:szCs w:val="20"/>
                <w:color w:val="auto"/>
              </w:rPr>
            </w:pPr>
            <w:r>
              <w:rPr>
                <w:rFonts w:ascii="Arial" w:cs="Arial" w:eastAsia="Arial" w:hAnsi="Arial"/>
                <w:sz w:val="18"/>
                <w:szCs w:val="18"/>
                <w:color w:val="3F3F3F"/>
              </w:rPr>
              <w:t>Medicine and Washington University Medical Center. Dr. King was a Director and Chair of the Corporate</w:t>
            </w:r>
          </w:p>
        </w:tc>
        <w:tc>
          <w:tcPr>
            <w:tcW w:w="0" w:type="dxa"/>
            <w:vAlign w:val="bottom"/>
          </w:tcPr>
          <w:p>
            <w:pPr>
              <w:spacing w:after="0"/>
              <w:rPr>
                <w:sz w:val="1"/>
                <w:szCs w:val="1"/>
                <w:color w:val="auto"/>
              </w:rPr>
            </w:pPr>
          </w:p>
        </w:tc>
      </w:tr>
      <w:tr>
        <w:trPr>
          <w:trHeight w:val="239"/>
        </w:trPr>
        <w:tc>
          <w:tcPr>
            <w:tcW w:w="1520" w:type="dxa"/>
            <w:vAlign w:val="bottom"/>
            <w:shd w:val="clear" w:color="auto" w:fill="D8D8D8"/>
          </w:tcPr>
          <w:p>
            <w:pPr>
              <w:spacing w:after="0"/>
              <w:rPr>
                <w:sz w:val="20"/>
                <w:szCs w:val="20"/>
                <w:color w:val="auto"/>
              </w:rPr>
            </w:pPr>
          </w:p>
        </w:tc>
        <w:tc>
          <w:tcPr>
            <w:tcW w:w="9500" w:type="dxa"/>
            <w:vAlign w:val="bottom"/>
          </w:tcPr>
          <w:p>
            <w:pPr>
              <w:ind w:left="280"/>
              <w:spacing w:after="0"/>
              <w:rPr>
                <w:sz w:val="20"/>
                <w:szCs w:val="20"/>
                <w:color w:val="auto"/>
              </w:rPr>
            </w:pPr>
            <w:r>
              <w:rPr>
                <w:rFonts w:ascii="Arial" w:cs="Arial" w:eastAsia="Arial" w:hAnsi="Arial"/>
                <w:sz w:val="18"/>
                <w:szCs w:val="18"/>
                <w:color w:val="3F3F3F"/>
              </w:rPr>
              <w:t>Governance Committee of predecessor entities of the Company from 2004 to 2011.</w:t>
            </w:r>
          </w:p>
        </w:tc>
        <w:tc>
          <w:tcPr>
            <w:tcW w:w="0" w:type="dxa"/>
            <w:vAlign w:val="bottom"/>
          </w:tcPr>
          <w:p>
            <w:pPr>
              <w:spacing w:after="0"/>
              <w:rPr>
                <w:sz w:val="1"/>
                <w:szCs w:val="1"/>
                <w:color w:val="auto"/>
              </w:rPr>
            </w:pPr>
          </w:p>
        </w:tc>
      </w:tr>
      <w:tr>
        <w:trPr>
          <w:trHeight w:val="288"/>
        </w:trPr>
        <w:tc>
          <w:tcPr>
            <w:tcW w:w="1520" w:type="dxa"/>
            <w:vAlign w:val="bottom"/>
            <w:shd w:val="clear" w:color="auto" w:fill="D8D8D8"/>
          </w:tcPr>
          <w:p>
            <w:pPr>
              <w:spacing w:after="0"/>
              <w:rPr>
                <w:sz w:val="24"/>
                <w:szCs w:val="24"/>
                <w:color w:val="auto"/>
              </w:rPr>
            </w:pPr>
          </w:p>
        </w:tc>
        <w:tc>
          <w:tcPr>
            <w:tcW w:w="9500" w:type="dxa"/>
            <w:vAlign w:val="bottom"/>
          </w:tcPr>
          <w:p>
            <w:pPr>
              <w:ind w:left="280"/>
              <w:spacing w:after="0"/>
              <w:rPr>
                <w:sz w:val="20"/>
                <w:szCs w:val="20"/>
                <w:color w:val="auto"/>
              </w:rPr>
            </w:pPr>
            <w:r>
              <w:rPr>
                <w:rFonts w:ascii="Arial" w:cs="Arial" w:eastAsia="Arial" w:hAnsi="Arial"/>
                <w:sz w:val="18"/>
                <w:szCs w:val="18"/>
                <w:color w:val="3F3F3F"/>
                <w:w w:val="99"/>
              </w:rPr>
              <w:t>Dr. King received his Bachelor of Arts degree, M.D. and Ph.D. from Washington University in St. Louis. Dr. King was</w:t>
            </w: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80"/>
              <w:spacing w:after="0" w:line="202" w:lineRule="exact"/>
              <w:rPr>
                <w:sz w:val="20"/>
                <w:szCs w:val="20"/>
                <w:color w:val="auto"/>
              </w:rPr>
            </w:pPr>
            <w:r>
              <w:rPr>
                <w:rFonts w:ascii="Arial" w:cs="Arial" w:eastAsia="Arial" w:hAnsi="Arial"/>
                <w:sz w:val="18"/>
                <w:szCs w:val="18"/>
                <w:color w:val="3F3F3F"/>
              </w:rPr>
              <w:t>chosen as a director because of his significant medical expertise, extensive experience in biotech and</w:t>
            </w:r>
          </w:p>
        </w:tc>
        <w:tc>
          <w:tcPr>
            <w:tcW w:w="0" w:type="dxa"/>
            <w:vAlign w:val="bottom"/>
          </w:tcPr>
          <w:p>
            <w:pPr>
              <w:spacing w:after="0"/>
              <w:rPr>
                <w:sz w:val="1"/>
                <w:szCs w:val="1"/>
                <w:color w:val="auto"/>
              </w:rPr>
            </w:pPr>
          </w:p>
        </w:tc>
      </w:tr>
      <w:tr>
        <w:trPr>
          <w:trHeight w:val="255"/>
        </w:trPr>
        <w:tc>
          <w:tcPr>
            <w:tcW w:w="1520" w:type="dxa"/>
            <w:vAlign w:val="bottom"/>
            <w:tcBorders>
              <w:bottom w:val="single" w:sz="8" w:color="D8D8D8"/>
            </w:tcBorders>
            <w:shd w:val="clear" w:color="auto" w:fill="D8D8D8"/>
          </w:tcPr>
          <w:p>
            <w:pPr>
              <w:spacing w:after="0"/>
              <w:rPr>
                <w:sz w:val="22"/>
                <w:szCs w:val="22"/>
                <w:color w:val="auto"/>
              </w:rPr>
            </w:pPr>
          </w:p>
        </w:tc>
        <w:tc>
          <w:tcPr>
            <w:tcW w:w="9500" w:type="dxa"/>
            <w:vAlign w:val="bottom"/>
          </w:tcPr>
          <w:p>
            <w:pPr>
              <w:ind w:left="280"/>
              <w:spacing w:after="0"/>
              <w:rPr>
                <w:sz w:val="20"/>
                <w:szCs w:val="20"/>
                <w:color w:val="auto"/>
              </w:rPr>
            </w:pPr>
            <w:r>
              <w:rPr>
                <w:rFonts w:ascii="Arial" w:cs="Arial" w:eastAsia="Arial" w:hAnsi="Arial"/>
                <w:sz w:val="18"/>
                <w:szCs w:val="18"/>
                <w:color w:val="3F3F3F"/>
              </w:rPr>
              <w:t>pharmaceutical companies and his previous board experience.</w:t>
            </w:r>
          </w:p>
        </w:tc>
        <w:tc>
          <w:tcPr>
            <w:tcW w:w="0" w:type="dxa"/>
            <w:vAlign w:val="bottom"/>
          </w:tcPr>
          <w:p>
            <w:pPr>
              <w:spacing w:after="0"/>
              <w:rPr>
                <w:sz w:val="1"/>
                <w:szCs w:val="1"/>
                <w:color w:val="auto"/>
              </w:rPr>
            </w:pPr>
          </w:p>
        </w:tc>
      </w:tr>
      <w:tr>
        <w:trPr>
          <w:trHeight w:val="552"/>
        </w:trPr>
        <w:tc>
          <w:tcPr>
            <w:tcW w:w="1520" w:type="dxa"/>
            <w:vAlign w:val="bottom"/>
          </w:tcPr>
          <w:p>
            <w:pPr>
              <w:spacing w:after="0"/>
              <w:rPr>
                <w:sz w:val="20"/>
                <w:szCs w:val="20"/>
                <w:color w:val="auto"/>
              </w:rPr>
            </w:pPr>
            <w:r>
              <w:rPr>
                <w:rFonts w:ascii="Arial" w:cs="Arial" w:eastAsia="Arial" w:hAnsi="Arial"/>
                <w:sz w:val="18"/>
                <w:szCs w:val="18"/>
                <w:b w:val="1"/>
                <w:bCs w:val="1"/>
                <w:color w:val="006098"/>
              </w:rPr>
              <w:t>Robert O. Kraft</w:t>
            </w:r>
          </w:p>
        </w:tc>
        <w:tc>
          <w:tcPr>
            <w:tcW w:w="9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520" w:type="dxa"/>
            <w:vAlign w:val="bottom"/>
            <w:tcBorders>
              <w:bottom w:val="single" w:sz="8" w:color="83BA90"/>
            </w:tcBorders>
          </w:tcPr>
          <w:p>
            <w:pPr>
              <w:spacing w:after="0"/>
              <w:rPr>
                <w:sz w:val="3"/>
                <w:szCs w:val="3"/>
                <w:color w:val="auto"/>
              </w:rPr>
            </w:pPr>
          </w:p>
        </w:tc>
        <w:tc>
          <w:tcPr>
            <w:tcW w:w="9500" w:type="dxa"/>
            <w:vAlign w:val="bottom"/>
            <w:tcBorders>
              <w:bottom w:val="single" w:sz="8" w:color="83BA90"/>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520" w:type="dxa"/>
            <w:vAlign w:val="bottom"/>
            <w:shd w:val="clear" w:color="auto" w:fill="D8D8D8"/>
          </w:tcPr>
          <w:p>
            <w:pPr>
              <w:ind w:left="60"/>
              <w:spacing w:after="0"/>
              <w:rPr>
                <w:sz w:val="20"/>
                <w:szCs w:val="20"/>
                <w:color w:val="auto"/>
              </w:rPr>
            </w:pPr>
            <w:r>
              <w:rPr>
                <w:rFonts w:ascii="Arial" w:cs="Arial" w:eastAsia="Arial" w:hAnsi="Arial"/>
                <w:sz w:val="16"/>
                <w:szCs w:val="16"/>
                <w:b w:val="1"/>
                <w:bCs w:val="1"/>
                <w:color w:val="3F87B1"/>
              </w:rPr>
              <w:t xml:space="preserve">Age: </w:t>
            </w:r>
            <w:r>
              <w:rPr>
                <w:rFonts w:ascii="Arial" w:cs="Arial" w:eastAsia="Arial" w:hAnsi="Arial"/>
                <w:sz w:val="16"/>
                <w:szCs w:val="16"/>
                <w:color w:val="3F3F3F"/>
              </w:rPr>
              <w:t>51</w:t>
            </w:r>
          </w:p>
        </w:tc>
        <w:tc>
          <w:tcPr>
            <w:tcW w:w="9500" w:type="dxa"/>
            <w:vAlign w:val="bottom"/>
          </w:tcPr>
          <w:p>
            <w:pPr>
              <w:ind w:left="280"/>
              <w:spacing w:after="0"/>
              <w:rPr>
                <w:sz w:val="20"/>
                <w:szCs w:val="20"/>
                <w:color w:val="auto"/>
              </w:rPr>
            </w:pPr>
            <w:r>
              <w:rPr>
                <w:rFonts w:ascii="Arial" w:cs="Arial" w:eastAsia="Arial" w:hAnsi="Arial"/>
                <w:sz w:val="18"/>
                <w:szCs w:val="18"/>
                <w:color w:val="3F3F3F"/>
              </w:rPr>
              <w:t>Mr. Kraft has served as the Chief Financial Officer and Treasurer of The Hillman Companies, Inc. and The Hillman</w:t>
            </w:r>
          </w:p>
        </w:tc>
        <w:tc>
          <w:tcPr>
            <w:tcW w:w="0" w:type="dxa"/>
            <w:vAlign w:val="bottom"/>
          </w:tcPr>
          <w:p>
            <w:pPr>
              <w:spacing w:after="0"/>
              <w:rPr>
                <w:sz w:val="1"/>
                <w:szCs w:val="1"/>
                <w:color w:val="auto"/>
              </w:rPr>
            </w:pPr>
          </w:p>
        </w:tc>
      </w:tr>
      <w:tr>
        <w:trPr>
          <w:trHeight w:val="203"/>
        </w:trPr>
        <w:tc>
          <w:tcPr>
            <w:tcW w:w="1520" w:type="dxa"/>
            <w:vAlign w:val="bottom"/>
            <w:vMerge w:val="restart"/>
            <w:shd w:val="clear" w:color="auto" w:fill="D8D8D8"/>
          </w:tcPr>
          <w:p>
            <w:pPr>
              <w:ind w:left="60"/>
              <w:spacing w:after="0"/>
              <w:rPr>
                <w:sz w:val="20"/>
                <w:szCs w:val="20"/>
                <w:color w:val="auto"/>
              </w:rPr>
            </w:pPr>
            <w:r>
              <w:rPr>
                <w:rFonts w:ascii="Arial" w:cs="Arial" w:eastAsia="Arial" w:hAnsi="Arial"/>
                <w:sz w:val="16"/>
                <w:szCs w:val="16"/>
                <w:b w:val="1"/>
                <w:bCs w:val="1"/>
                <w:color w:val="3F87B1"/>
              </w:rPr>
              <w:t>Director Since:</w:t>
            </w:r>
          </w:p>
        </w:tc>
        <w:tc>
          <w:tcPr>
            <w:tcW w:w="9500" w:type="dxa"/>
            <w:vAlign w:val="bottom"/>
          </w:tcPr>
          <w:p>
            <w:pPr>
              <w:ind w:left="280"/>
              <w:spacing w:after="0" w:line="202" w:lineRule="exact"/>
              <w:rPr>
                <w:sz w:val="20"/>
                <w:szCs w:val="20"/>
                <w:color w:val="auto"/>
              </w:rPr>
            </w:pPr>
            <w:r>
              <w:rPr>
                <w:rFonts w:ascii="Arial" w:cs="Arial" w:eastAsia="Arial" w:hAnsi="Arial"/>
                <w:sz w:val="18"/>
                <w:szCs w:val="18"/>
                <w:color w:val="3F3F3F"/>
              </w:rPr>
              <w:t>Group since November 2017. Mr. Kraft served as the Executive Vice President of CVS Health Corporation and the</w:t>
            </w:r>
          </w:p>
        </w:tc>
        <w:tc>
          <w:tcPr>
            <w:tcW w:w="0" w:type="dxa"/>
            <w:vAlign w:val="bottom"/>
          </w:tcPr>
          <w:p>
            <w:pPr>
              <w:spacing w:after="0"/>
              <w:rPr>
                <w:sz w:val="1"/>
                <w:szCs w:val="1"/>
                <w:color w:val="auto"/>
              </w:rPr>
            </w:pPr>
          </w:p>
        </w:tc>
      </w:tr>
      <w:tr>
        <w:trPr>
          <w:trHeight w:val="99"/>
        </w:trPr>
        <w:tc>
          <w:tcPr>
            <w:tcW w:w="1520" w:type="dxa"/>
            <w:vAlign w:val="bottom"/>
            <w:vMerge w:val="continue"/>
            <w:shd w:val="clear" w:color="auto" w:fill="D8D8D8"/>
          </w:tcPr>
          <w:p>
            <w:pPr>
              <w:spacing w:after="0"/>
              <w:rPr>
                <w:sz w:val="8"/>
                <w:szCs w:val="8"/>
                <w:color w:val="auto"/>
              </w:rPr>
            </w:pPr>
          </w:p>
        </w:tc>
        <w:tc>
          <w:tcPr>
            <w:tcW w:w="9500" w:type="dxa"/>
            <w:vAlign w:val="bottom"/>
            <w:vMerge w:val="restart"/>
          </w:tcPr>
          <w:p>
            <w:pPr>
              <w:ind w:left="280"/>
              <w:spacing w:after="0" w:line="202" w:lineRule="exact"/>
              <w:rPr>
                <w:sz w:val="20"/>
                <w:szCs w:val="20"/>
                <w:color w:val="auto"/>
              </w:rPr>
            </w:pPr>
            <w:r>
              <w:rPr>
                <w:rFonts w:ascii="Arial" w:cs="Arial" w:eastAsia="Arial" w:hAnsi="Arial"/>
                <w:sz w:val="18"/>
                <w:szCs w:val="18"/>
                <w:color w:val="3F3F3F"/>
              </w:rPr>
              <w:t>President of Omnicare, Inc., CVS’s long-term care business, from August 2015 to September 2017. From</w:t>
            </w:r>
          </w:p>
        </w:tc>
        <w:tc>
          <w:tcPr>
            <w:tcW w:w="0" w:type="dxa"/>
            <w:vAlign w:val="bottom"/>
          </w:tcPr>
          <w:p>
            <w:pPr>
              <w:spacing w:after="0"/>
              <w:rPr>
                <w:sz w:val="1"/>
                <w:szCs w:val="1"/>
                <w:color w:val="auto"/>
              </w:rPr>
            </w:pPr>
          </w:p>
        </w:tc>
      </w:tr>
      <w:tr>
        <w:trPr>
          <w:trHeight w:val="103"/>
        </w:trPr>
        <w:tc>
          <w:tcPr>
            <w:tcW w:w="1520" w:type="dxa"/>
            <w:vAlign w:val="bottom"/>
            <w:vMerge w:val="restart"/>
            <w:shd w:val="clear" w:color="auto" w:fill="D8D8D8"/>
          </w:tcPr>
          <w:p>
            <w:pPr>
              <w:ind w:left="60"/>
              <w:spacing w:after="0"/>
              <w:rPr>
                <w:sz w:val="20"/>
                <w:szCs w:val="20"/>
                <w:color w:val="auto"/>
              </w:rPr>
            </w:pPr>
            <w:r>
              <w:rPr>
                <w:rFonts w:ascii="Arial" w:cs="Arial" w:eastAsia="Arial" w:hAnsi="Arial"/>
                <w:sz w:val="16"/>
                <w:szCs w:val="16"/>
                <w:color w:val="3F3F3F"/>
              </w:rPr>
              <w:t>July 1, 2016</w:t>
            </w:r>
          </w:p>
        </w:tc>
        <w:tc>
          <w:tcPr>
            <w:tcW w:w="9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520" w:type="dxa"/>
            <w:vAlign w:val="bottom"/>
            <w:vMerge w:val="continue"/>
            <w:shd w:val="clear" w:color="auto" w:fill="D8D8D8"/>
          </w:tcPr>
          <w:p>
            <w:pPr>
              <w:spacing w:after="0"/>
              <w:rPr>
                <w:sz w:val="9"/>
                <w:szCs w:val="9"/>
                <w:color w:val="auto"/>
              </w:rPr>
            </w:pPr>
          </w:p>
        </w:tc>
        <w:tc>
          <w:tcPr>
            <w:tcW w:w="9500" w:type="dxa"/>
            <w:vAlign w:val="bottom"/>
            <w:vMerge w:val="restart"/>
          </w:tcPr>
          <w:p>
            <w:pPr>
              <w:ind w:left="280"/>
              <w:spacing w:after="0" w:line="202" w:lineRule="exact"/>
              <w:rPr>
                <w:sz w:val="20"/>
                <w:szCs w:val="20"/>
                <w:color w:val="auto"/>
              </w:rPr>
            </w:pPr>
            <w:r>
              <w:rPr>
                <w:rFonts w:ascii="Arial" w:cs="Arial" w:eastAsia="Arial" w:hAnsi="Arial"/>
                <w:sz w:val="18"/>
                <w:szCs w:val="18"/>
                <w:color w:val="3F3F3F"/>
              </w:rPr>
              <w:t>September 2012 to August 2015, Mr. Kraft served as Senior Vice President and Chief Financial Officer of</w:t>
            </w:r>
          </w:p>
        </w:tc>
        <w:tc>
          <w:tcPr>
            <w:tcW w:w="0" w:type="dxa"/>
            <w:vAlign w:val="bottom"/>
          </w:tcPr>
          <w:p>
            <w:pPr>
              <w:spacing w:after="0"/>
              <w:rPr>
                <w:sz w:val="1"/>
                <w:szCs w:val="1"/>
                <w:color w:val="auto"/>
              </w:rPr>
            </w:pPr>
          </w:p>
        </w:tc>
      </w:tr>
      <w:tr>
        <w:trPr>
          <w:trHeight w:val="91"/>
        </w:trPr>
        <w:tc>
          <w:tcPr>
            <w:tcW w:w="1520" w:type="dxa"/>
            <w:vAlign w:val="bottom"/>
            <w:shd w:val="clear" w:color="auto" w:fill="D8D8D8"/>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80"/>
              <w:spacing w:after="0" w:line="202" w:lineRule="exact"/>
              <w:rPr>
                <w:sz w:val="20"/>
                <w:szCs w:val="20"/>
                <w:color w:val="auto"/>
              </w:rPr>
            </w:pPr>
            <w:r>
              <w:rPr>
                <w:rFonts w:ascii="Arial" w:cs="Arial" w:eastAsia="Arial" w:hAnsi="Arial"/>
                <w:sz w:val="18"/>
                <w:szCs w:val="18"/>
                <w:color w:val="3F3F3F"/>
              </w:rPr>
              <w:t>Omnicare, Inc., and from November 2010 to September 2012, he served as Senior Vice President, Finance of</w:t>
            </w: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80"/>
              <w:spacing w:after="0" w:line="202" w:lineRule="exact"/>
              <w:rPr>
                <w:sz w:val="20"/>
                <w:szCs w:val="20"/>
                <w:color w:val="auto"/>
              </w:rPr>
            </w:pPr>
            <w:r>
              <w:rPr>
                <w:rFonts w:ascii="Arial" w:cs="Arial" w:eastAsia="Arial" w:hAnsi="Arial"/>
                <w:sz w:val="18"/>
                <w:szCs w:val="18"/>
                <w:color w:val="3F3F3F"/>
                <w:w w:val="99"/>
              </w:rPr>
              <w:t>Omnicare, Inc. Before joining Omnicare, Inc., Mr. Kraft was an audit partner at PricewaterhouseCoopers LLP, where</w:t>
            </w:r>
          </w:p>
        </w:tc>
        <w:tc>
          <w:tcPr>
            <w:tcW w:w="0" w:type="dxa"/>
            <w:vAlign w:val="bottom"/>
          </w:tcPr>
          <w:p>
            <w:pPr>
              <w:spacing w:after="0"/>
              <w:rPr>
                <w:sz w:val="1"/>
                <w:szCs w:val="1"/>
                <w:color w:val="auto"/>
              </w:rPr>
            </w:pPr>
          </w:p>
        </w:tc>
      </w:tr>
      <w:tr>
        <w:trPr>
          <w:trHeight w:val="239"/>
        </w:trPr>
        <w:tc>
          <w:tcPr>
            <w:tcW w:w="1520" w:type="dxa"/>
            <w:vAlign w:val="bottom"/>
            <w:shd w:val="clear" w:color="auto" w:fill="D8D8D8"/>
          </w:tcPr>
          <w:p>
            <w:pPr>
              <w:spacing w:after="0"/>
              <w:rPr>
                <w:sz w:val="20"/>
                <w:szCs w:val="20"/>
                <w:color w:val="auto"/>
              </w:rPr>
            </w:pPr>
          </w:p>
        </w:tc>
        <w:tc>
          <w:tcPr>
            <w:tcW w:w="9500" w:type="dxa"/>
            <w:vAlign w:val="bottom"/>
          </w:tcPr>
          <w:p>
            <w:pPr>
              <w:ind w:left="280"/>
              <w:spacing w:after="0"/>
              <w:rPr>
                <w:sz w:val="20"/>
                <w:szCs w:val="20"/>
                <w:color w:val="auto"/>
              </w:rPr>
            </w:pPr>
            <w:r>
              <w:rPr>
                <w:rFonts w:ascii="Arial" w:cs="Arial" w:eastAsia="Arial" w:hAnsi="Arial"/>
                <w:sz w:val="18"/>
                <w:szCs w:val="18"/>
                <w:color w:val="3F3F3F"/>
              </w:rPr>
              <w:t>he worked for 18 years.</w:t>
            </w:r>
          </w:p>
        </w:tc>
        <w:tc>
          <w:tcPr>
            <w:tcW w:w="0" w:type="dxa"/>
            <w:vAlign w:val="bottom"/>
          </w:tcPr>
          <w:p>
            <w:pPr>
              <w:spacing w:after="0"/>
              <w:rPr>
                <w:sz w:val="1"/>
                <w:szCs w:val="1"/>
                <w:color w:val="auto"/>
              </w:rPr>
            </w:pPr>
          </w:p>
        </w:tc>
      </w:tr>
      <w:tr>
        <w:trPr>
          <w:trHeight w:val="288"/>
        </w:trPr>
        <w:tc>
          <w:tcPr>
            <w:tcW w:w="1520" w:type="dxa"/>
            <w:vAlign w:val="bottom"/>
            <w:shd w:val="clear" w:color="auto" w:fill="D8D8D8"/>
          </w:tcPr>
          <w:p>
            <w:pPr>
              <w:spacing w:after="0"/>
              <w:rPr>
                <w:sz w:val="24"/>
                <w:szCs w:val="24"/>
                <w:color w:val="auto"/>
              </w:rPr>
            </w:pPr>
          </w:p>
        </w:tc>
        <w:tc>
          <w:tcPr>
            <w:tcW w:w="9500" w:type="dxa"/>
            <w:vAlign w:val="bottom"/>
          </w:tcPr>
          <w:p>
            <w:pPr>
              <w:ind w:left="280"/>
              <w:spacing w:after="0"/>
              <w:rPr>
                <w:sz w:val="20"/>
                <w:szCs w:val="20"/>
                <w:color w:val="auto"/>
              </w:rPr>
            </w:pPr>
            <w:r>
              <w:rPr>
                <w:rFonts w:ascii="Arial" w:cs="Arial" w:eastAsia="Arial" w:hAnsi="Arial"/>
                <w:sz w:val="18"/>
                <w:szCs w:val="18"/>
                <w:color w:val="3F3F3F"/>
              </w:rPr>
              <w:t>Mr. Kraft received his Bachelor’s Degree in Accounting from the University of Dayton. Mr. Kraft was chosen as a</w:t>
            </w:r>
          </w:p>
        </w:tc>
        <w:tc>
          <w:tcPr>
            <w:tcW w:w="0" w:type="dxa"/>
            <w:vAlign w:val="bottom"/>
          </w:tcPr>
          <w:p>
            <w:pPr>
              <w:spacing w:after="0"/>
              <w:rPr>
                <w:sz w:val="1"/>
                <w:szCs w:val="1"/>
                <w:color w:val="auto"/>
              </w:rPr>
            </w:pPr>
          </w:p>
        </w:tc>
      </w:tr>
      <w:tr>
        <w:trPr>
          <w:trHeight w:val="203"/>
        </w:trPr>
        <w:tc>
          <w:tcPr>
            <w:tcW w:w="1520" w:type="dxa"/>
            <w:vAlign w:val="bottom"/>
            <w:shd w:val="clear" w:color="auto" w:fill="D8D8D8"/>
          </w:tcPr>
          <w:p>
            <w:pPr>
              <w:spacing w:after="0"/>
              <w:rPr>
                <w:sz w:val="17"/>
                <w:szCs w:val="17"/>
                <w:color w:val="auto"/>
              </w:rPr>
            </w:pPr>
          </w:p>
        </w:tc>
        <w:tc>
          <w:tcPr>
            <w:tcW w:w="9500" w:type="dxa"/>
            <w:vAlign w:val="bottom"/>
          </w:tcPr>
          <w:p>
            <w:pPr>
              <w:ind w:left="280"/>
              <w:spacing w:after="0" w:line="202" w:lineRule="exact"/>
              <w:rPr>
                <w:sz w:val="20"/>
                <w:szCs w:val="20"/>
                <w:color w:val="auto"/>
              </w:rPr>
            </w:pPr>
            <w:r>
              <w:rPr>
                <w:rFonts w:ascii="Arial" w:cs="Arial" w:eastAsia="Arial" w:hAnsi="Arial"/>
                <w:sz w:val="18"/>
                <w:szCs w:val="18"/>
                <w:color w:val="3F3F3F"/>
              </w:rPr>
              <w:t>director because of his significant financial and accounting experience from his background as an audit partner at</w:t>
            </w:r>
          </w:p>
        </w:tc>
        <w:tc>
          <w:tcPr>
            <w:tcW w:w="0" w:type="dxa"/>
            <w:vAlign w:val="bottom"/>
          </w:tcPr>
          <w:p>
            <w:pPr>
              <w:spacing w:after="0"/>
              <w:rPr>
                <w:sz w:val="1"/>
                <w:szCs w:val="1"/>
                <w:color w:val="auto"/>
              </w:rPr>
            </w:pPr>
          </w:p>
        </w:tc>
      </w:tr>
      <w:tr>
        <w:trPr>
          <w:trHeight w:val="255"/>
        </w:trPr>
        <w:tc>
          <w:tcPr>
            <w:tcW w:w="1520" w:type="dxa"/>
            <w:vAlign w:val="bottom"/>
            <w:tcBorders>
              <w:bottom w:val="single" w:sz="8" w:color="D8D8D8"/>
            </w:tcBorders>
            <w:shd w:val="clear" w:color="auto" w:fill="D8D8D8"/>
          </w:tcPr>
          <w:p>
            <w:pPr>
              <w:spacing w:after="0"/>
              <w:rPr>
                <w:sz w:val="22"/>
                <w:szCs w:val="22"/>
                <w:color w:val="auto"/>
              </w:rPr>
            </w:pPr>
          </w:p>
        </w:tc>
        <w:tc>
          <w:tcPr>
            <w:tcW w:w="9500" w:type="dxa"/>
            <w:vAlign w:val="bottom"/>
          </w:tcPr>
          <w:p>
            <w:pPr>
              <w:ind w:left="280"/>
              <w:spacing w:after="0"/>
              <w:rPr>
                <w:sz w:val="20"/>
                <w:szCs w:val="20"/>
                <w:color w:val="auto"/>
              </w:rPr>
            </w:pPr>
            <w:r>
              <w:rPr>
                <w:rFonts w:ascii="Arial" w:cs="Arial" w:eastAsia="Arial" w:hAnsi="Arial"/>
                <w:sz w:val="18"/>
                <w:szCs w:val="18"/>
                <w:color w:val="3F3F3F"/>
              </w:rPr>
              <w:t>PricewaterhouseCoopers LLP and his experience as an executive of a public company.</w:t>
            </w:r>
          </w:p>
        </w:tc>
        <w:tc>
          <w:tcPr>
            <w:tcW w:w="0" w:type="dxa"/>
            <w:vAlign w:val="bottom"/>
          </w:tcPr>
          <w:p>
            <w:pPr>
              <w:spacing w:after="0"/>
              <w:rPr>
                <w:sz w:val="1"/>
                <w:szCs w:val="1"/>
                <w:color w:val="auto"/>
              </w:rPr>
            </w:pPr>
          </w:p>
        </w:tc>
      </w:tr>
      <w:tr>
        <w:trPr>
          <w:trHeight w:val="368"/>
        </w:trPr>
        <w:tc>
          <w:tcPr>
            <w:tcW w:w="1520" w:type="dxa"/>
            <w:vAlign w:val="bottom"/>
          </w:tcPr>
          <w:p>
            <w:pPr>
              <w:spacing w:after="0"/>
              <w:rPr>
                <w:sz w:val="24"/>
                <w:szCs w:val="24"/>
                <w:color w:val="auto"/>
              </w:rPr>
            </w:pPr>
          </w:p>
        </w:tc>
        <w:tc>
          <w:tcPr>
            <w:tcW w:w="9500" w:type="dxa"/>
            <w:vAlign w:val="bottom"/>
          </w:tcPr>
          <w:p>
            <w:pPr>
              <w:ind w:left="3900"/>
              <w:spacing w:after="0"/>
              <w:rPr>
                <w:sz w:val="20"/>
                <w:szCs w:val="20"/>
                <w:color w:val="auto"/>
              </w:rPr>
            </w:pPr>
            <w:r>
              <w:rPr>
                <w:rFonts w:ascii="Arial" w:cs="Arial" w:eastAsia="Arial" w:hAnsi="Arial"/>
                <w:sz w:val="18"/>
                <w:szCs w:val="18"/>
                <w:color w:val="3F3F3F"/>
              </w:rPr>
              <w:t>11</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PROPOSAL 1 – ELECTION OF DIRECTORS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CLASS II DIRECTORS (TERMS TO EXPIRE AT THE 2024 ANNUAL MEETING)</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current members of the Board who are Class II Directors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jc w:val="right"/>
              <w:ind w:right="279"/>
              <w:spacing w:after="0"/>
              <w:rPr>
                <w:sz w:val="20"/>
                <w:szCs w:val="20"/>
                <w:color w:val="auto"/>
              </w:rPr>
            </w:pPr>
            <w:r>
              <w:rPr>
                <w:rFonts w:ascii="Arial" w:cs="Arial" w:eastAsia="Arial" w:hAnsi="Arial"/>
                <w:sz w:val="14"/>
                <w:szCs w:val="14"/>
                <w:b w:val="1"/>
                <w:bCs w:val="1"/>
                <w:color w:val="006098"/>
              </w:rPr>
              <w:t>Served as a</w:t>
            </w:r>
          </w:p>
        </w:tc>
        <w:tc>
          <w:tcPr>
            <w:tcW w:w="5420" w:type="dxa"/>
            <w:vAlign w:val="bottom"/>
          </w:tcPr>
          <w:p>
            <w:pPr>
              <w:spacing w:after="0"/>
              <w:rPr>
                <w:sz w:val="14"/>
                <w:szCs w:val="14"/>
                <w:color w:val="auto"/>
              </w:rPr>
            </w:pPr>
          </w:p>
        </w:tc>
      </w:tr>
      <w:tr>
        <w:trPr>
          <w:trHeight w:val="185"/>
        </w:trPr>
        <w:tc>
          <w:tcPr>
            <w:tcW w:w="2700" w:type="dxa"/>
            <w:vAlign w:val="bottom"/>
            <w:tcBorders>
              <w:bottom w:val="single" w:sz="8" w:color="83BA90"/>
            </w:tcBorders>
          </w:tcPr>
          <w:p>
            <w:pPr>
              <w:spacing w:after="0"/>
              <w:rPr>
                <w:sz w:val="20"/>
                <w:szCs w:val="20"/>
                <w:color w:val="auto"/>
              </w:rPr>
            </w:pPr>
            <w:r>
              <w:rPr>
                <w:rFonts w:ascii="Arial" w:cs="Arial" w:eastAsia="Arial" w:hAnsi="Arial"/>
                <w:sz w:val="14"/>
                <w:szCs w:val="14"/>
                <w:b w:val="1"/>
                <w:bCs w:val="1"/>
                <w:color w:val="006098"/>
              </w:rPr>
              <w:t>Name</w:t>
            </w:r>
          </w:p>
        </w:tc>
        <w:tc>
          <w:tcPr>
            <w:tcW w:w="1340" w:type="dxa"/>
            <w:vAlign w:val="bottom"/>
            <w:tcBorders>
              <w:bottom w:val="single" w:sz="8" w:color="83BA90"/>
            </w:tcBorders>
          </w:tcPr>
          <w:p>
            <w:pPr>
              <w:jc w:val="right"/>
              <w:ind w:right="276"/>
              <w:spacing w:after="0"/>
              <w:rPr>
                <w:sz w:val="20"/>
                <w:szCs w:val="20"/>
                <w:color w:val="auto"/>
              </w:rPr>
            </w:pPr>
            <w:r>
              <w:rPr>
                <w:rFonts w:ascii="Arial" w:cs="Arial" w:eastAsia="Arial" w:hAnsi="Arial"/>
                <w:sz w:val="14"/>
                <w:szCs w:val="14"/>
                <w:b w:val="1"/>
                <w:bCs w:val="1"/>
                <w:color w:val="006098"/>
              </w:rPr>
              <w:t>Age</w:t>
            </w:r>
          </w:p>
        </w:tc>
        <w:tc>
          <w:tcPr>
            <w:tcW w:w="1560" w:type="dxa"/>
            <w:vAlign w:val="bottom"/>
            <w:tcBorders>
              <w:bottom w:val="single" w:sz="8" w:color="83BA90"/>
            </w:tcBorders>
          </w:tcPr>
          <w:p>
            <w:pPr>
              <w:jc w:val="right"/>
              <w:ind w:right="179"/>
              <w:spacing w:after="0"/>
              <w:rPr>
                <w:sz w:val="20"/>
                <w:szCs w:val="20"/>
                <w:color w:val="auto"/>
              </w:rPr>
            </w:pPr>
            <w:r>
              <w:rPr>
                <w:rFonts w:ascii="Arial" w:cs="Arial" w:eastAsia="Arial" w:hAnsi="Arial"/>
                <w:sz w:val="14"/>
                <w:szCs w:val="14"/>
                <w:b w:val="1"/>
                <w:bCs w:val="1"/>
                <w:color w:val="006098"/>
              </w:rPr>
              <w:t>Director Since</w:t>
            </w:r>
          </w:p>
        </w:tc>
        <w:tc>
          <w:tcPr>
            <w:tcW w:w="5420" w:type="dxa"/>
            <w:vAlign w:val="bottom"/>
            <w:tcBorders>
              <w:bottom w:val="single" w:sz="8" w:color="83BA90"/>
            </w:tcBorders>
          </w:tcPr>
          <w:p>
            <w:pPr>
              <w:ind w:left="260"/>
              <w:spacing w:after="0"/>
              <w:rPr>
                <w:sz w:val="20"/>
                <w:szCs w:val="20"/>
                <w:color w:val="auto"/>
              </w:rPr>
            </w:pPr>
            <w:r>
              <w:rPr>
                <w:rFonts w:ascii="Arial" w:cs="Arial" w:eastAsia="Arial" w:hAnsi="Arial"/>
                <w:sz w:val="14"/>
                <w:szCs w:val="14"/>
                <w:b w:val="1"/>
                <w:bCs w:val="1"/>
                <w:color w:val="006098"/>
              </w:rPr>
              <w:t>Position with Medpace</w:t>
            </w:r>
          </w:p>
        </w:tc>
      </w:tr>
      <w:tr>
        <w:trPr>
          <w:trHeight w:val="196"/>
        </w:trPr>
        <w:tc>
          <w:tcPr>
            <w:tcW w:w="270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3F3F3F"/>
              </w:rPr>
              <w:t>Fred B. Davenport, Jr.</w:t>
            </w:r>
          </w:p>
        </w:tc>
        <w:tc>
          <w:tcPr>
            <w:tcW w:w="1340" w:type="dxa"/>
            <w:vAlign w:val="bottom"/>
            <w:tcBorders>
              <w:bottom w:val="single" w:sz="8" w:color="BFBFBF"/>
            </w:tcBorders>
          </w:tcPr>
          <w:p>
            <w:pPr>
              <w:jc w:val="right"/>
              <w:ind w:right="236"/>
              <w:spacing w:after="0" w:line="196" w:lineRule="exact"/>
              <w:rPr>
                <w:sz w:val="20"/>
                <w:szCs w:val="20"/>
                <w:color w:val="auto"/>
              </w:rPr>
            </w:pPr>
            <w:r>
              <w:rPr>
                <w:rFonts w:ascii="Arial" w:cs="Arial" w:eastAsia="Arial" w:hAnsi="Arial"/>
                <w:sz w:val="18"/>
                <w:szCs w:val="18"/>
                <w:color w:val="3F3F3F"/>
              </w:rPr>
              <w:t>70</w:t>
            </w:r>
          </w:p>
        </w:tc>
        <w:tc>
          <w:tcPr>
            <w:tcW w:w="1560" w:type="dxa"/>
            <w:vAlign w:val="bottom"/>
            <w:tcBorders>
              <w:bottom w:val="single" w:sz="8" w:color="BFBFBF"/>
            </w:tcBorders>
          </w:tcPr>
          <w:p>
            <w:pPr>
              <w:jc w:val="right"/>
              <w:ind w:right="439"/>
              <w:spacing w:after="0" w:line="196" w:lineRule="exact"/>
              <w:rPr>
                <w:sz w:val="20"/>
                <w:szCs w:val="20"/>
                <w:color w:val="auto"/>
              </w:rPr>
            </w:pPr>
            <w:r>
              <w:rPr>
                <w:rFonts w:ascii="Arial" w:cs="Arial" w:eastAsia="Arial" w:hAnsi="Arial"/>
                <w:sz w:val="18"/>
                <w:szCs w:val="18"/>
                <w:color w:val="3F3F3F"/>
              </w:rPr>
              <w:t>2018</w:t>
            </w:r>
          </w:p>
        </w:tc>
        <w:tc>
          <w:tcPr>
            <w:tcW w:w="5420" w:type="dxa"/>
            <w:vAlign w:val="bottom"/>
            <w:tcBorders>
              <w:bottom w:val="single" w:sz="8" w:color="BFBFBF"/>
            </w:tcBorders>
          </w:tcPr>
          <w:p>
            <w:pPr>
              <w:ind w:left="260"/>
              <w:spacing w:after="0" w:line="196" w:lineRule="exact"/>
              <w:rPr>
                <w:sz w:val="20"/>
                <w:szCs w:val="20"/>
                <w:color w:val="auto"/>
              </w:rPr>
            </w:pPr>
            <w:r>
              <w:rPr>
                <w:rFonts w:ascii="Arial" w:cs="Arial" w:eastAsia="Arial" w:hAnsi="Arial"/>
                <w:sz w:val="18"/>
                <w:szCs w:val="18"/>
                <w:color w:val="3F3F3F"/>
              </w:rPr>
              <w:t>Lead Director</w:t>
            </w:r>
          </w:p>
        </w:tc>
      </w:tr>
      <w:tr>
        <w:trPr>
          <w:trHeight w:val="196"/>
        </w:trPr>
        <w:tc>
          <w:tcPr>
            <w:tcW w:w="270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3F3F3F"/>
              </w:rPr>
              <w:t>Cornelius P. McCarthy III</w:t>
            </w:r>
          </w:p>
        </w:tc>
        <w:tc>
          <w:tcPr>
            <w:tcW w:w="1340" w:type="dxa"/>
            <w:vAlign w:val="bottom"/>
            <w:tcBorders>
              <w:bottom w:val="single" w:sz="8" w:color="BFBFBF"/>
            </w:tcBorders>
          </w:tcPr>
          <w:p>
            <w:pPr>
              <w:jc w:val="right"/>
              <w:ind w:right="236"/>
              <w:spacing w:after="0" w:line="196" w:lineRule="exact"/>
              <w:rPr>
                <w:sz w:val="20"/>
                <w:szCs w:val="20"/>
                <w:color w:val="auto"/>
              </w:rPr>
            </w:pPr>
            <w:r>
              <w:rPr>
                <w:rFonts w:ascii="Arial" w:cs="Arial" w:eastAsia="Arial" w:hAnsi="Arial"/>
                <w:sz w:val="18"/>
                <w:szCs w:val="18"/>
                <w:color w:val="3F3F3F"/>
              </w:rPr>
              <w:t>62</w:t>
            </w:r>
          </w:p>
        </w:tc>
        <w:tc>
          <w:tcPr>
            <w:tcW w:w="1560" w:type="dxa"/>
            <w:vAlign w:val="bottom"/>
            <w:tcBorders>
              <w:bottom w:val="single" w:sz="8" w:color="BFBFBF"/>
            </w:tcBorders>
          </w:tcPr>
          <w:p>
            <w:pPr>
              <w:jc w:val="right"/>
              <w:ind w:right="439"/>
              <w:spacing w:after="0" w:line="196" w:lineRule="exact"/>
              <w:rPr>
                <w:sz w:val="20"/>
                <w:szCs w:val="20"/>
                <w:color w:val="auto"/>
              </w:rPr>
            </w:pPr>
            <w:r>
              <w:rPr>
                <w:rFonts w:ascii="Arial" w:cs="Arial" w:eastAsia="Arial" w:hAnsi="Arial"/>
                <w:sz w:val="18"/>
                <w:szCs w:val="18"/>
                <w:color w:val="3F3F3F"/>
              </w:rPr>
              <w:t>2018</w:t>
            </w:r>
          </w:p>
        </w:tc>
        <w:tc>
          <w:tcPr>
            <w:tcW w:w="5420" w:type="dxa"/>
            <w:vAlign w:val="bottom"/>
            <w:tcBorders>
              <w:bottom w:val="single" w:sz="8" w:color="BFBFBF"/>
            </w:tcBorders>
          </w:tcPr>
          <w:p>
            <w:pPr>
              <w:ind w:left="260"/>
              <w:spacing w:after="0" w:line="196" w:lineRule="exact"/>
              <w:rPr>
                <w:sz w:val="20"/>
                <w:szCs w:val="20"/>
                <w:color w:val="auto"/>
              </w:rPr>
            </w:pPr>
            <w:r>
              <w:rPr>
                <w:rFonts w:ascii="Arial" w:cs="Arial" w:eastAsia="Arial" w:hAnsi="Arial"/>
                <w:sz w:val="18"/>
                <w:szCs w:val="18"/>
                <w:color w:val="3F3F3F"/>
              </w:rPr>
              <w:t>Director</w:t>
            </w: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principal occupations and business experience, for at least the past five years, of each Class II Director are as follows: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Fred B. Davenport,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1817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81737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2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3F87B1"/>
        </w:rPr>
        <w:t xml:space="preserve">Age: </w:t>
      </w:r>
      <w:r>
        <w:rPr>
          <w:rFonts w:ascii="Arial" w:cs="Arial" w:eastAsia="Arial" w:hAnsi="Arial"/>
          <w:sz w:val="16"/>
          <w:szCs w:val="16"/>
          <w:color w:val="3F3F3F"/>
        </w:rPr>
        <w:t>70</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3F87B1"/>
        </w:rPr>
        <w:t>Director Since: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3F3F3F"/>
        </w:rPr>
        <w:t>August 13, 2018</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3F3F3F"/>
        </w:rPr>
        <w:t>Mr. Davenport is a partner at the law firm of Murchison, Taylor &amp; Gibson, PLLC and focuses his practice on mergers and acquisitions, general corporate representation and estate planning. He previously served as President of Pharmaceutical Product Development, Inc. (“PPD”) from 2002 to 2006. From 2001 to 2002, Mr. Davenport was Executive Vice President of PPD and from 1996 to 2001 he was General Counsel of PPD. Prior to joining PPD, Mr. Davenport practiced at Murchison, Taylor &amp; Gibson, PLLC as an associate from 1977 to 1980 and as a partner from 1981 to 1996, which included acting as the managing partner from 1991 to 1995. Mr. Davenport has also served on the faculty of the Cameron School of Business as a tenured professor. From 2015 to March 2016,</w:t>
      </w:r>
    </w:p>
    <w:p>
      <w:pPr>
        <w:spacing w:after="0" w:line="5"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3F3F3F"/>
        </w:rPr>
        <w:t>Mr. Davenport was a Director of Clinipace Worldwide and from 2009 to 2011 he was a Director of Medex Global Group, Inc. Additionally, Mr. Davenport was a Director of predecessor entities of the Company from 2007 to 2013. Mr. Davenport has also served on numerous community and non-profit boards.</w:t>
      </w:r>
    </w:p>
    <w:p>
      <w:pPr>
        <w:spacing w:after="0" w:line="8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3F3F3F"/>
        </w:rPr>
        <w:t>Mr. Davenport received his Bachelor’s Degree, MBA and JD from the University of North Carolina at Chapel Hill. Mr. Davenport was chosen as a director because of his significant experience in the CRO industry, his experience as an executive and his experience serving on boards.</w:t>
      </w:r>
    </w:p>
    <w:p>
      <w:pPr>
        <w:spacing w:after="0" w:line="200" w:lineRule="exact"/>
        <w:rPr>
          <w:sz w:val="20"/>
          <w:szCs w:val="20"/>
          <w:color w:val="auto"/>
        </w:rPr>
      </w:pPr>
    </w:p>
    <w:p>
      <w:pPr>
        <w:sectPr>
          <w:pgSz w:w="11900" w:h="16838" w:orient="portrait"/>
          <w:cols w:equalWidth="0" w:num="2">
            <w:col w:w="1360" w:space="540"/>
            <w:col w:w="9240"/>
          </w:cols>
          <w:pgMar w:left="320" w:top="455" w:right="439" w:bottom="1440" w:gutter="0" w:footer="0" w:header="0"/>
          <w:type w:val="continuous"/>
        </w:sectPr>
      </w:pP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06098"/>
        </w:rPr>
        <w:t>Cornelius P. McCarthy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59055</wp:posOffset>
            </wp:positionV>
            <wp:extent cx="6995160" cy="1431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43192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p>
      <w:pPr>
        <w:spacing w:after="0" w:line="13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3F87B1"/>
        </w:rPr>
        <w:t xml:space="preserve">Age: </w:t>
      </w:r>
      <w:r>
        <w:rPr>
          <w:rFonts w:ascii="Arial" w:cs="Arial" w:eastAsia="Arial" w:hAnsi="Arial"/>
          <w:sz w:val="16"/>
          <w:szCs w:val="16"/>
          <w:color w:val="3F3F3F"/>
        </w:rPr>
        <w:t>62</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3F87B1"/>
        </w:rPr>
        <w:t>Director Since: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3F3F3F"/>
        </w:rPr>
        <w:t>August 13, 2018</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660"/>
        <w:spacing w:after="0" w:line="259" w:lineRule="auto"/>
        <w:rPr>
          <w:sz w:val="20"/>
          <w:szCs w:val="20"/>
          <w:color w:val="auto"/>
        </w:rPr>
      </w:pPr>
      <w:r>
        <w:rPr>
          <w:rFonts w:ascii="Arial" w:cs="Arial" w:eastAsia="Arial" w:hAnsi="Arial"/>
          <w:sz w:val="17"/>
          <w:szCs w:val="17"/>
          <w:color w:val="3F3F3F"/>
        </w:rPr>
        <w:t>Mr. McCarthy has served as the Managing Director and CEO of Fairmount Partners since 2003 and focuses primarily on healthcare and pharmaceutical outsourced services. Prior to founding Fairmount Partners,</w:t>
      </w:r>
    </w:p>
    <w:p>
      <w:pPr>
        <w:spacing w:after="0" w:line="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3F3F3F"/>
        </w:rPr>
        <w:t>Mr. McCarthy was Vice President, Managing Director and Head of US Investment Banking at PMG/Investec from 1997 to 2003. Prior to 1997, Mr. McCarthy held a number of legal and investment banking roles. Mr. McCarthy is currently a Director of Atlantic Research Services, LLC and NMS Laboratories, Inc. Additionally, Mr. McCarthy was a Director of Cambridge Biomedical, Inc. from December 2016 until its sale in November 2019, and from 2006 to 2013 he was a Director of predecessor entities of the Company.</w:t>
      </w:r>
    </w:p>
    <w:p>
      <w:pPr>
        <w:spacing w:after="0" w:line="8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3F3F3F"/>
        </w:rPr>
        <w:t>Mr. McCarthy received his undergraduate degree from the University of Virginia where he was an Echols Scholar and his JD from Villanova Law School. Mr. McCarthy was chosen as a director because of his significant investment and financial experience, his experience in the CRO industry and his experience serving on boards.</w:t>
      </w:r>
    </w:p>
    <w:p>
      <w:pPr>
        <w:spacing w:after="0" w:line="155" w:lineRule="exact"/>
        <w:rPr>
          <w:sz w:val="20"/>
          <w:szCs w:val="20"/>
          <w:color w:val="auto"/>
        </w:rPr>
      </w:pPr>
    </w:p>
    <w:p>
      <w:pPr>
        <w:sectPr>
          <w:pgSz w:w="11900" w:h="16838" w:orient="portrait"/>
          <w:cols w:equalWidth="0" w:num="2">
            <w:col w:w="1360" w:space="540"/>
            <w:col w:w="9240"/>
          </w:cols>
          <w:pgMar w:left="320" w:top="455" w:right="439" w:bottom="1440" w:gutter="0" w:footer="0" w:header="0"/>
          <w:type w:val="continuous"/>
        </w:sectPr>
      </w:pPr>
    </w:p>
    <w:p>
      <w:pPr>
        <w:jc w:val="center"/>
        <w:ind w:right="-99"/>
        <w:spacing w:after="0"/>
        <w:rPr>
          <w:sz w:val="20"/>
          <w:szCs w:val="20"/>
          <w:color w:val="auto"/>
        </w:rPr>
      </w:pPr>
      <w:r>
        <w:rPr>
          <w:rFonts w:ascii="Arial" w:cs="Arial" w:eastAsia="Arial" w:hAnsi="Arial"/>
          <w:sz w:val="17"/>
          <w:szCs w:val="17"/>
          <w:color w:val="3F3F3F"/>
        </w:rPr>
        <w:t>12</w:t>
      </w:r>
    </w:p>
    <w:p>
      <w:pPr>
        <w:sectPr>
          <w:pgSz w:w="11900" w:h="16838" w:orient="portrait"/>
          <w:cols w:equalWidth="0" w:num="1">
            <w:col w:w="11140"/>
          </w:cols>
          <w:pgMar w:left="320" w:top="455" w:right="4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PROPOSAL 2</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3F3F3F"/>
        </w:rPr>
        <w:t>Our Audit Committee has appointed Deloitte &amp; Touche LLP as our independent registered public accounting firm for the fiscal year ending December 31, 2022. Deloitte &amp; Touche LLP has served as our independent registered public accounting firm since 2002. Our Board has directed that this appointment be submitted to our stockholders for ratification. Although ratification of our appointment of Deloitte &amp; Touche LLP is not required, we value the opinions of our stockholders and believe that stockholder ratification of our appointment is a good corporate governance practice.</w:t>
      </w:r>
    </w:p>
    <w:p>
      <w:pPr>
        <w:spacing w:after="0" w:line="176"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3F3F3F"/>
        </w:rPr>
        <w:t>Deloitte &amp; Touche LLP also served as our independent registered public accounting firm for the fiscal year ended December 31, 2021. Neither the accounting firm nor any of its members has any direct or indirect financial interest in or any connection with us in any capacity other than as our auditors, providing audit and non-audit related services. A representative of Deloitte &amp; Touche LLP is expected to virtually attend the Annual Meeting and to have an opportunity to make a statement and be available to respond to appropriate questions from stockholders.</w:t>
      </w:r>
    </w:p>
    <w:p>
      <w:pPr>
        <w:spacing w:after="0" w:line="176"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3F3F3F"/>
        </w:rPr>
        <w:t>In the event that the appointment of Deloitte &amp; Touche LLP is not ratified by the stockholders, the Audit Committee will consider this fact when it appoints the independent auditors for the fiscal year ending December 31, 2023. Even if the appointment of Deloitte &amp; Touche LLP is ratified, the Audit Committee retains the discretion to appoint a different independent auditor at any time if it determines that such a change is in the interests of the Company.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VOTE REQUIRED</w:t>
      </w:r>
    </w:p>
    <w:p>
      <w:pPr>
        <w:spacing w:after="0" w:line="104"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3F3F3F"/>
        </w:rPr>
        <w:t>This proposal requires the affirmative vote of the holders of a majority in voting power of the shares present and entitled to vote on the matter. Abstentions have the same effect as votes against the proposal. Because brokers have discretionary authority to vote on the ratification of the appointment of Deloitte &amp; Touche LLP, we do not expect any broker non-votes in connection with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247650</wp:posOffset>
            </wp:positionV>
            <wp:extent cx="6995160" cy="445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44577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900" w:right="180"/>
        <w:spacing w:after="0" w:line="281" w:lineRule="auto"/>
        <w:rPr>
          <w:sz w:val="20"/>
          <w:szCs w:val="20"/>
          <w:color w:val="auto"/>
        </w:rPr>
      </w:pPr>
      <w:r>
        <w:rPr>
          <w:rFonts w:ascii="Arial" w:cs="Arial" w:eastAsia="Arial" w:hAnsi="Arial"/>
          <w:sz w:val="18"/>
          <w:szCs w:val="18"/>
          <w:b w:val="1"/>
          <w:bCs w:val="1"/>
          <w:color w:val="FFFFFF"/>
        </w:rPr>
        <w:t xml:space="preserve">The Board of Directors unanimously recommends a vote </w:t>
      </w:r>
      <w:r>
        <w:rPr>
          <w:rFonts w:ascii="Arial" w:cs="Arial" w:eastAsia="Arial" w:hAnsi="Arial"/>
          <w:sz w:val="18"/>
          <w:szCs w:val="18"/>
          <w:b w:val="1"/>
          <w:bCs w:val="1"/>
          <w:color w:val="83BA90"/>
        </w:rPr>
        <w:t>FOR</w:t>
      </w:r>
      <w:r>
        <w:rPr>
          <w:rFonts w:ascii="Arial" w:cs="Arial" w:eastAsia="Arial" w:hAnsi="Arial"/>
          <w:sz w:val="18"/>
          <w:szCs w:val="18"/>
          <w:b w:val="1"/>
          <w:bCs w:val="1"/>
          <w:color w:val="FFFFFF"/>
        </w:rPr>
        <w:t xml:space="preserve"> the ratification of the appointment of Deloitte &amp; Touche LLP as our independent registered public accounting firm.</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F3F3F"/>
        </w:rPr>
        <w:t>13</w:t>
      </w:r>
    </w:p>
    <w:p>
      <w:pPr>
        <w:sectPr>
          <w:pgSz w:w="11900" w:h="16838" w:orient="portrait"/>
          <w:cols w:equalWidth="0" w:num="1">
            <w:col w:w="11100"/>
          </w:cols>
          <w:pgMar w:left="320" w:top="455" w:right="4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Report of the Audit Committee of the Board of Directors</w:t>
      </w:r>
    </w:p>
    <w:p>
      <w:pPr>
        <w:spacing w:after="0" w:line="108" w:lineRule="exact"/>
        <w:rPr>
          <w:sz w:val="20"/>
          <w:szCs w:val="20"/>
          <w:color w:val="auto"/>
        </w:rPr>
      </w:pPr>
    </w:p>
    <w:p>
      <w:pPr>
        <w:ind w:left="120" w:right="320"/>
        <w:spacing w:after="0" w:line="244" w:lineRule="auto"/>
        <w:rPr>
          <w:sz w:val="20"/>
          <w:szCs w:val="20"/>
          <w:color w:val="auto"/>
        </w:rPr>
      </w:pPr>
      <w:r>
        <w:rPr>
          <w:rFonts w:ascii="Arial" w:cs="Arial" w:eastAsia="Arial" w:hAnsi="Arial"/>
          <w:sz w:val="18"/>
          <w:szCs w:val="18"/>
          <w:color w:val="3F3F3F"/>
        </w:rPr>
        <w:t>The Audit Committee has reviewed the Company’s audited financial statements for the fiscal year ended December 31, 2021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under applicable Public Company Accounting Oversight Board (“PCAOB”) standards.</w:t>
      </w:r>
    </w:p>
    <w:p>
      <w:pPr>
        <w:spacing w:after="0" w:line="176"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3F3F3F"/>
        </w:rPr>
        <w:t>The Company’s independent registered public accounting firm also provided the Audit Committee with a formal written statement required by applicable requirements of the PCAOB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Medpace Holdings, Inc.</w:t>
      </w:r>
    </w:p>
    <w:p>
      <w:pPr>
        <w:spacing w:after="0" w:line="176" w:lineRule="exact"/>
        <w:rPr>
          <w:sz w:val="20"/>
          <w:szCs w:val="20"/>
          <w:color w:val="auto"/>
        </w:rPr>
      </w:pPr>
    </w:p>
    <w:p>
      <w:pPr>
        <w:jc w:val="both"/>
        <w:ind w:left="120" w:right="80"/>
        <w:spacing w:after="0" w:line="247" w:lineRule="auto"/>
        <w:rPr>
          <w:sz w:val="20"/>
          <w:szCs w:val="20"/>
          <w:color w:val="auto"/>
        </w:rPr>
      </w:pPr>
      <w:r>
        <w:rPr>
          <w:rFonts w:ascii="Arial" w:cs="Arial" w:eastAsia="Arial" w:hAnsi="Arial"/>
          <w:sz w:val="18"/>
          <w:szCs w:val="18"/>
          <w:color w:val="3F3F3F"/>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financial statements be included in the Company’s Annual Report on Form 10-K for the fiscal year ended December 31, 2021.</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Brian T. Carley (Chair)</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Fred B. Davenport, Jr.</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Robert O. Kraft</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3F3F3F"/>
        </w:rPr>
        <w:t>14</w:t>
      </w:r>
    </w:p>
    <w:p>
      <w:pPr>
        <w:sectPr>
          <w:pgSz w:w="11900" w:h="16838" w:orient="portrait"/>
          <w:cols w:equalWidth="0" w:num="1">
            <w:col w:w="11060"/>
          </w:cols>
          <w:pgMar w:left="320" w:top="455" w:right="5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Independent Registered Public Accounting Firm Fees and Other Matters</w:t>
      </w:r>
    </w:p>
    <w:p>
      <w:pPr>
        <w:spacing w:after="0" w:line="108" w:lineRule="exact"/>
        <w:rPr>
          <w:sz w:val="20"/>
          <w:szCs w:val="20"/>
          <w:color w:val="auto"/>
        </w:rPr>
      </w:pPr>
    </w:p>
    <w:p>
      <w:pPr>
        <w:jc w:val="both"/>
        <w:ind w:left="120" w:right="360"/>
        <w:spacing w:after="0" w:line="253" w:lineRule="auto"/>
        <w:rPr>
          <w:sz w:val="20"/>
          <w:szCs w:val="20"/>
          <w:color w:val="auto"/>
        </w:rPr>
      </w:pPr>
      <w:r>
        <w:rPr>
          <w:rFonts w:ascii="Arial" w:cs="Arial" w:eastAsia="Arial" w:hAnsi="Arial"/>
          <w:sz w:val="18"/>
          <w:szCs w:val="18"/>
          <w:color w:val="3F3F3F"/>
        </w:rPr>
        <w:t>The following table summarizes the fees of Deloitte &amp; Touche LLP and its subsidiaries and affiliates, our independent registered public accounting firm, billed to us for each of the last two fiscal years for audit services and billed to us in each of the last two fiscal years for other services: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40" w:type="dxa"/>
            <w:vAlign w:val="bottom"/>
            <w:tcBorders>
              <w:bottom w:val="single" w:sz="8" w:color="83BA90"/>
            </w:tcBorders>
          </w:tcPr>
          <w:p>
            <w:pPr>
              <w:spacing w:after="0"/>
              <w:rPr>
                <w:sz w:val="20"/>
                <w:szCs w:val="20"/>
                <w:color w:val="auto"/>
              </w:rPr>
            </w:pPr>
            <w:r>
              <w:rPr>
                <w:rFonts w:ascii="Arial" w:cs="Arial" w:eastAsia="Arial" w:hAnsi="Arial"/>
                <w:sz w:val="14"/>
                <w:szCs w:val="14"/>
                <w:b w:val="1"/>
                <w:bCs w:val="1"/>
                <w:color w:val="006098"/>
              </w:rPr>
              <w:t>Fee Category</w:t>
            </w:r>
          </w:p>
        </w:tc>
        <w:tc>
          <w:tcPr>
            <w:tcW w:w="920" w:type="dxa"/>
            <w:vAlign w:val="bottom"/>
            <w:tcBorders>
              <w:bottom w:val="single" w:sz="8" w:color="83BA90"/>
            </w:tcBorders>
          </w:tcPr>
          <w:p>
            <w:pPr>
              <w:jc w:val="right"/>
              <w:ind w:right="214"/>
              <w:spacing w:after="0"/>
              <w:rPr>
                <w:sz w:val="20"/>
                <w:szCs w:val="20"/>
                <w:color w:val="auto"/>
              </w:rPr>
            </w:pPr>
            <w:r>
              <w:rPr>
                <w:rFonts w:ascii="Arial" w:cs="Arial" w:eastAsia="Arial" w:hAnsi="Arial"/>
                <w:sz w:val="14"/>
                <w:szCs w:val="14"/>
                <w:b w:val="1"/>
                <w:bCs w:val="1"/>
                <w:color w:val="006098"/>
              </w:rPr>
              <w:t>2021</w:t>
            </w:r>
          </w:p>
        </w:tc>
        <w:tc>
          <w:tcPr>
            <w:tcW w:w="1560" w:type="dxa"/>
            <w:vAlign w:val="bottom"/>
            <w:tcBorders>
              <w:bottom w:val="single" w:sz="8" w:color="83BA90"/>
            </w:tcBorders>
            <w:gridSpan w:val="2"/>
          </w:tcPr>
          <w:p>
            <w:pPr>
              <w:jc w:val="right"/>
              <w:ind w:right="210"/>
              <w:spacing w:after="0"/>
              <w:rPr>
                <w:sz w:val="20"/>
                <w:szCs w:val="20"/>
                <w:color w:val="auto"/>
              </w:rPr>
            </w:pPr>
            <w:r>
              <w:rPr>
                <w:rFonts w:ascii="Arial" w:cs="Arial" w:eastAsia="Arial" w:hAnsi="Arial"/>
                <w:sz w:val="14"/>
                <w:szCs w:val="14"/>
                <w:b w:val="1"/>
                <w:bCs w:val="1"/>
                <w:color w:val="006098"/>
              </w:rPr>
              <w:t>2020</w:t>
            </w:r>
          </w:p>
        </w:tc>
        <w:tc>
          <w:tcPr>
            <w:tcW w:w="100" w:type="dxa"/>
            <w:vAlign w:val="bottom"/>
            <w:tcBorders>
              <w:bottom w:val="single" w:sz="8" w:color="83BA90"/>
            </w:tcBorders>
          </w:tcPr>
          <w:p>
            <w:pPr>
              <w:spacing w:after="0"/>
              <w:rPr>
                <w:sz w:val="14"/>
                <w:szCs w:val="14"/>
                <w:color w:val="auto"/>
              </w:rPr>
            </w:pPr>
          </w:p>
        </w:tc>
      </w:tr>
      <w:tr>
        <w:trPr>
          <w:trHeight w:val="177"/>
        </w:trPr>
        <w:tc>
          <w:tcPr>
            <w:tcW w:w="8440" w:type="dxa"/>
            <w:vAlign w:val="bottom"/>
          </w:tcPr>
          <w:p>
            <w:pPr>
              <w:spacing w:after="0" w:line="177" w:lineRule="exact"/>
              <w:rPr>
                <w:sz w:val="20"/>
                <w:szCs w:val="20"/>
                <w:color w:val="auto"/>
              </w:rPr>
            </w:pPr>
            <w:r>
              <w:rPr>
                <w:rFonts w:ascii="Arial" w:cs="Arial" w:eastAsia="Arial" w:hAnsi="Arial"/>
                <w:sz w:val="18"/>
                <w:szCs w:val="18"/>
                <w:color w:val="3F3F3F"/>
              </w:rPr>
              <w:t>Audit Fees</w:t>
            </w:r>
          </w:p>
        </w:tc>
        <w:tc>
          <w:tcPr>
            <w:tcW w:w="920" w:type="dxa"/>
            <w:vAlign w:val="bottom"/>
          </w:tcPr>
          <w:p>
            <w:pPr>
              <w:jc w:val="right"/>
              <w:spacing w:after="0" w:line="177" w:lineRule="exact"/>
              <w:rPr>
                <w:sz w:val="20"/>
                <w:szCs w:val="20"/>
                <w:color w:val="auto"/>
              </w:rPr>
            </w:pPr>
            <w:r>
              <w:rPr>
                <w:rFonts w:ascii="Arial" w:cs="Arial" w:eastAsia="Arial" w:hAnsi="Arial"/>
                <w:sz w:val="18"/>
                <w:szCs w:val="18"/>
                <w:color w:val="3F3F3F"/>
                <w:w w:val="99"/>
              </w:rPr>
              <w:t>$1,012,000</w:t>
            </w:r>
          </w:p>
        </w:tc>
        <w:tc>
          <w:tcPr>
            <w:tcW w:w="1660" w:type="dxa"/>
            <w:vAlign w:val="bottom"/>
            <w:gridSpan w:val="3"/>
          </w:tcPr>
          <w:p>
            <w:pPr>
              <w:jc w:val="right"/>
              <w:ind w:right="100"/>
              <w:spacing w:after="0" w:line="177" w:lineRule="exact"/>
              <w:rPr>
                <w:sz w:val="20"/>
                <w:szCs w:val="20"/>
                <w:color w:val="auto"/>
              </w:rPr>
            </w:pPr>
            <w:r>
              <w:rPr>
                <w:rFonts w:ascii="Arial" w:cs="Arial" w:eastAsia="Arial" w:hAnsi="Arial"/>
                <w:sz w:val="18"/>
                <w:szCs w:val="18"/>
                <w:color w:val="3F3F3F"/>
              </w:rPr>
              <w:t>$1,001,000</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3F3F3F"/>
              </w:rPr>
              <w:t>Tax Fees</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3F3F3F"/>
              </w:rPr>
              <w:t>52,200</w:t>
            </w:r>
          </w:p>
        </w:tc>
        <w:tc>
          <w:tcPr>
            <w:tcW w:w="16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3F3F3F"/>
              </w:rPr>
              <w:t>415,500</w:t>
            </w:r>
          </w:p>
        </w:tc>
      </w:tr>
      <w:tr>
        <w:trPr>
          <w:trHeight w:val="221"/>
        </w:trPr>
        <w:tc>
          <w:tcPr>
            <w:tcW w:w="8440" w:type="dxa"/>
            <w:vAlign w:val="bottom"/>
          </w:tcPr>
          <w:p>
            <w:pPr>
              <w:spacing w:after="0"/>
              <w:rPr>
                <w:sz w:val="20"/>
                <w:szCs w:val="20"/>
                <w:color w:val="auto"/>
              </w:rPr>
            </w:pPr>
            <w:r>
              <w:rPr>
                <w:rFonts w:ascii="Arial" w:cs="Arial" w:eastAsia="Arial" w:hAnsi="Arial"/>
                <w:sz w:val="18"/>
                <w:szCs w:val="18"/>
                <w:color w:val="3F3F3F"/>
              </w:rPr>
              <w:t>All Other Fees</w:t>
            </w:r>
          </w:p>
        </w:tc>
        <w:tc>
          <w:tcPr>
            <w:tcW w:w="920" w:type="dxa"/>
            <w:vAlign w:val="bottom"/>
          </w:tcPr>
          <w:p>
            <w:pPr>
              <w:jc w:val="right"/>
              <w:spacing w:after="0"/>
              <w:rPr>
                <w:sz w:val="20"/>
                <w:szCs w:val="20"/>
                <w:color w:val="auto"/>
              </w:rPr>
            </w:pPr>
            <w:r>
              <w:rPr>
                <w:rFonts w:ascii="Arial" w:cs="Arial" w:eastAsia="Arial" w:hAnsi="Arial"/>
                <w:sz w:val="18"/>
                <w:szCs w:val="18"/>
                <w:color w:val="3F3F3F"/>
              </w:rPr>
              <w:t>2,000</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3F3F3F"/>
              </w:rPr>
              <w:t>2,000</w:t>
            </w:r>
          </w:p>
        </w:tc>
      </w:tr>
      <w:tr>
        <w:trPr>
          <w:trHeight w:val="210"/>
        </w:trPr>
        <w:tc>
          <w:tcPr>
            <w:tcW w:w="8440" w:type="dxa"/>
            <w:vAlign w:val="bottom"/>
          </w:tcPr>
          <w:p>
            <w:pPr>
              <w:ind w:left="640"/>
              <w:spacing w:after="0"/>
              <w:rPr>
                <w:sz w:val="20"/>
                <w:szCs w:val="20"/>
                <w:color w:val="auto"/>
              </w:rPr>
            </w:pPr>
            <w:r>
              <w:rPr>
                <w:rFonts w:ascii="Arial" w:cs="Arial" w:eastAsia="Arial" w:hAnsi="Arial"/>
                <w:sz w:val="18"/>
                <w:szCs w:val="18"/>
                <w:color w:val="3F3F3F"/>
              </w:rPr>
              <w:t>Total Fees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F3F3F"/>
                <w:w w:val="99"/>
              </w:rPr>
              <w:t>$1,066,200</w:t>
            </w:r>
          </w:p>
        </w:tc>
        <w:tc>
          <w:tcPr>
            <w:tcW w:w="6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F3F3F"/>
                <w:w w:val="99"/>
              </w:rPr>
              <w:t>$1,418,500</w:t>
            </w:r>
          </w:p>
        </w:tc>
        <w:tc>
          <w:tcPr>
            <w:tcW w:w="100" w:type="dxa"/>
            <w:vAlign w:val="bottom"/>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color w:val="3F3F3F"/>
        </w:rPr>
        <w:t>“Audit Fees” consist of fees billed for the audit of our annual consolidated financial statements, the review of the interim consolidated financial statements, statutory audits of foreign subsidiaries, and consultation on accounting matters.</w:t>
      </w:r>
    </w:p>
    <w:p>
      <w:pPr>
        <w:spacing w:after="0" w:line="154"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3F3F3F"/>
        </w:rPr>
        <w:t>“Tax Fees” consist of professional services for tax consulting and tax compliance performed by Deloitte &amp; Touche LLP and its subsidiaries and affiliates.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F3F3F"/>
        </w:rPr>
        <w:t>“</w:t>
      </w:r>
      <w:r>
        <w:rPr>
          <w:rFonts w:ascii="Arial" w:cs="Arial" w:eastAsia="Arial" w:hAnsi="Arial"/>
          <w:sz w:val="18"/>
          <w:szCs w:val="18"/>
          <w:color w:val="3F3F3F"/>
        </w:rPr>
        <w:t>All Other Fees” are comprised of fees for miscellaneous professional services.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AUDIT COMMITTEE PRE-APPROVAL POLICY AND PROCEDURES</w:t>
      </w:r>
    </w:p>
    <w:p>
      <w:pPr>
        <w:spacing w:after="0" w:line="104" w:lineRule="exact"/>
        <w:rPr>
          <w:sz w:val="20"/>
          <w:szCs w:val="20"/>
          <w:color w:val="auto"/>
        </w:rPr>
      </w:pPr>
    </w:p>
    <w:p>
      <w:pPr>
        <w:ind w:left="120" w:right="20"/>
        <w:spacing w:after="0"/>
        <w:rPr>
          <w:sz w:val="20"/>
          <w:szCs w:val="20"/>
          <w:color w:val="auto"/>
        </w:rPr>
      </w:pPr>
      <w:r>
        <w:rPr>
          <w:rFonts w:ascii="Arial" w:cs="Arial" w:eastAsia="Arial" w:hAnsi="Arial"/>
          <w:sz w:val="18"/>
          <w:szCs w:val="18"/>
          <w:color w:val="3F3F3F"/>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Deloitte &amp; Touche LLP and its subsidiaries and affiliates to render any audit, audit-related, tax or permissible non-audit service unless the service is either (i) explicitly approved by the Audit Committee (“specific pre-approval”) or</w:t>
      </w:r>
    </w:p>
    <w:p>
      <w:pPr>
        <w:ind w:left="120" w:right="20" w:hanging="4"/>
        <w:spacing w:after="0" w:line="236" w:lineRule="auto"/>
        <w:tabs>
          <w:tab w:leader="none" w:pos="370" w:val="left"/>
        </w:tabs>
        <w:numPr>
          <w:ilvl w:val="0"/>
          <w:numId w:val="9"/>
        </w:numPr>
        <w:rPr>
          <w:rFonts w:ascii="Arial" w:cs="Arial" w:eastAsia="Arial" w:hAnsi="Arial"/>
          <w:sz w:val="18"/>
          <w:szCs w:val="18"/>
          <w:color w:val="3F3F3F"/>
        </w:rPr>
      </w:pPr>
      <w:r>
        <w:rPr>
          <w:rFonts w:ascii="Arial" w:cs="Arial" w:eastAsia="Arial" w:hAnsi="Arial"/>
          <w:sz w:val="18"/>
          <w:szCs w:val="18"/>
          <w:color w:val="3F3F3F"/>
        </w:rPr>
        <w:t>entered into pursuant to the pre-approval policies and procedures described in the Pre-Approval Policy (“general pre-approval”). Unless a type of service to be provided by Deloitte &amp; Touche LLP and its subsidiaries and affiliates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Deloitte &amp; Touche LLP and its subsidiaries and affiliates without first obtaining specific pre-approval from the Audit Committee. The Audit Committee may revise the list of general pre-approved services from time to time, based on subsequent determinations.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F3F3F"/>
        </w:rPr>
        <w:t>15</w:t>
      </w:r>
    </w:p>
    <w:p>
      <w:pPr>
        <w:sectPr>
          <w:pgSz w:w="11900" w:h="16838" w:orient="portrait"/>
          <w:cols w:equalWidth="0" w:num="1">
            <w:col w:w="11140"/>
          </w:cols>
          <w:pgMar w:left="320" w:top="455" w:right="4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Named Executive Officers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following table identifies our current named executive officers:</w:t>
      </w:r>
    </w:p>
    <w:p>
      <w:pPr>
        <w:spacing w:after="0" w:line="248" w:lineRule="exact"/>
        <w:rPr>
          <w:sz w:val="20"/>
          <w:szCs w:val="20"/>
          <w:color w:val="auto"/>
        </w:rPr>
      </w:pPr>
    </w:p>
    <w:p>
      <w:pPr>
        <w:ind w:left="200"/>
        <w:spacing w:after="0"/>
        <w:tabs>
          <w:tab w:leader="none" w:pos="2640" w:val="left"/>
        </w:tabs>
        <w:rPr>
          <w:sz w:val="20"/>
          <w:szCs w:val="20"/>
          <w:color w:val="auto"/>
        </w:rPr>
      </w:pPr>
      <w:r>
        <w:rPr>
          <w:rFonts w:ascii="Arial" w:cs="Arial" w:eastAsia="Arial" w:hAnsi="Arial"/>
          <w:sz w:val="14"/>
          <w:szCs w:val="14"/>
          <w:b w:val="1"/>
          <w:bCs w:val="1"/>
          <w:color w:val="006098"/>
        </w:rPr>
        <w:t>Name</w:t>
      </w:r>
      <w:r>
        <w:rPr>
          <w:sz w:val="20"/>
          <w:szCs w:val="20"/>
          <w:color w:val="auto"/>
        </w:rPr>
        <w:tab/>
      </w:r>
      <w:r>
        <w:rPr>
          <w:rFonts w:ascii="Arial" w:cs="Arial" w:eastAsia="Arial" w:hAnsi="Arial"/>
          <w:sz w:val="14"/>
          <w:szCs w:val="14"/>
          <w:b w:val="1"/>
          <w:bCs w:val="1"/>
          <w:color w:val="006098"/>
        </w:rPr>
        <w:t>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Arial" w:cs="Arial" w:eastAsia="Arial" w:hAnsi="Arial"/>
                <w:sz w:val="16"/>
                <w:szCs w:val="16"/>
                <w:b w:val="1"/>
                <w:bCs w:val="1"/>
                <w:color w:val="006098"/>
              </w:rPr>
              <w:t>August J. Troendle</w:t>
            </w:r>
            <w:r>
              <w:rPr>
                <w:rFonts w:ascii="Arial" w:cs="Arial" w:eastAsia="Arial" w:hAnsi="Arial"/>
                <w:sz w:val="16"/>
                <w:szCs w:val="16"/>
                <w:color w:val="006098"/>
              </w:rPr>
              <w:t>, 65</w:t>
            </w:r>
          </w:p>
        </w:tc>
        <w:tc>
          <w:tcPr>
            <w:tcW w:w="4160" w:type="dxa"/>
            <w:vAlign w:val="bottom"/>
          </w:tcPr>
          <w:p>
            <w:pPr>
              <w:ind w:left="240"/>
              <w:spacing w:after="0"/>
              <w:rPr>
                <w:sz w:val="20"/>
                <w:szCs w:val="20"/>
                <w:color w:val="auto"/>
              </w:rPr>
            </w:pPr>
            <w:r>
              <w:rPr>
                <w:rFonts w:ascii="Arial" w:cs="Arial" w:eastAsia="Arial" w:hAnsi="Arial"/>
                <w:sz w:val="18"/>
                <w:szCs w:val="18"/>
                <w:color w:val="3F3F3F"/>
                <w:w w:val="99"/>
              </w:rPr>
              <w:t>See biography on page 9 of this proxy statement.</w:t>
            </w:r>
          </w:p>
        </w:tc>
      </w:tr>
      <w:tr>
        <w:trPr>
          <w:trHeight w:val="189"/>
        </w:trPr>
        <w:tc>
          <w:tcPr>
            <w:tcW w:w="2220" w:type="dxa"/>
            <w:vAlign w:val="bottom"/>
          </w:tcPr>
          <w:p>
            <w:pPr>
              <w:spacing w:after="0"/>
              <w:rPr>
                <w:sz w:val="20"/>
                <w:szCs w:val="20"/>
                <w:color w:val="auto"/>
              </w:rPr>
            </w:pPr>
            <w:r>
              <w:rPr>
                <w:rFonts w:ascii="Arial" w:cs="Arial" w:eastAsia="Arial" w:hAnsi="Arial"/>
                <w:sz w:val="16"/>
                <w:szCs w:val="16"/>
                <w:i w:val="1"/>
                <w:iCs w:val="1"/>
                <w:color w:val="3F3F3F"/>
              </w:rPr>
              <w:t>Chief Executive Officer and</w:t>
            </w:r>
          </w:p>
        </w:tc>
        <w:tc>
          <w:tcPr>
            <w:tcW w:w="4160" w:type="dxa"/>
            <w:vAlign w:val="bottom"/>
          </w:tcPr>
          <w:p>
            <w:pPr>
              <w:spacing w:after="0"/>
              <w:rPr>
                <w:sz w:val="16"/>
                <w:szCs w:val="16"/>
                <w:color w:val="auto"/>
              </w:rPr>
            </w:pPr>
          </w:p>
        </w:tc>
      </w:tr>
      <w:tr>
        <w:trPr>
          <w:trHeight w:val="213"/>
        </w:trPr>
        <w:tc>
          <w:tcPr>
            <w:tcW w:w="2220" w:type="dxa"/>
            <w:vAlign w:val="bottom"/>
          </w:tcPr>
          <w:p>
            <w:pPr>
              <w:spacing w:after="0"/>
              <w:rPr>
                <w:sz w:val="20"/>
                <w:szCs w:val="20"/>
                <w:color w:val="auto"/>
              </w:rPr>
            </w:pPr>
            <w:r>
              <w:rPr>
                <w:rFonts w:ascii="Arial" w:cs="Arial" w:eastAsia="Arial" w:hAnsi="Arial"/>
                <w:sz w:val="16"/>
                <w:szCs w:val="16"/>
                <w:i w:val="1"/>
                <w:iCs w:val="1"/>
                <w:color w:val="3F3F3F"/>
              </w:rPr>
              <w:t>Chairman of the Board</w:t>
            </w:r>
          </w:p>
        </w:tc>
        <w:tc>
          <w:tcPr>
            <w:tcW w:w="4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06098"/>
        </w:rPr>
        <w:t>Kevin M. Brady</w:t>
      </w:r>
      <w:r>
        <w:rPr>
          <w:rFonts w:ascii="Arial" w:cs="Arial" w:eastAsia="Arial" w:hAnsi="Arial"/>
          <w:sz w:val="16"/>
          <w:szCs w:val="16"/>
          <w:color w:val="006098"/>
        </w:rPr>
        <w:t>, 47</w:t>
      </w:r>
    </w:p>
    <w:p>
      <w:pPr>
        <w:spacing w:after="0" w:line="21" w:lineRule="exact"/>
        <w:rPr>
          <w:sz w:val="20"/>
          <w:szCs w:val="20"/>
          <w:color w:val="auto"/>
        </w:rPr>
      </w:pPr>
    </w:p>
    <w:p>
      <w:pPr>
        <w:ind w:left="200"/>
        <w:spacing w:after="0" w:line="265" w:lineRule="auto"/>
        <w:rPr>
          <w:sz w:val="20"/>
          <w:szCs w:val="20"/>
          <w:color w:val="auto"/>
        </w:rPr>
      </w:pPr>
      <w:r>
        <w:rPr>
          <w:rFonts w:ascii="Arial" w:cs="Arial" w:eastAsia="Arial" w:hAnsi="Arial"/>
          <w:sz w:val="16"/>
          <w:szCs w:val="16"/>
          <w:i w:val="1"/>
          <w:iCs w:val="1"/>
          <w:color w:val="3F3F3F"/>
        </w:rPr>
        <w:t>Chief Financial Officer and Treasurer</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251" w:lineRule="auto"/>
        <w:rPr>
          <w:sz w:val="20"/>
          <w:szCs w:val="20"/>
          <w:color w:val="auto"/>
        </w:rPr>
      </w:pPr>
      <w:r>
        <w:rPr>
          <w:rFonts w:ascii="Arial" w:cs="Arial" w:eastAsia="Arial" w:hAnsi="Arial"/>
          <w:sz w:val="17"/>
          <w:szCs w:val="17"/>
          <w:color w:val="3F3F3F"/>
        </w:rPr>
        <w:t>Kevin M. Brady joined Medpace in November 2018 as Executive Director, Finance, a position he held through July 31, 2021. Mr. Brady has served as Treasurer of the Company since February 2019. Mr. Brady was appointed Chief Financial Officer on August 1, 2021. Prior to joining Medpace, Mr. Brady served as Vice President &amp; Corporate Controller of Assurex Health from May 2015 through August 2016 and then, following the acquisition of Assurex Health by Myriad Genetics, Inc., as Vice-President of Finance for Myriad Genetics, Inc. from August 2016 until 2018. Mr. Brady served as Corporate Controller of Champion Window Manufacturing from 2014 to 2015. From 2003 to 2014, Mr. Brady held various positions at The Procter &amp; Gamble Company. Mr. Brady started his career in the audit practice at Ernst &amp; Young LLP.</w:t>
      </w:r>
    </w:p>
    <w:p>
      <w:pPr>
        <w:spacing w:after="0" w:line="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3F3F3F"/>
        </w:rPr>
        <w:t>Mr. Brady received his Bachelor of Business Administration degree from the University of Cincinnati and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121285</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540"/>
            <w:col w:w="8460"/>
          </w:cols>
          <w:pgMar w:left="320" w:top="455" w:right="459" w:bottom="1440" w:gutter="0" w:footer="0" w:header="0"/>
          <w:type w:val="continuous"/>
        </w:sectPr>
      </w:pPr>
    </w:p>
    <w:p>
      <w:pPr>
        <w:spacing w:after="0" w:line="5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960" w:type="dxa"/>
            <w:vAlign w:val="bottom"/>
          </w:tcPr>
          <w:p>
            <w:pPr>
              <w:spacing w:after="0"/>
              <w:rPr>
                <w:sz w:val="20"/>
                <w:szCs w:val="20"/>
                <w:color w:val="auto"/>
              </w:rPr>
            </w:pPr>
            <w:r>
              <w:rPr>
                <w:rFonts w:ascii="Arial" w:cs="Arial" w:eastAsia="Arial" w:hAnsi="Arial"/>
                <w:sz w:val="16"/>
                <w:szCs w:val="16"/>
                <w:b w:val="1"/>
                <w:bCs w:val="1"/>
                <w:color w:val="006098"/>
              </w:rPr>
              <w:t>Jesse J. Geiger</w:t>
            </w:r>
            <w:r>
              <w:rPr>
                <w:rFonts w:ascii="Arial" w:cs="Arial" w:eastAsia="Arial" w:hAnsi="Arial"/>
                <w:sz w:val="16"/>
                <w:szCs w:val="16"/>
                <w:color w:val="006098"/>
              </w:rPr>
              <w:t>, 47</w:t>
            </w:r>
          </w:p>
        </w:tc>
        <w:tc>
          <w:tcPr>
            <w:tcW w:w="8840" w:type="dxa"/>
            <w:vAlign w:val="bottom"/>
          </w:tcPr>
          <w:p>
            <w:pPr>
              <w:ind w:left="500"/>
              <w:spacing w:after="0"/>
              <w:rPr>
                <w:sz w:val="20"/>
                <w:szCs w:val="20"/>
                <w:color w:val="auto"/>
              </w:rPr>
            </w:pPr>
            <w:r>
              <w:rPr>
                <w:rFonts w:ascii="Arial" w:cs="Arial" w:eastAsia="Arial" w:hAnsi="Arial"/>
                <w:sz w:val="18"/>
                <w:szCs w:val="18"/>
                <w:color w:val="3F3F3F"/>
              </w:rPr>
              <w:t>Jesse J. Geiger joined Medpace in October 2007 as Corporate Controller, and he was appointed Chief</w:t>
            </w:r>
          </w:p>
        </w:tc>
      </w:tr>
      <w:tr>
        <w:trPr>
          <w:trHeight w:val="209"/>
        </w:trPr>
        <w:tc>
          <w:tcPr>
            <w:tcW w:w="1960" w:type="dxa"/>
            <w:vAlign w:val="bottom"/>
          </w:tcPr>
          <w:p>
            <w:pPr>
              <w:spacing w:after="0"/>
              <w:rPr>
                <w:sz w:val="20"/>
                <w:szCs w:val="20"/>
                <w:color w:val="auto"/>
              </w:rPr>
            </w:pPr>
            <w:r>
              <w:rPr>
                <w:rFonts w:ascii="Arial" w:cs="Arial" w:eastAsia="Arial" w:hAnsi="Arial"/>
                <w:sz w:val="16"/>
                <w:szCs w:val="16"/>
                <w:i w:val="1"/>
                <w:iCs w:val="1"/>
                <w:color w:val="3F3F3F"/>
              </w:rPr>
              <w:t>President</w:t>
            </w:r>
          </w:p>
        </w:tc>
        <w:tc>
          <w:tcPr>
            <w:tcW w:w="8840" w:type="dxa"/>
            <w:vAlign w:val="bottom"/>
          </w:tcPr>
          <w:p>
            <w:pPr>
              <w:ind w:left="500"/>
              <w:spacing w:after="0"/>
              <w:rPr>
                <w:sz w:val="20"/>
                <w:szCs w:val="20"/>
                <w:color w:val="auto"/>
              </w:rPr>
            </w:pPr>
            <w:r>
              <w:rPr>
                <w:rFonts w:ascii="Arial" w:cs="Arial" w:eastAsia="Arial" w:hAnsi="Arial"/>
                <w:sz w:val="18"/>
                <w:szCs w:val="18"/>
                <w:color w:val="3F3F3F"/>
              </w:rPr>
              <w:t>Financial Officer in March 2011. Mr. Geiger became Chief Operating Officer, Laboratory Operations in</w:t>
            </w:r>
          </w:p>
        </w:tc>
      </w:tr>
      <w:tr>
        <w:trPr>
          <w:trHeight w:val="203"/>
        </w:trPr>
        <w:tc>
          <w:tcPr>
            <w:tcW w:w="1960" w:type="dxa"/>
            <w:vAlign w:val="bottom"/>
          </w:tcPr>
          <w:p>
            <w:pPr>
              <w:spacing w:after="0"/>
              <w:rPr>
                <w:sz w:val="17"/>
                <w:szCs w:val="17"/>
                <w:color w:val="auto"/>
              </w:rPr>
            </w:pPr>
          </w:p>
        </w:tc>
        <w:tc>
          <w:tcPr>
            <w:tcW w:w="8840" w:type="dxa"/>
            <w:vAlign w:val="bottom"/>
          </w:tcPr>
          <w:p>
            <w:pPr>
              <w:ind w:left="500"/>
              <w:spacing w:after="0" w:line="202" w:lineRule="exact"/>
              <w:rPr>
                <w:sz w:val="20"/>
                <w:szCs w:val="20"/>
                <w:color w:val="auto"/>
              </w:rPr>
            </w:pPr>
            <w:r>
              <w:rPr>
                <w:rFonts w:ascii="Arial" w:cs="Arial" w:eastAsia="Arial" w:hAnsi="Arial"/>
                <w:sz w:val="18"/>
                <w:szCs w:val="18"/>
                <w:color w:val="3F3F3F"/>
              </w:rPr>
              <w:t>November 2014 and became the President on August 1, 2021. Prior to joining Medpace, Mr. Geiger</w:t>
            </w:r>
          </w:p>
        </w:tc>
      </w:tr>
      <w:tr>
        <w:trPr>
          <w:trHeight w:val="203"/>
        </w:trPr>
        <w:tc>
          <w:tcPr>
            <w:tcW w:w="1960" w:type="dxa"/>
            <w:vAlign w:val="bottom"/>
          </w:tcPr>
          <w:p>
            <w:pPr>
              <w:spacing w:after="0"/>
              <w:rPr>
                <w:sz w:val="17"/>
                <w:szCs w:val="17"/>
                <w:color w:val="auto"/>
              </w:rPr>
            </w:pPr>
          </w:p>
        </w:tc>
        <w:tc>
          <w:tcPr>
            <w:tcW w:w="8840" w:type="dxa"/>
            <w:vAlign w:val="bottom"/>
          </w:tcPr>
          <w:p>
            <w:pPr>
              <w:ind w:left="500"/>
              <w:spacing w:after="0" w:line="202" w:lineRule="exact"/>
              <w:rPr>
                <w:sz w:val="20"/>
                <w:szCs w:val="20"/>
                <w:color w:val="auto"/>
              </w:rPr>
            </w:pPr>
            <w:r>
              <w:rPr>
                <w:rFonts w:ascii="Arial" w:cs="Arial" w:eastAsia="Arial" w:hAnsi="Arial"/>
                <w:sz w:val="18"/>
                <w:szCs w:val="18"/>
                <w:color w:val="3F3F3F"/>
                <w:w w:val="99"/>
              </w:rPr>
              <w:t>worked for SENCORP from 2004 to 2007 as the Corporate Controller and Manager of Financial Planning</w:t>
            </w:r>
          </w:p>
        </w:tc>
      </w:tr>
      <w:tr>
        <w:trPr>
          <w:trHeight w:val="203"/>
        </w:trPr>
        <w:tc>
          <w:tcPr>
            <w:tcW w:w="1960" w:type="dxa"/>
            <w:vAlign w:val="bottom"/>
          </w:tcPr>
          <w:p>
            <w:pPr>
              <w:spacing w:after="0"/>
              <w:rPr>
                <w:sz w:val="17"/>
                <w:szCs w:val="17"/>
                <w:color w:val="auto"/>
              </w:rPr>
            </w:pPr>
          </w:p>
        </w:tc>
        <w:tc>
          <w:tcPr>
            <w:tcW w:w="8840" w:type="dxa"/>
            <w:vAlign w:val="bottom"/>
          </w:tcPr>
          <w:p>
            <w:pPr>
              <w:ind w:left="500"/>
              <w:spacing w:after="0" w:line="202" w:lineRule="exact"/>
              <w:rPr>
                <w:sz w:val="20"/>
                <w:szCs w:val="20"/>
                <w:color w:val="auto"/>
              </w:rPr>
            </w:pPr>
            <w:r>
              <w:rPr>
                <w:rFonts w:ascii="Arial" w:cs="Arial" w:eastAsia="Arial" w:hAnsi="Arial"/>
                <w:sz w:val="18"/>
                <w:szCs w:val="18"/>
                <w:color w:val="3F3F3F"/>
                <w:w w:val="99"/>
              </w:rPr>
              <w:t>and Analysis. Prior to SENCORP, Mr. Geiger served as the Director of Capital Markets for Cincinnati Bell</w:t>
            </w:r>
          </w:p>
        </w:tc>
      </w:tr>
      <w:tr>
        <w:trPr>
          <w:trHeight w:val="203"/>
        </w:trPr>
        <w:tc>
          <w:tcPr>
            <w:tcW w:w="1960" w:type="dxa"/>
            <w:vAlign w:val="bottom"/>
          </w:tcPr>
          <w:p>
            <w:pPr>
              <w:spacing w:after="0"/>
              <w:rPr>
                <w:sz w:val="17"/>
                <w:szCs w:val="17"/>
                <w:color w:val="auto"/>
              </w:rPr>
            </w:pPr>
          </w:p>
        </w:tc>
        <w:tc>
          <w:tcPr>
            <w:tcW w:w="8840" w:type="dxa"/>
            <w:vAlign w:val="bottom"/>
          </w:tcPr>
          <w:p>
            <w:pPr>
              <w:ind w:left="500"/>
              <w:spacing w:after="0" w:line="202" w:lineRule="exact"/>
              <w:rPr>
                <w:sz w:val="20"/>
                <w:szCs w:val="20"/>
                <w:color w:val="auto"/>
              </w:rPr>
            </w:pPr>
            <w:r>
              <w:rPr>
                <w:rFonts w:ascii="Arial" w:cs="Arial" w:eastAsia="Arial" w:hAnsi="Arial"/>
                <w:sz w:val="18"/>
                <w:szCs w:val="18"/>
                <w:color w:val="3F3F3F"/>
                <w:w w:val="99"/>
              </w:rPr>
              <w:t>from 2002 to 2004. Mr. Geiger started his career in the audit practice at Arthur Andersen LLP. Mr. Geiger</w:t>
            </w:r>
          </w:p>
        </w:tc>
      </w:tr>
      <w:tr>
        <w:trPr>
          <w:trHeight w:val="203"/>
        </w:trPr>
        <w:tc>
          <w:tcPr>
            <w:tcW w:w="1960" w:type="dxa"/>
            <w:vAlign w:val="bottom"/>
          </w:tcPr>
          <w:p>
            <w:pPr>
              <w:spacing w:after="0"/>
              <w:rPr>
                <w:sz w:val="17"/>
                <w:szCs w:val="17"/>
                <w:color w:val="auto"/>
              </w:rPr>
            </w:pPr>
          </w:p>
        </w:tc>
        <w:tc>
          <w:tcPr>
            <w:tcW w:w="8840" w:type="dxa"/>
            <w:vAlign w:val="bottom"/>
          </w:tcPr>
          <w:p>
            <w:pPr>
              <w:ind w:left="500"/>
              <w:spacing w:after="0" w:line="202" w:lineRule="exact"/>
              <w:rPr>
                <w:sz w:val="20"/>
                <w:szCs w:val="20"/>
                <w:color w:val="auto"/>
              </w:rPr>
            </w:pPr>
            <w:r>
              <w:rPr>
                <w:rFonts w:ascii="Arial" w:cs="Arial" w:eastAsia="Arial" w:hAnsi="Arial"/>
                <w:sz w:val="18"/>
                <w:szCs w:val="18"/>
                <w:color w:val="3F3F3F"/>
              </w:rPr>
              <w:t>has served as a director for several private companies, including as a director of LIB Therapeutics, LLC</w:t>
            </w:r>
          </w:p>
        </w:tc>
      </w:tr>
      <w:tr>
        <w:trPr>
          <w:trHeight w:val="203"/>
        </w:trPr>
        <w:tc>
          <w:tcPr>
            <w:tcW w:w="1960" w:type="dxa"/>
            <w:vAlign w:val="bottom"/>
          </w:tcPr>
          <w:p>
            <w:pPr>
              <w:spacing w:after="0"/>
              <w:rPr>
                <w:sz w:val="17"/>
                <w:szCs w:val="17"/>
                <w:color w:val="auto"/>
              </w:rPr>
            </w:pPr>
          </w:p>
        </w:tc>
        <w:tc>
          <w:tcPr>
            <w:tcW w:w="8840" w:type="dxa"/>
            <w:vAlign w:val="bottom"/>
          </w:tcPr>
          <w:p>
            <w:pPr>
              <w:ind w:left="500"/>
              <w:spacing w:after="0" w:line="202" w:lineRule="exact"/>
              <w:rPr>
                <w:sz w:val="20"/>
                <w:szCs w:val="20"/>
                <w:color w:val="auto"/>
              </w:rPr>
            </w:pPr>
            <w:r>
              <w:rPr>
                <w:rFonts w:ascii="Arial" w:cs="Arial" w:eastAsia="Arial" w:hAnsi="Arial"/>
                <w:sz w:val="18"/>
                <w:szCs w:val="18"/>
                <w:color w:val="3F3F3F"/>
              </w:rPr>
              <w:t>since 2015 and as a director of CinRx Pharma, LLC since 2015. Mr. Geiger received his Bachelor of</w:t>
            </w:r>
          </w:p>
        </w:tc>
      </w:tr>
      <w:tr>
        <w:trPr>
          <w:trHeight w:val="203"/>
        </w:trPr>
        <w:tc>
          <w:tcPr>
            <w:tcW w:w="1960" w:type="dxa"/>
            <w:vAlign w:val="bottom"/>
          </w:tcPr>
          <w:p>
            <w:pPr>
              <w:spacing w:after="0"/>
              <w:rPr>
                <w:sz w:val="17"/>
                <w:szCs w:val="17"/>
                <w:color w:val="auto"/>
              </w:rPr>
            </w:pPr>
          </w:p>
        </w:tc>
        <w:tc>
          <w:tcPr>
            <w:tcW w:w="8840" w:type="dxa"/>
            <w:vAlign w:val="bottom"/>
          </w:tcPr>
          <w:p>
            <w:pPr>
              <w:ind w:left="500"/>
              <w:spacing w:after="0" w:line="202" w:lineRule="exact"/>
              <w:rPr>
                <w:sz w:val="20"/>
                <w:szCs w:val="20"/>
                <w:color w:val="auto"/>
              </w:rPr>
            </w:pPr>
            <w:r>
              <w:rPr>
                <w:rFonts w:ascii="Arial" w:cs="Arial" w:eastAsia="Arial" w:hAnsi="Arial"/>
                <w:sz w:val="18"/>
                <w:szCs w:val="18"/>
                <w:color w:val="3F3F3F"/>
              </w:rPr>
              <w:t>Business Administration in Accounting from the University of Cincinnati and is a Certified Public</w:t>
            </w:r>
          </w:p>
        </w:tc>
      </w:tr>
      <w:tr>
        <w:trPr>
          <w:trHeight w:val="239"/>
        </w:trPr>
        <w:tc>
          <w:tcPr>
            <w:tcW w:w="1960" w:type="dxa"/>
            <w:vAlign w:val="bottom"/>
          </w:tcPr>
          <w:p>
            <w:pPr>
              <w:spacing w:after="0"/>
              <w:rPr>
                <w:sz w:val="20"/>
                <w:szCs w:val="20"/>
                <w:color w:val="auto"/>
              </w:rPr>
            </w:pPr>
          </w:p>
        </w:tc>
        <w:tc>
          <w:tcPr>
            <w:tcW w:w="8840" w:type="dxa"/>
            <w:vAlign w:val="bottom"/>
          </w:tcPr>
          <w:p>
            <w:pPr>
              <w:ind w:left="500"/>
              <w:spacing w:after="0"/>
              <w:rPr>
                <w:sz w:val="20"/>
                <w:szCs w:val="20"/>
                <w:color w:val="auto"/>
              </w:rPr>
            </w:pPr>
            <w:r>
              <w:rPr>
                <w:rFonts w:ascii="Arial" w:cs="Arial" w:eastAsia="Arial" w:hAnsi="Arial"/>
                <w:sz w:val="18"/>
                <w:szCs w:val="18"/>
                <w:color w:val="3F3F3F"/>
              </w:rPr>
              <w:t>Accountant (inactive).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type w:val="continuous"/>
        </w:sect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06098"/>
        </w:rPr>
        <w:t>Susan E. Burwig</w:t>
      </w:r>
      <w:r>
        <w:rPr>
          <w:rFonts w:ascii="Arial" w:cs="Arial" w:eastAsia="Arial" w:hAnsi="Arial"/>
          <w:sz w:val="16"/>
          <w:szCs w:val="16"/>
          <w:color w:val="006098"/>
        </w:rPr>
        <w:t>, 59</w:t>
      </w:r>
    </w:p>
    <w:p>
      <w:pPr>
        <w:spacing w:after="0" w:line="21" w:lineRule="exact"/>
        <w:rPr>
          <w:sz w:val="20"/>
          <w:szCs w:val="20"/>
          <w:color w:val="auto"/>
        </w:rPr>
      </w:pPr>
    </w:p>
    <w:p>
      <w:pPr>
        <w:ind w:left="200"/>
        <w:spacing w:after="0" w:line="265" w:lineRule="auto"/>
        <w:rPr>
          <w:sz w:val="20"/>
          <w:szCs w:val="20"/>
          <w:color w:val="auto"/>
        </w:rPr>
      </w:pPr>
      <w:r>
        <w:rPr>
          <w:rFonts w:ascii="Arial" w:cs="Arial" w:eastAsia="Arial" w:hAnsi="Arial"/>
          <w:sz w:val="16"/>
          <w:szCs w:val="16"/>
          <w:i w:val="1"/>
          <w:iCs w:val="1"/>
          <w:color w:val="3F3F3F"/>
        </w:rPr>
        <w:t>Executive Vice President, Operations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3F3F3F"/>
        </w:rPr>
        <w:t>Susan E. Burwig joined Medpace in August 1993 and has served in various key leadership roles within the Clinical Operations department. From February 2003 to May 2015, Ms. Burwig served as Senior Vice President, Clinical Operations, overseeing clinical trial management, clinical monitoring, start-up, including feasibility, and new business proposals. In June 2015, Ms. Burwig was appointed Senior Vice President, Operations, and in January 2017 she was named as Executive Vice President, Operations. Prior to joining Medpace, Ms. Burwig held several clinical roles, including leading heart failure clinical research studies at the University of Cincinnati. Ms. Burwig received her Bachelor of Science in Nursing as well as an MA in Sports Administration from Kent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126365</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620"/>
            <w:col w:w="8460"/>
          </w:cols>
          <w:pgMar w:left="320" w:top="455" w:right="459" w:bottom="1440" w:gutter="0" w:footer="0" w:header="0"/>
          <w:type w:val="continuous"/>
        </w:sectPr>
      </w:pP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3F3F3F"/>
        </w:rPr>
        <w:t>16</w:t>
      </w:r>
    </w:p>
    <w:p>
      <w:pPr>
        <w:sectPr>
          <w:pgSz w:w="11900" w:h="16838" w:orient="portrait"/>
          <w:cols w:equalWidth="0" w:num="1">
            <w:col w:w="11120"/>
          </w:cols>
          <w:pgMar w:left="320" w:top="455" w:right="45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3F3F3F"/>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5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06098"/>
        </w:rPr>
        <w:t>Stephen P. Ewald</w:t>
      </w:r>
      <w:r>
        <w:rPr>
          <w:rFonts w:ascii="Arial" w:cs="Arial" w:eastAsia="Arial" w:hAnsi="Arial"/>
          <w:sz w:val="16"/>
          <w:szCs w:val="16"/>
          <w:color w:val="006098"/>
        </w:rPr>
        <w:t>, 52</w:t>
      </w:r>
    </w:p>
    <w:p>
      <w:pPr>
        <w:spacing w:after="0" w:line="21" w:lineRule="exact"/>
        <w:rPr>
          <w:sz w:val="20"/>
          <w:szCs w:val="20"/>
          <w:color w:val="auto"/>
        </w:rPr>
      </w:pPr>
    </w:p>
    <w:p>
      <w:pPr>
        <w:ind w:left="200"/>
        <w:spacing w:after="0" w:line="265" w:lineRule="auto"/>
        <w:rPr>
          <w:sz w:val="20"/>
          <w:szCs w:val="20"/>
          <w:color w:val="auto"/>
        </w:rPr>
      </w:pPr>
      <w:r>
        <w:rPr>
          <w:rFonts w:ascii="Arial" w:cs="Arial" w:eastAsia="Arial" w:hAnsi="Arial"/>
          <w:sz w:val="16"/>
          <w:szCs w:val="16"/>
          <w:i w:val="1"/>
          <w:iCs w:val="1"/>
          <w:color w:val="3F3F3F"/>
        </w:rPr>
        <w:t>General Counsel and Corporate Secretary</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38" w:lineRule="auto"/>
        <w:rPr>
          <w:sz w:val="20"/>
          <w:szCs w:val="20"/>
          <w:color w:val="auto"/>
        </w:rPr>
      </w:pPr>
      <w:r>
        <w:rPr>
          <w:rFonts w:ascii="Arial" w:cs="Arial" w:eastAsia="Arial" w:hAnsi="Arial"/>
          <w:sz w:val="18"/>
          <w:szCs w:val="18"/>
          <w:color w:val="3F3F3F"/>
        </w:rPr>
        <w:t>Stephen P. Ewald joined Medpace as General Counsel and Corporate Secretary in June 2012. Mr. Ewald has also led the Human Resources department and other administrative functions since the third quarter of 2017. Prior to joining Medpace, Mr. Ewald served as the Managing Director and Chief Legal Officer of Brevet Capital Management from May 2011 to June 2012. From May 2009 to May 2011, he was a Managing Director and Assistant General Counsel for Cantor Fitzgerald Securities/Cantor Fitzgerald &amp; Co. Mr. Ewald was employed with Bank of America from 1999 to 2009, serving in various roles within the legal department and the Global Markets Group, including Managing Director and Chief Operating Officer of the Principal Capital Group, a proprietary investing group within Bank of America Securities. Mr. Ewald has served as director for several private companies, including as a director and chairman of the board of Mercy Health Foundation Cincinnati since 2015 and 2018, respectively, as a director of LIB Therapeutics, LLC since 2015 and as a director of CinRx Pharma, LLC since 2015. Mr. Ewald received his Bachelor of Science in Political Sciences from the University of Cincinnati and his Juris Doctorate from the University of Cincinnati College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126365</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160"/>
            <w:col w:w="8460"/>
          </w:cols>
          <w:pgMar w:left="320" w:top="455" w:right="459" w:bottom="1440" w:gutter="0" w:footer="0" w:header="0"/>
          <w:type w:val="continuous"/>
        </w:sectPr>
      </w:pP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3F3F3F"/>
        </w:rPr>
        <w:t>17</w:t>
      </w:r>
    </w:p>
    <w:p>
      <w:pPr>
        <w:sectPr>
          <w:pgSz w:w="11900" w:h="16838" w:orient="portrait"/>
          <w:cols w:equalWidth="0" w:num="1">
            <w:col w:w="11120"/>
          </w:cols>
          <w:pgMar w:left="320" w:top="455" w:right="45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Corporate Governance</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GENERAL</w:t>
      </w:r>
    </w:p>
    <w:p>
      <w:pPr>
        <w:spacing w:after="0" w:line="104"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3F3F3F"/>
        </w:rPr>
        <w:t xml:space="preserve">Our Board has adopted Corporate Governance Guidelines, a Code of Business Conduct and Ethics and charters for our Audit Committee, Compensation Committee and Nominating and Governance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page of our website located at </w:t>
      </w:r>
      <w:r>
        <w:rPr>
          <w:rFonts w:ascii="Arial" w:cs="Arial" w:eastAsia="Arial" w:hAnsi="Arial"/>
          <w:sz w:val="18"/>
          <w:szCs w:val="18"/>
          <w:i w:val="1"/>
          <w:iCs w:val="1"/>
          <w:color w:val="3F3F3F"/>
        </w:rPr>
        <w:t>www.medpace.com</w:t>
      </w:r>
      <w:r>
        <w:rPr>
          <w:rFonts w:ascii="Arial" w:cs="Arial" w:eastAsia="Arial" w:hAnsi="Arial"/>
          <w:sz w:val="18"/>
          <w:szCs w:val="18"/>
          <w:color w:val="3F3F3F"/>
        </w:rPr>
        <w:t>, or by writing to our Corporate Secretary at our offices at 5375 Medpace Way, Cincinnati, Ohio 45227.</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BOARD COMPOSITION</w:t>
      </w:r>
    </w:p>
    <w:p>
      <w:pPr>
        <w:spacing w:after="0" w:line="104"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3F3F3F"/>
        </w:rPr>
        <w:t>Our Board currently consists of seven members: Brian T. Carley, Fred B. Davenport, Jr., Ashley M. Keating, Thomas C. King, Robert O. Kraft, Cornelius P. McCarthy III and August J. Troendle. As set forth in our Amended and Restated Certificate of Incorporation,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Amended and Restated Certificate of Incorporation and Amended and Restated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at a meeting called for that purpose.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BOARD DIVERSITY MATRIX (as of March 24, 2022)</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following matrix is provided as required by the board diversity rules of the NASDAQ Global Select Market (“NASDAQ”).</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color w:val="3F3F3F"/>
        </w:rPr>
        <w:t>Board Size:</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color w:val="3F3F3F"/>
        </w:rPr>
        <w:t>Total Number of Directors*: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428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42862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4" w:lineRule="exact"/>
        <w:rPr>
          <w:sz w:val="20"/>
          <w:szCs w:val="20"/>
          <w:color w:val="auto"/>
        </w:rPr>
      </w:pPr>
    </w:p>
    <w:p>
      <w:pPr>
        <w:ind w:left="5480"/>
        <w:spacing w:after="0"/>
        <w:rPr>
          <w:sz w:val="20"/>
          <w:szCs w:val="20"/>
          <w:color w:val="auto"/>
        </w:rPr>
      </w:pPr>
      <w:r>
        <w:rPr>
          <w:rFonts w:ascii="Arial" w:cs="Arial" w:eastAsia="Arial" w:hAnsi="Arial"/>
          <w:sz w:val="17"/>
          <w:szCs w:val="17"/>
          <w:b w:val="1"/>
          <w:bCs w:val="1"/>
          <w:color w:val="006098"/>
        </w:rPr>
        <w:t>Female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006098"/>
        </w:rPr>
        <w:t>Male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006098"/>
        </w:rPr>
        <w:t>Non-Binary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6098"/>
        </w:rPr>
        <w:t>Gender</w:t>
      </w:r>
    </w:p>
    <w:p>
      <w:pPr>
        <w:spacing w:after="0" w:line="234" w:lineRule="auto"/>
        <w:rPr>
          <w:sz w:val="20"/>
          <w:szCs w:val="20"/>
          <w:color w:val="auto"/>
        </w:rPr>
      </w:pPr>
      <w:r>
        <w:rPr>
          <w:rFonts w:ascii="Arial" w:cs="Arial" w:eastAsia="Arial" w:hAnsi="Arial"/>
          <w:sz w:val="18"/>
          <w:szCs w:val="18"/>
          <w:b w:val="1"/>
          <w:bCs w:val="1"/>
          <w:color w:val="006098"/>
        </w:rPr>
        <w:t>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006098"/>
        </w:rPr>
        <w:t>disclosed</w:t>
      </w:r>
    </w:p>
    <w:p>
      <w:pPr>
        <w:spacing w:after="0" w:line="59" w:lineRule="exact"/>
        <w:rPr>
          <w:sz w:val="20"/>
          <w:szCs w:val="20"/>
          <w:color w:val="auto"/>
        </w:rPr>
      </w:pPr>
    </w:p>
    <w:p>
      <w:pPr>
        <w:sectPr>
          <w:pgSz w:w="11900" w:h="16838" w:orient="portrait"/>
          <w:cols w:equalWidth="0" w:num="4">
            <w:col w:w="6420" w:space="720"/>
            <w:col w:w="400" w:space="620"/>
            <w:col w:w="980" w:space="560"/>
            <w:col w:w="144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4960" w:type="dxa"/>
            <w:vAlign w:val="bottom"/>
            <w:shd w:val="clear" w:color="auto" w:fill="ECECEC"/>
          </w:tcPr>
          <w:p>
            <w:pPr>
              <w:ind w:left="40"/>
              <w:spacing w:after="0"/>
              <w:rPr>
                <w:sz w:val="20"/>
                <w:szCs w:val="20"/>
                <w:color w:val="auto"/>
              </w:rPr>
            </w:pPr>
            <w:r>
              <w:rPr>
                <w:rFonts w:ascii="Arial" w:cs="Arial" w:eastAsia="Arial" w:hAnsi="Arial"/>
                <w:sz w:val="18"/>
                <w:szCs w:val="18"/>
                <w:b w:val="1"/>
                <w:bCs w:val="1"/>
                <w:color w:val="006098"/>
              </w:rPr>
              <w:t>Part I: Gender Identity</w:t>
            </w:r>
          </w:p>
        </w:tc>
        <w:tc>
          <w:tcPr>
            <w:tcW w:w="1480" w:type="dxa"/>
            <w:vAlign w:val="bottom"/>
            <w:shd w:val="clear" w:color="auto" w:fill="ECECEC"/>
          </w:tcPr>
          <w:p>
            <w:pPr>
              <w:spacing w:after="0"/>
              <w:rPr>
                <w:sz w:val="18"/>
                <w:szCs w:val="18"/>
                <w:color w:val="auto"/>
              </w:rPr>
            </w:pPr>
          </w:p>
        </w:tc>
        <w:tc>
          <w:tcPr>
            <w:tcW w:w="1560" w:type="dxa"/>
            <w:vAlign w:val="bottom"/>
            <w:shd w:val="clear" w:color="auto" w:fill="ECECEC"/>
          </w:tcPr>
          <w:p>
            <w:pPr>
              <w:spacing w:after="0"/>
              <w:rPr>
                <w:sz w:val="18"/>
                <w:szCs w:val="18"/>
                <w:color w:val="auto"/>
              </w:rPr>
            </w:pPr>
          </w:p>
        </w:tc>
        <w:tc>
          <w:tcPr>
            <w:tcW w:w="1520" w:type="dxa"/>
            <w:vAlign w:val="bottom"/>
            <w:shd w:val="clear" w:color="auto" w:fill="ECECEC"/>
          </w:tcPr>
          <w:p>
            <w:pPr>
              <w:spacing w:after="0"/>
              <w:rPr>
                <w:sz w:val="18"/>
                <w:szCs w:val="18"/>
                <w:color w:val="auto"/>
              </w:rPr>
            </w:pPr>
          </w:p>
        </w:tc>
        <w:tc>
          <w:tcPr>
            <w:tcW w:w="1500" w:type="dxa"/>
            <w:vAlign w:val="bottom"/>
            <w:shd w:val="clear" w:color="auto" w:fill="ECECEC"/>
          </w:tcPr>
          <w:p>
            <w:pPr>
              <w:spacing w:after="0"/>
              <w:rPr>
                <w:sz w:val="18"/>
                <w:szCs w:val="18"/>
                <w:color w:val="auto"/>
              </w:rPr>
            </w:pPr>
          </w:p>
        </w:tc>
      </w:tr>
      <w:tr>
        <w:trPr>
          <w:trHeight w:val="247"/>
        </w:trPr>
        <w:tc>
          <w:tcPr>
            <w:tcW w:w="4960" w:type="dxa"/>
            <w:vAlign w:val="bottom"/>
          </w:tcPr>
          <w:p>
            <w:pPr>
              <w:ind w:left="40"/>
              <w:spacing w:after="0"/>
              <w:rPr>
                <w:sz w:val="20"/>
                <w:szCs w:val="20"/>
                <w:color w:val="auto"/>
              </w:rPr>
            </w:pPr>
            <w:r>
              <w:rPr>
                <w:rFonts w:ascii="Arial" w:cs="Arial" w:eastAsia="Arial" w:hAnsi="Arial"/>
                <w:sz w:val="18"/>
                <w:szCs w:val="18"/>
                <w:color w:val="3F3F3F"/>
              </w:rPr>
              <w:t>Directors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3F3F3F"/>
                <w:w w:val="99"/>
              </w:rPr>
              <w:t>1</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3F3F3F"/>
                <w:w w:val="99"/>
              </w:rPr>
              <w:t>6</w:t>
            </w:r>
          </w:p>
        </w:tc>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3F3F3F"/>
              </w:rPr>
              <w:t>-</w:t>
            </w:r>
          </w:p>
        </w:tc>
        <w:tc>
          <w:tcPr>
            <w:tcW w:w="1500" w:type="dxa"/>
            <w:vAlign w:val="bottom"/>
          </w:tcPr>
          <w:p>
            <w:pPr>
              <w:jc w:val="right"/>
              <w:ind w:right="610"/>
              <w:spacing w:after="0"/>
              <w:rPr>
                <w:sz w:val="20"/>
                <w:szCs w:val="20"/>
                <w:color w:val="auto"/>
              </w:rPr>
            </w:pPr>
            <w:r>
              <w:rPr>
                <w:rFonts w:ascii="Arial" w:cs="Arial" w:eastAsia="Arial" w:hAnsi="Arial"/>
                <w:sz w:val="18"/>
                <w:szCs w:val="18"/>
                <w:b w:val="1"/>
                <w:bCs w:val="1"/>
                <w:color w:val="3F3F3F"/>
              </w:rPr>
              <w:t>-</w:t>
            </w:r>
          </w:p>
        </w:tc>
      </w:tr>
      <w:tr>
        <w:trPr>
          <w:trHeight w:val="212"/>
        </w:trPr>
        <w:tc>
          <w:tcPr>
            <w:tcW w:w="4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03"/>
        </w:trPr>
        <w:tc>
          <w:tcPr>
            <w:tcW w:w="4960" w:type="dxa"/>
            <w:vAlign w:val="bottom"/>
            <w:shd w:val="clear" w:color="auto" w:fill="ECECEC"/>
          </w:tcPr>
          <w:p>
            <w:pPr>
              <w:ind w:left="40"/>
              <w:spacing w:after="0" w:line="202" w:lineRule="exact"/>
              <w:rPr>
                <w:sz w:val="20"/>
                <w:szCs w:val="20"/>
                <w:color w:val="auto"/>
              </w:rPr>
            </w:pPr>
            <w:r>
              <w:rPr>
                <w:rFonts w:ascii="Arial" w:cs="Arial" w:eastAsia="Arial" w:hAnsi="Arial"/>
                <w:sz w:val="18"/>
                <w:szCs w:val="18"/>
                <w:b w:val="1"/>
                <w:bCs w:val="1"/>
                <w:color w:val="006098"/>
              </w:rPr>
              <w:t>Part II: Demographic Background</w:t>
            </w:r>
          </w:p>
        </w:tc>
        <w:tc>
          <w:tcPr>
            <w:tcW w:w="1480" w:type="dxa"/>
            <w:vAlign w:val="bottom"/>
            <w:shd w:val="clear" w:color="auto" w:fill="ECECEC"/>
          </w:tcPr>
          <w:p>
            <w:pPr>
              <w:spacing w:after="0"/>
              <w:rPr>
                <w:sz w:val="17"/>
                <w:szCs w:val="17"/>
                <w:color w:val="auto"/>
              </w:rPr>
            </w:pPr>
          </w:p>
        </w:tc>
        <w:tc>
          <w:tcPr>
            <w:tcW w:w="1560" w:type="dxa"/>
            <w:vAlign w:val="bottom"/>
            <w:shd w:val="clear" w:color="auto" w:fill="ECECEC"/>
          </w:tcPr>
          <w:p>
            <w:pPr>
              <w:spacing w:after="0"/>
              <w:rPr>
                <w:sz w:val="17"/>
                <w:szCs w:val="17"/>
                <w:color w:val="auto"/>
              </w:rPr>
            </w:pPr>
          </w:p>
        </w:tc>
        <w:tc>
          <w:tcPr>
            <w:tcW w:w="1520" w:type="dxa"/>
            <w:vAlign w:val="bottom"/>
            <w:shd w:val="clear" w:color="auto" w:fill="ECECEC"/>
          </w:tcPr>
          <w:p>
            <w:pPr>
              <w:spacing w:after="0"/>
              <w:rPr>
                <w:sz w:val="17"/>
                <w:szCs w:val="17"/>
                <w:color w:val="auto"/>
              </w:rPr>
            </w:pPr>
          </w:p>
        </w:tc>
        <w:tc>
          <w:tcPr>
            <w:tcW w:w="1500" w:type="dxa"/>
            <w:vAlign w:val="bottom"/>
            <w:shd w:val="clear" w:color="auto" w:fill="ECECEC"/>
          </w:tcPr>
          <w:p>
            <w:pPr>
              <w:spacing w:after="0"/>
              <w:rPr>
                <w:sz w:val="17"/>
                <w:szCs w:val="17"/>
                <w:color w:val="auto"/>
              </w:rPr>
            </w:pPr>
          </w:p>
        </w:tc>
      </w:tr>
      <w:tr>
        <w:trPr>
          <w:trHeight w:val="184"/>
        </w:trPr>
        <w:tc>
          <w:tcPr>
            <w:tcW w:w="4960" w:type="dxa"/>
            <w:vAlign w:val="bottom"/>
          </w:tcPr>
          <w:p>
            <w:pPr>
              <w:ind w:left="40"/>
              <w:spacing w:after="0" w:line="183" w:lineRule="exact"/>
              <w:rPr>
                <w:sz w:val="20"/>
                <w:szCs w:val="20"/>
                <w:color w:val="auto"/>
              </w:rPr>
            </w:pPr>
            <w:r>
              <w:rPr>
                <w:rFonts w:ascii="Arial" w:cs="Arial" w:eastAsia="Arial" w:hAnsi="Arial"/>
                <w:sz w:val="18"/>
                <w:szCs w:val="18"/>
                <w:color w:val="3F3F3F"/>
              </w:rPr>
              <w:t>African American or Black</w:t>
            </w:r>
          </w:p>
        </w:tc>
        <w:tc>
          <w:tcPr>
            <w:tcW w:w="1480" w:type="dxa"/>
            <w:vAlign w:val="bottom"/>
          </w:tcPr>
          <w:p>
            <w:pPr>
              <w:jc w:val="center"/>
              <w:spacing w:after="0" w:line="183" w:lineRule="exact"/>
              <w:rPr>
                <w:sz w:val="20"/>
                <w:szCs w:val="20"/>
                <w:color w:val="auto"/>
              </w:rPr>
            </w:pPr>
            <w:r>
              <w:rPr>
                <w:rFonts w:ascii="Arial" w:cs="Arial" w:eastAsia="Arial" w:hAnsi="Arial"/>
                <w:sz w:val="18"/>
                <w:szCs w:val="18"/>
                <w:b w:val="1"/>
                <w:bCs w:val="1"/>
                <w:color w:val="3F3F3F"/>
                <w:w w:val="99"/>
              </w:rPr>
              <w:t>-</w:t>
            </w:r>
          </w:p>
        </w:tc>
        <w:tc>
          <w:tcPr>
            <w:tcW w:w="1560" w:type="dxa"/>
            <w:vAlign w:val="bottom"/>
          </w:tcPr>
          <w:p>
            <w:pPr>
              <w:jc w:val="center"/>
              <w:spacing w:after="0" w:line="183" w:lineRule="exact"/>
              <w:rPr>
                <w:sz w:val="20"/>
                <w:szCs w:val="20"/>
                <w:color w:val="auto"/>
              </w:rPr>
            </w:pPr>
            <w:r>
              <w:rPr>
                <w:rFonts w:ascii="Arial" w:cs="Arial" w:eastAsia="Arial" w:hAnsi="Arial"/>
                <w:sz w:val="18"/>
                <w:szCs w:val="18"/>
                <w:b w:val="1"/>
                <w:bCs w:val="1"/>
                <w:color w:val="3F3F3F"/>
                <w:w w:val="99"/>
              </w:rPr>
              <w:t>-</w:t>
            </w:r>
          </w:p>
        </w:tc>
        <w:tc>
          <w:tcPr>
            <w:tcW w:w="1520" w:type="dxa"/>
            <w:vAlign w:val="bottom"/>
          </w:tcPr>
          <w:p>
            <w:pPr>
              <w:jc w:val="right"/>
              <w:ind w:right="650"/>
              <w:spacing w:after="0" w:line="183" w:lineRule="exact"/>
              <w:rPr>
                <w:sz w:val="20"/>
                <w:szCs w:val="20"/>
                <w:color w:val="auto"/>
              </w:rPr>
            </w:pPr>
            <w:r>
              <w:rPr>
                <w:rFonts w:ascii="Arial" w:cs="Arial" w:eastAsia="Arial" w:hAnsi="Arial"/>
                <w:sz w:val="18"/>
                <w:szCs w:val="18"/>
                <w:b w:val="1"/>
                <w:bCs w:val="1"/>
                <w:color w:val="3F3F3F"/>
              </w:rPr>
              <w:t>-</w:t>
            </w:r>
          </w:p>
        </w:tc>
        <w:tc>
          <w:tcPr>
            <w:tcW w:w="1500" w:type="dxa"/>
            <w:vAlign w:val="bottom"/>
          </w:tcPr>
          <w:p>
            <w:pPr>
              <w:jc w:val="right"/>
              <w:ind w:right="610"/>
              <w:spacing w:after="0" w:line="183" w:lineRule="exact"/>
              <w:rPr>
                <w:sz w:val="20"/>
                <w:szCs w:val="20"/>
                <w:color w:val="auto"/>
              </w:rPr>
            </w:pPr>
            <w:r>
              <w:rPr>
                <w:rFonts w:ascii="Arial" w:cs="Arial" w:eastAsia="Arial" w:hAnsi="Arial"/>
                <w:sz w:val="18"/>
                <w:szCs w:val="18"/>
                <w:b w:val="1"/>
                <w:bCs w:val="1"/>
                <w:color w:val="3F3F3F"/>
              </w:rPr>
              <w:t>-</w:t>
            </w:r>
          </w:p>
        </w:tc>
      </w:tr>
      <w:tr>
        <w:trPr>
          <w:trHeight w:val="203"/>
        </w:trPr>
        <w:tc>
          <w:tcPr>
            <w:tcW w:w="4960" w:type="dxa"/>
            <w:vAlign w:val="bottom"/>
          </w:tcPr>
          <w:p>
            <w:pPr>
              <w:ind w:left="40"/>
              <w:spacing w:after="0" w:line="202" w:lineRule="exact"/>
              <w:rPr>
                <w:sz w:val="20"/>
                <w:szCs w:val="20"/>
                <w:color w:val="auto"/>
              </w:rPr>
            </w:pPr>
            <w:r>
              <w:rPr>
                <w:rFonts w:ascii="Arial" w:cs="Arial" w:eastAsia="Arial" w:hAnsi="Arial"/>
                <w:sz w:val="18"/>
                <w:szCs w:val="18"/>
                <w:color w:val="3F3F3F"/>
              </w:rPr>
              <w:t>Alaskan Native or Native American</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3F3F3F"/>
                <w:w w:val="99"/>
              </w:rPr>
              <w:t>-</w:t>
            </w: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3F3F3F"/>
                <w:w w:val="99"/>
              </w:rPr>
              <w:t>-</w:t>
            </w:r>
          </w:p>
        </w:tc>
        <w:tc>
          <w:tcPr>
            <w:tcW w:w="152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3F3F3F"/>
              </w:rPr>
              <w:t>-</w:t>
            </w:r>
          </w:p>
        </w:tc>
        <w:tc>
          <w:tcPr>
            <w:tcW w:w="150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3F3F3F"/>
              </w:rPr>
              <w:t>-</w:t>
            </w:r>
          </w:p>
        </w:tc>
      </w:tr>
      <w:tr>
        <w:trPr>
          <w:trHeight w:val="203"/>
        </w:trPr>
        <w:tc>
          <w:tcPr>
            <w:tcW w:w="4960" w:type="dxa"/>
            <w:vAlign w:val="bottom"/>
          </w:tcPr>
          <w:p>
            <w:pPr>
              <w:ind w:left="40"/>
              <w:spacing w:after="0" w:line="202" w:lineRule="exact"/>
              <w:rPr>
                <w:sz w:val="20"/>
                <w:szCs w:val="20"/>
                <w:color w:val="auto"/>
              </w:rPr>
            </w:pPr>
            <w:r>
              <w:rPr>
                <w:rFonts w:ascii="Arial" w:cs="Arial" w:eastAsia="Arial" w:hAnsi="Arial"/>
                <w:sz w:val="18"/>
                <w:szCs w:val="18"/>
                <w:color w:val="3F3F3F"/>
              </w:rPr>
              <w:t>Asian</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3F3F3F"/>
                <w:w w:val="99"/>
              </w:rPr>
              <w:t>-</w:t>
            </w: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3F3F3F"/>
                <w:w w:val="99"/>
              </w:rPr>
              <w:t>-</w:t>
            </w:r>
          </w:p>
        </w:tc>
        <w:tc>
          <w:tcPr>
            <w:tcW w:w="152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3F3F3F"/>
              </w:rPr>
              <w:t>-</w:t>
            </w:r>
          </w:p>
        </w:tc>
        <w:tc>
          <w:tcPr>
            <w:tcW w:w="150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3F3F3F"/>
              </w:rPr>
              <w:t>-</w:t>
            </w:r>
          </w:p>
        </w:tc>
      </w:tr>
      <w:tr>
        <w:trPr>
          <w:trHeight w:val="203"/>
        </w:trPr>
        <w:tc>
          <w:tcPr>
            <w:tcW w:w="4960" w:type="dxa"/>
            <w:vAlign w:val="bottom"/>
          </w:tcPr>
          <w:p>
            <w:pPr>
              <w:ind w:left="40"/>
              <w:spacing w:after="0" w:line="202" w:lineRule="exact"/>
              <w:rPr>
                <w:sz w:val="20"/>
                <w:szCs w:val="20"/>
                <w:color w:val="auto"/>
              </w:rPr>
            </w:pPr>
            <w:r>
              <w:rPr>
                <w:rFonts w:ascii="Arial" w:cs="Arial" w:eastAsia="Arial" w:hAnsi="Arial"/>
                <w:sz w:val="18"/>
                <w:szCs w:val="18"/>
                <w:color w:val="3F3F3F"/>
              </w:rPr>
              <w:t>Hispanic or Latinx</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3F3F3F"/>
                <w:w w:val="99"/>
              </w:rPr>
              <w:t>-</w:t>
            </w: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3F3F3F"/>
                <w:w w:val="99"/>
              </w:rPr>
              <w:t>-</w:t>
            </w:r>
          </w:p>
        </w:tc>
        <w:tc>
          <w:tcPr>
            <w:tcW w:w="152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3F3F3F"/>
              </w:rPr>
              <w:t>-</w:t>
            </w:r>
          </w:p>
        </w:tc>
        <w:tc>
          <w:tcPr>
            <w:tcW w:w="150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3F3F3F"/>
              </w:rPr>
              <w:t>-</w:t>
            </w:r>
          </w:p>
        </w:tc>
      </w:tr>
      <w:tr>
        <w:trPr>
          <w:trHeight w:val="203"/>
        </w:trPr>
        <w:tc>
          <w:tcPr>
            <w:tcW w:w="4960" w:type="dxa"/>
            <w:vAlign w:val="bottom"/>
          </w:tcPr>
          <w:p>
            <w:pPr>
              <w:ind w:left="40"/>
              <w:spacing w:after="0" w:line="202" w:lineRule="exact"/>
              <w:rPr>
                <w:sz w:val="20"/>
                <w:szCs w:val="20"/>
                <w:color w:val="auto"/>
              </w:rPr>
            </w:pPr>
            <w:r>
              <w:rPr>
                <w:rFonts w:ascii="Arial" w:cs="Arial" w:eastAsia="Arial" w:hAnsi="Arial"/>
                <w:sz w:val="18"/>
                <w:szCs w:val="18"/>
                <w:color w:val="3F3F3F"/>
              </w:rPr>
              <w:t>Native Hawaiian or Pacific Islander</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3F3F3F"/>
                <w:w w:val="99"/>
              </w:rPr>
              <w:t>-</w:t>
            </w: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3F3F3F"/>
                <w:w w:val="99"/>
              </w:rPr>
              <w:t>-</w:t>
            </w:r>
          </w:p>
        </w:tc>
        <w:tc>
          <w:tcPr>
            <w:tcW w:w="152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3F3F3F"/>
              </w:rPr>
              <w:t>-</w:t>
            </w:r>
          </w:p>
        </w:tc>
        <w:tc>
          <w:tcPr>
            <w:tcW w:w="150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3F3F3F"/>
              </w:rPr>
              <w:t>-</w:t>
            </w:r>
          </w:p>
        </w:tc>
      </w:tr>
      <w:tr>
        <w:trPr>
          <w:trHeight w:val="203"/>
        </w:trPr>
        <w:tc>
          <w:tcPr>
            <w:tcW w:w="4960" w:type="dxa"/>
            <w:vAlign w:val="bottom"/>
          </w:tcPr>
          <w:p>
            <w:pPr>
              <w:ind w:left="40"/>
              <w:spacing w:after="0" w:line="202" w:lineRule="exact"/>
              <w:rPr>
                <w:sz w:val="20"/>
                <w:szCs w:val="20"/>
                <w:color w:val="auto"/>
              </w:rPr>
            </w:pPr>
            <w:r>
              <w:rPr>
                <w:rFonts w:ascii="Arial" w:cs="Arial" w:eastAsia="Arial" w:hAnsi="Arial"/>
                <w:sz w:val="18"/>
                <w:szCs w:val="18"/>
                <w:color w:val="3F3F3F"/>
              </w:rPr>
              <w:t>White</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3F3F3F"/>
                <w:w w:val="99"/>
              </w:rPr>
              <w:t>1</w:t>
            </w: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3F3F3F"/>
                <w:w w:val="99"/>
              </w:rPr>
              <w:t>6</w:t>
            </w:r>
          </w:p>
        </w:tc>
        <w:tc>
          <w:tcPr>
            <w:tcW w:w="152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3F3F3F"/>
              </w:rPr>
              <w:t>-</w:t>
            </w:r>
          </w:p>
        </w:tc>
        <w:tc>
          <w:tcPr>
            <w:tcW w:w="150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3F3F3F"/>
              </w:rPr>
              <w:t>-</w:t>
            </w:r>
          </w:p>
        </w:tc>
      </w:tr>
      <w:tr>
        <w:trPr>
          <w:trHeight w:val="203"/>
        </w:trPr>
        <w:tc>
          <w:tcPr>
            <w:tcW w:w="4960" w:type="dxa"/>
            <w:vAlign w:val="bottom"/>
          </w:tcPr>
          <w:p>
            <w:pPr>
              <w:ind w:left="40"/>
              <w:spacing w:after="0" w:line="202" w:lineRule="exact"/>
              <w:rPr>
                <w:sz w:val="20"/>
                <w:szCs w:val="20"/>
                <w:color w:val="auto"/>
              </w:rPr>
            </w:pPr>
            <w:r>
              <w:rPr>
                <w:rFonts w:ascii="Arial" w:cs="Arial" w:eastAsia="Arial" w:hAnsi="Arial"/>
                <w:sz w:val="18"/>
                <w:szCs w:val="18"/>
                <w:color w:val="3F3F3F"/>
              </w:rPr>
              <w:t>Two or More Races or Ethnicities</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3F3F3F"/>
                <w:w w:val="99"/>
              </w:rPr>
              <w:t>-</w:t>
            </w: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3F3F3F"/>
                <w:w w:val="99"/>
              </w:rPr>
              <w:t>-</w:t>
            </w:r>
          </w:p>
        </w:tc>
        <w:tc>
          <w:tcPr>
            <w:tcW w:w="152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3F3F3F"/>
              </w:rPr>
              <w:t>-</w:t>
            </w:r>
          </w:p>
        </w:tc>
        <w:tc>
          <w:tcPr>
            <w:tcW w:w="150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3F3F3F"/>
              </w:rPr>
              <w:t>-</w:t>
            </w:r>
          </w:p>
        </w:tc>
      </w:tr>
      <w:tr>
        <w:trPr>
          <w:trHeight w:val="203"/>
        </w:trPr>
        <w:tc>
          <w:tcPr>
            <w:tcW w:w="4960" w:type="dxa"/>
            <w:vAlign w:val="bottom"/>
          </w:tcPr>
          <w:p>
            <w:pPr>
              <w:ind w:left="40"/>
              <w:spacing w:after="0" w:line="202" w:lineRule="exact"/>
              <w:rPr>
                <w:sz w:val="20"/>
                <w:szCs w:val="20"/>
                <w:color w:val="auto"/>
              </w:rPr>
            </w:pPr>
            <w:r>
              <w:rPr>
                <w:rFonts w:ascii="Arial" w:cs="Arial" w:eastAsia="Arial" w:hAnsi="Arial"/>
                <w:sz w:val="18"/>
                <w:szCs w:val="18"/>
                <w:color w:val="3F3F3F"/>
              </w:rPr>
              <w:t>LGBTQ+</w:t>
            </w: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3F3F3F"/>
                <w:w w:val="99"/>
              </w:rPr>
              <w:t>-</w:t>
            </w: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47"/>
        </w:trPr>
        <w:tc>
          <w:tcPr>
            <w:tcW w:w="4960" w:type="dxa"/>
            <w:vAlign w:val="bottom"/>
          </w:tcPr>
          <w:p>
            <w:pPr>
              <w:ind w:left="40"/>
              <w:spacing w:after="0"/>
              <w:rPr>
                <w:sz w:val="20"/>
                <w:szCs w:val="20"/>
                <w:color w:val="auto"/>
              </w:rPr>
            </w:pPr>
            <w:r>
              <w:rPr>
                <w:rFonts w:ascii="Arial" w:cs="Arial" w:eastAsia="Arial" w:hAnsi="Arial"/>
                <w:sz w:val="18"/>
                <w:szCs w:val="18"/>
                <w:color w:val="3F3F3F"/>
              </w:rPr>
              <w:t>Did Not Disclose Demographic Background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3F3F3F"/>
                <w:w w:val="99"/>
              </w:rPr>
              <w:t>-</w:t>
            </w:r>
          </w:p>
        </w:tc>
        <w:tc>
          <w:tcPr>
            <w:tcW w:w="1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93"/>
        </w:trPr>
        <w:tc>
          <w:tcPr>
            <w:tcW w:w="4960" w:type="dxa"/>
            <w:vAlign w:val="bottom"/>
          </w:tcPr>
          <w:p>
            <w:pPr>
              <w:ind w:left="40"/>
              <w:spacing w:after="0"/>
              <w:rPr>
                <w:sz w:val="20"/>
                <w:szCs w:val="20"/>
                <w:color w:val="auto"/>
              </w:rPr>
            </w:pPr>
            <w:r>
              <w:rPr>
                <w:rFonts w:ascii="Arial" w:cs="Arial" w:eastAsia="Arial" w:hAnsi="Arial"/>
                <w:sz w:val="18"/>
                <w:szCs w:val="18"/>
                <w:color w:val="3F3F3F"/>
              </w:rPr>
              <w:t>*Total includes both management and non-management</w:t>
            </w: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9"/>
        </w:trPr>
        <w:tc>
          <w:tcPr>
            <w:tcW w:w="4960" w:type="dxa"/>
            <w:vAlign w:val="bottom"/>
          </w:tcPr>
          <w:p>
            <w:pPr>
              <w:ind w:left="40"/>
              <w:spacing w:after="0"/>
              <w:rPr>
                <w:sz w:val="20"/>
                <w:szCs w:val="20"/>
                <w:color w:val="auto"/>
              </w:rPr>
            </w:pPr>
            <w:r>
              <w:rPr>
                <w:rFonts w:ascii="Arial" w:cs="Arial" w:eastAsia="Arial" w:hAnsi="Arial"/>
                <w:sz w:val="18"/>
                <w:szCs w:val="18"/>
                <w:color w:val="3F3F3F"/>
              </w:rPr>
              <w:t>directors.</w:t>
            </w:r>
          </w:p>
        </w:tc>
        <w:tc>
          <w:tcPr>
            <w:tcW w:w="1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51"/>
        </w:trPr>
        <w:tc>
          <w:tcPr>
            <w:tcW w:w="4960" w:type="dxa"/>
            <w:vAlign w:val="bottom"/>
          </w:tcPr>
          <w:p>
            <w:pPr>
              <w:spacing w:after="0"/>
              <w:rPr>
                <w:sz w:val="24"/>
                <w:szCs w:val="24"/>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color w:val="3F3F3F"/>
              </w:rPr>
              <w:t>18</w:t>
            </w: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CORPORATE GOVERNANCE</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DIRECTOR INDEPENDENCE</w:t>
      </w:r>
    </w:p>
    <w:p>
      <w:pPr>
        <w:spacing w:after="0" w:line="104" w:lineRule="exact"/>
        <w:rPr>
          <w:sz w:val="20"/>
          <w:szCs w:val="20"/>
          <w:color w:val="auto"/>
        </w:rPr>
      </w:pPr>
    </w:p>
    <w:p>
      <w:pPr>
        <w:ind w:left="120" w:right="60"/>
        <w:spacing w:after="0"/>
        <w:rPr>
          <w:sz w:val="20"/>
          <w:szCs w:val="20"/>
          <w:color w:val="auto"/>
        </w:rPr>
      </w:pPr>
      <w:r>
        <w:rPr>
          <w:rFonts w:ascii="Arial" w:cs="Arial" w:eastAsia="Arial" w:hAnsi="Arial"/>
          <w:sz w:val="18"/>
          <w:szCs w:val="18"/>
          <w:color w:val="3F3F3F"/>
        </w:rPr>
        <w:t>All of our directors, other than August J. Troendle,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Mr. Troendle is not independent because he is the Chief Executive Officer of Medpace.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DIRECTOR CANDIDATES</w:t>
      </w:r>
    </w:p>
    <w:p>
      <w:pPr>
        <w:spacing w:after="0" w:line="104"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3F3F3F"/>
        </w:rPr>
        <w:t>In July 2021, the Board established a Nominating and Governance Committee and adopted a committee charter. For more information, see “Committees of the Board”, “Nominating and Governance Committee”.</w:t>
      </w:r>
    </w:p>
    <w:p>
      <w:pPr>
        <w:spacing w:after="0" w:line="154" w:lineRule="exact"/>
        <w:rPr>
          <w:sz w:val="20"/>
          <w:szCs w:val="20"/>
          <w:color w:val="auto"/>
        </w:rPr>
      </w:pPr>
    </w:p>
    <w:p>
      <w:pPr>
        <w:ind w:left="120" w:right="120"/>
        <w:spacing w:after="0" w:line="257" w:lineRule="auto"/>
        <w:rPr>
          <w:sz w:val="20"/>
          <w:szCs w:val="20"/>
          <w:color w:val="auto"/>
        </w:rPr>
      </w:pPr>
      <w:r>
        <w:rPr>
          <w:rFonts w:ascii="Arial" w:cs="Arial" w:eastAsia="Arial" w:hAnsi="Arial"/>
          <w:sz w:val="17"/>
          <w:szCs w:val="17"/>
          <w:color w:val="3F3F3F"/>
        </w:rPr>
        <w:t>With respect to facilitating the search process for director candidates, the Nominating and Governance Committee may solicit current directors and executives of the Company for the names of potentially qualified candidates or ask directors and executives to pursue their own business contacts for the names of potentially qualified candidates. The Nominating and Governance Committee may also consult with outside advisors or retain search firms to assist in the search for qualified candidates, or consider director candidates recommended by our stockholders. Once potential candidates are identified, the Nominating and Governance Committee reviews the backgrounds of those candidates, evaluates candidates’ independence from the Company and potential conflicts of interest and determines if candidates meet the qualifications desired by the Nominating and Governance Committee of candidates for election as a director.</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In evaluating the suitability of individual candidates, the Nominating and Governance committee may consider many factors, including:</w:t>
      </w:r>
    </w:p>
    <w:p>
      <w:pPr>
        <w:spacing w:after="0" w:line="14" w:lineRule="exact"/>
        <w:rPr>
          <w:sz w:val="20"/>
          <w:szCs w:val="20"/>
          <w:color w:val="auto"/>
        </w:rPr>
      </w:pPr>
    </w:p>
    <w:p>
      <w:pPr>
        <w:ind w:left="120" w:hanging="4"/>
        <w:spacing w:after="0" w:line="237" w:lineRule="auto"/>
        <w:tabs>
          <w:tab w:leader="none" w:pos="330" w:val="left"/>
        </w:tabs>
        <w:numPr>
          <w:ilvl w:val="0"/>
          <w:numId w:val="10"/>
        </w:numPr>
        <w:rPr>
          <w:rFonts w:ascii="Arial" w:cs="Arial" w:eastAsia="Arial" w:hAnsi="Arial"/>
          <w:sz w:val="18"/>
          <w:szCs w:val="18"/>
          <w:color w:val="3F3F3F"/>
        </w:rPr>
      </w:pPr>
      <w:r>
        <w:rPr>
          <w:rFonts w:ascii="Arial" w:cs="Arial" w:eastAsia="Arial" w:hAnsi="Arial"/>
          <w:sz w:val="18"/>
          <w:szCs w:val="18"/>
          <w:color w:val="3F3F3F"/>
        </w:rPr>
        <w:t>minimum individual qualifications, including a high level of personal and professional integrity, strong ethics and values and the ability to make mature business judgments and (ii) all other factors it considers appropriate, which may include experience in corporate management, experience as a board member of other public companies, relevant professional or academic experience, leadership skills, financial and accounting background, executive compensation background, diversity and whether the candidate has the time required to fully participate as a director of the Company. While we do not have a policy mandating Board diversity with respect to personal characteristics, the Nominating and Governance Committee includes gender, racial and ethnic diversity as part of its search criteria, consistent with the requirement for relevant and diverse experience, skills and industry familiarity. Our Corporate Governance Guidelines provide that the Board should monitor the mix of specific experience, qualifications and skills of its directors in order to assure that the Board, as a whole, has the necessary tools to perform its oversight function effectively in light of the Company’s business and structure.</w:t>
      </w:r>
    </w:p>
    <w:p>
      <w:pPr>
        <w:spacing w:after="0" w:line="181"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3F3F3F"/>
        </w:rPr>
        <w:t>Stockholders may recommend individuals to the Board for consideration as potential director candidates by submitting the names of the recommended individuals, together with appropriate biographical information, a questionnaire and other materials required by Article I, Sections 1.14 and 1.15 of our Amended and Restated Bylaws, to the Board of Directors, c/o Corporate Secretary, Medpace Holdings, Inc., 5375 Medpace Way, Cincinnati, Ohio 45227. Article I, Sections 1.14 and 1.15 of our Bylaws outlines the specific requirements for stockholders who wish to nominate individuals for election as directors. The nomination notice required by the Bylaws must be delivered not later than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F3F3F"/>
        </w:rPr>
        <w:t>19</w:t>
      </w:r>
    </w:p>
    <w:p>
      <w:pPr>
        <w:sectPr>
          <w:pgSz w:w="11900" w:h="16838" w:orient="portrait"/>
          <w:cols w:equalWidth="0" w:num="1">
            <w:col w:w="11100"/>
          </w:cols>
          <w:pgMar w:left="320" w:top="455" w:right="4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CORPORATE GOVERNANCE</w:t>
      </w:r>
    </w:p>
    <w:p>
      <w:pPr>
        <w:spacing w:after="0" w:line="144"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3F3F3F"/>
        </w:rPr>
        <w:t>the 90th day, nor earlier than the 120th day prior to the first anniversary of the preceding year’s annual meeting, subject to the other conditions in the Bylaws. In the event there is a vacancy, and assuming that appropriate biographical and background material has been provided on a timely basis, the Board will evaluate stockholder recommended candidates by following substantially the same process, and applying substantially the same criteria, as it follows for candidates submitted by others.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COMMUNICATIONS FROM STOCKHOLDERS</w:t>
      </w:r>
    </w:p>
    <w:p>
      <w:pPr>
        <w:spacing w:after="0" w:line="10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3F3F3F"/>
        </w:rPr>
        <w:t>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he considers appropriate.</w:t>
      </w:r>
    </w:p>
    <w:p>
      <w:pPr>
        <w:spacing w:after="0" w:line="169" w:lineRule="exact"/>
        <w:rPr>
          <w:sz w:val="20"/>
          <w:szCs w:val="20"/>
          <w:color w:val="auto"/>
        </w:rPr>
      </w:pPr>
    </w:p>
    <w:p>
      <w:pPr>
        <w:ind w:left="120" w:right="240"/>
        <w:spacing w:after="0" w:line="242" w:lineRule="auto"/>
        <w:rPr>
          <w:sz w:val="20"/>
          <w:szCs w:val="20"/>
          <w:color w:val="auto"/>
        </w:rPr>
      </w:pPr>
      <w:r>
        <w:rPr>
          <w:rFonts w:ascii="Arial" w:cs="Arial" w:eastAsia="Arial" w:hAnsi="Arial"/>
          <w:sz w:val="18"/>
          <w:szCs w:val="18"/>
          <w:color w:val="3F3F3F"/>
        </w:rPr>
        <w:t>Communications are forwarded to all directors if they relate to important substantive matters and include suggestions or comments that our Corporate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Board of Directors, c/o Corporate Secretary, Medpace Holdings, Inc., 5375 Medpace Way, Cincinnati, Ohio 45227.</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BOARD LEADERSHIP STRUCTURE AND ROLE IN RISK OVERSIGHT</w:t>
      </w:r>
    </w:p>
    <w:p>
      <w:pPr>
        <w:spacing w:after="0" w:line="10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3F3F3F"/>
        </w:rPr>
        <w:t>Our Board exercises its discretion in combining or separating the roles of Chairman of the Board and Chief Executive Officer as it deems appropriate in light of prevailing circumstances. We believe that we, like many U.S. companies, are well-served by a flexible leadership structure. August J. Troendle, our Chief Executive Officer, serves as Chairman of the Board. Our Board has determined that combining the roles of Chairman of the Board and Chief Executive Officer is best for our Company and its stockholders at this time because it promotes unified leadership by Mr. Troendle and allows for a single, clear focus for management to execute the Company’s strategy and business plans. Our Board is comprised of individuals with extensive experience in finance, the healthcare industry and public company management and, with the exception of Mr. Troendle, is comprised of directors who meet the independence standards of NASDAQ. For these reasons and because of the strong leadership of Mr. Troendle as Chairman of the Board and Chief Executive Officer, our Board has concluded that our current leadership structure is appropriate at this time. However, our Board will continue to periodically review our leadership structure and may make such changes in the future as it deems appropriate.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Our Corporate Governance Guidelines provide that, if the Company does not qualify as a “controlled company” within the meaning of the NASDAQ rules, whenever our Chairman of the Board is also a member of management or is a director that does not otherwise qualify as an independent director, the independent directors may elect a lead director whose responsibilities include, but are not limited to, presiding over all meetings of the Board at which the Chairman is not present, including any executive sessions of the independent directors; approving Board meeting schedules and contributing to meeting agendas; and acting as the liaison between the independent directors and the Chief Executive Officer and Chairman of the Board. The full list of responsibilities of our lead director may be found in our Corporate Governance Guidelines. In October 2018, the independent directors elected Fred B. Davenport, Jr. as lead director.</w:t>
      </w:r>
    </w:p>
    <w:p>
      <w:pPr>
        <w:spacing w:after="0" w:line="185"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3F3F3F"/>
        </w:rPr>
        <w:t>Risk assessment and oversight are an integral part of our governance and management processes. Our management is responsible for our day-to-day risk management activities. Our Board oversees the implementation of risk mitigation strategies by management and encourages management to promote a culture that incorporates risk management into our corporate strategy and day-to-day business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F3F3F"/>
        </w:rPr>
        <w:t>20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CORPORATE GOVERNANCE</w:t>
      </w:r>
    </w:p>
    <w:p>
      <w:pPr>
        <w:spacing w:after="0" w:line="14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3F3F3F"/>
        </w:rPr>
        <w:t>operations. Management discusses strategic and operational risks at regular management meetings and conducts specific strategic planning and review sessions during the year that include a focused discussion and analysis of the risks facing us. Examples of these risks include, but are not limited to, legal risks, economic risks, business operations risks, regulatory compliance risks, cybersecurity risks and reputational risks. Throughout the year, senior management reviews these and other risks with the Board at regular board meetings as part of management presentations that focus on particular business functions, operations or strategies, and presents the steps taken by management to mitigate or eliminate such risks. Our Board is apprised of particular risk management matters in connection with its general oversight and approval of corporate matters and significant transactions. Our Board administers this oversight function directly through the Board as a whole, as well as through various standing committees of the Board that address risks inherent in their respective areas of oversight. The Board does not believe that its role in the oversight of our risks affects the Board’s leadership structure.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PERIODIC BOARD EVALUATION</w:t>
      </w:r>
    </w:p>
    <w:p>
      <w:pPr>
        <w:spacing w:after="0" w:line="10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3F3F3F"/>
        </w:rPr>
        <w:t>Our Corporate Governance Guidelines require the Board to oversee a periodic assessment of the Board and its committees and this assessment was conducted in the third quarter of 2021. The Board of Directors and committees conduct self-evaluations to assess the qualifications, attributes, skills and experience represented on the Board and to determine whether the Board and its committees are functioning effectively. The Nominating and Governance Committee receives input on the Board’s performance from directors and, through its Chair, discusses the input with the full Board and oversees the full Board’s review of its performance. The self-assessments focus on the Board’s and committees’ contribution to the Company and on areas in which the Board or management believes that the Board or any of its committees could improve. The Board and the Nominating and Governance Committee use the self-evaluations in making determinations regarding which directors will be nominated for election at the Annual Meeting. The Board and committee evaluation process also informs Board and committee composition, which includes evolution of the director skills and experience qualifications criteria to meet the current and anticipated needs of the business.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CODE OF ETHICS</w:t>
      </w:r>
    </w:p>
    <w:p>
      <w:pPr>
        <w:spacing w:after="0" w:line="104"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color w:val="3F3F3F"/>
        </w:rPr>
        <w:t xml:space="preserve">We have a written Code of Business Conduct and Ethics (the “Code”) that applies to our directors, officers and employees, including our principal executive officer, principal financial officer, principal accounting officer or controller, or persons performing similar functions. We have posted a current copy of the Code in the “Corporate Governance” section of the “Investors” page of our website located at </w:t>
      </w:r>
      <w:r>
        <w:rPr>
          <w:rFonts w:ascii="Arial" w:cs="Arial" w:eastAsia="Arial" w:hAnsi="Arial"/>
          <w:sz w:val="18"/>
          <w:szCs w:val="18"/>
          <w:i w:val="1"/>
          <w:iCs w:val="1"/>
          <w:color w:val="3F3F3F"/>
        </w:rPr>
        <w:t>www.medpace.com</w:t>
      </w:r>
      <w:r>
        <w:rPr>
          <w:rFonts w:ascii="Arial" w:cs="Arial" w:eastAsia="Arial" w:hAnsi="Arial"/>
          <w:sz w:val="18"/>
          <w:szCs w:val="18"/>
          <w:color w:val="3F3F3F"/>
        </w:rPr>
        <w:t>. In addition, we intend to post on our website all disclosures that are required by law or the rules of NASDAQ</w:t>
      </w:r>
      <w:r>
        <w:rPr>
          <w:rFonts w:ascii="Arial" w:cs="Arial" w:eastAsia="Arial" w:hAnsi="Arial"/>
          <w:sz w:val="18"/>
          <w:szCs w:val="18"/>
          <w:i w:val="1"/>
          <w:iCs w:val="1"/>
          <w:color w:val="3F3F3F"/>
        </w:rPr>
        <w:t xml:space="preserve"> </w:t>
      </w:r>
      <w:r>
        <w:rPr>
          <w:rFonts w:ascii="Arial" w:cs="Arial" w:eastAsia="Arial" w:hAnsi="Arial"/>
          <w:sz w:val="18"/>
          <w:szCs w:val="18"/>
          <w:color w:val="3F3F3F"/>
        </w:rPr>
        <w:t>concerning any amendments to, or waivers from, any provision of the Code.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21</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CORPORATE GOVERNANCE</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ATTENDANCE BY MEMBERS OF THE BOARD OF DIRECTORS AT MEETINGS</w:t>
      </w:r>
    </w:p>
    <w:p>
      <w:pPr>
        <w:spacing w:after="0" w:line="104"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3F3F3F"/>
        </w:rPr>
        <w:t>There were four (4) meetings of the Board during the fiscal year ended December 31, 2021. During the fiscal year ended December 31, 2021, all members of the Board of Directors attended all meetings of the Board. All directors attended all meetings of the committees on which the director served with the exception of one director who was unable to attend one committee meeting. All but one of the directors were able to attend the 2021 Annual Meeting.</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 xml:space="preserve">Under our Corporate Governance Guidelines, which are available in the “Corporate Governance” section of the “Investors” page of our website located at </w:t>
      </w:r>
      <w:r>
        <w:rPr>
          <w:rFonts w:ascii="Arial" w:cs="Arial" w:eastAsia="Arial" w:hAnsi="Arial"/>
          <w:sz w:val="18"/>
          <w:szCs w:val="18"/>
          <w:i w:val="1"/>
          <w:iCs w:val="1"/>
          <w:color w:val="3F3F3F"/>
        </w:rPr>
        <w:t>www.medpace.com</w:t>
      </w:r>
      <w:r>
        <w:rPr>
          <w:rFonts w:ascii="Arial" w:cs="Arial" w:eastAsia="Arial" w:hAnsi="Arial"/>
          <w:sz w:val="18"/>
          <w:szCs w:val="18"/>
          <w:color w:val="3F3F3F"/>
        </w:rPr>
        <w:t>,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F3F3F"/>
        </w:rPr>
        <w:t>22</w:t>
      </w:r>
    </w:p>
    <w:p>
      <w:pPr>
        <w:sectPr>
          <w:pgSz w:w="11900" w:h="16838" w:orient="portrait"/>
          <w:cols w:equalWidth="0" w:num="1">
            <w:col w:w="11100"/>
          </w:cols>
          <w:pgMar w:left="320" w:top="455" w:right="4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Committees of the Board</w:t>
      </w:r>
    </w:p>
    <w:p>
      <w:pPr>
        <w:spacing w:after="0" w:line="108" w:lineRule="exact"/>
        <w:rPr>
          <w:sz w:val="20"/>
          <w:szCs w:val="20"/>
          <w:color w:val="auto"/>
        </w:rPr>
      </w:pPr>
    </w:p>
    <w:p>
      <w:pPr>
        <w:jc w:val="both"/>
        <w:ind w:left="120" w:right="280"/>
        <w:spacing w:after="0" w:line="253" w:lineRule="auto"/>
        <w:rPr>
          <w:sz w:val="20"/>
          <w:szCs w:val="20"/>
          <w:color w:val="auto"/>
        </w:rPr>
      </w:pPr>
      <w:r>
        <w:rPr>
          <w:rFonts w:ascii="Arial" w:cs="Arial" w:eastAsia="Arial" w:hAnsi="Arial"/>
          <w:sz w:val="18"/>
          <w:szCs w:val="18"/>
          <w:color w:val="3F3F3F"/>
        </w:rPr>
        <w:t>Our Board has established three standing committees, Audit, Compensation, and Nominating and Governance, each of which operates under a written charter that has been approved by our Board. All of the members of each of the Board’s three standing committees are independent as defined under the NASDAQ rules.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current members of each of the Board committees and committee Chairs are set forth in the following chart.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0" w:type="dxa"/>
            <w:vAlign w:val="bottom"/>
          </w:tcPr>
          <w:p>
            <w:pPr>
              <w:jc w:val="center"/>
              <w:ind w:left="482"/>
              <w:spacing w:after="0"/>
              <w:rPr>
                <w:sz w:val="20"/>
                <w:szCs w:val="20"/>
                <w:color w:val="auto"/>
              </w:rPr>
            </w:pPr>
            <w:r>
              <w:rPr>
                <w:rFonts w:ascii="Arial" w:cs="Arial" w:eastAsia="Arial" w:hAnsi="Arial"/>
                <w:sz w:val="14"/>
                <w:szCs w:val="14"/>
                <w:b w:val="1"/>
                <w:bCs w:val="1"/>
                <w:color w:val="006098"/>
              </w:rPr>
              <w:t>Nominating</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0" w:type="dxa"/>
            <w:vAlign w:val="bottom"/>
          </w:tcPr>
          <w:p>
            <w:pPr>
              <w:jc w:val="center"/>
              <w:ind w:left="482"/>
              <w:spacing w:after="0"/>
              <w:rPr>
                <w:sz w:val="20"/>
                <w:szCs w:val="20"/>
                <w:color w:val="auto"/>
              </w:rPr>
            </w:pPr>
            <w:r>
              <w:rPr>
                <w:rFonts w:ascii="Arial" w:cs="Arial" w:eastAsia="Arial" w:hAnsi="Arial"/>
                <w:sz w:val="14"/>
                <w:szCs w:val="14"/>
                <w:b w:val="1"/>
                <w:bCs w:val="1"/>
                <w:color w:val="006098"/>
              </w:rPr>
              <w:t>and</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83BA90"/>
            </w:tcBorders>
          </w:tcPr>
          <w:p>
            <w:pPr>
              <w:ind w:left="40"/>
              <w:spacing w:after="0"/>
              <w:rPr>
                <w:sz w:val="20"/>
                <w:szCs w:val="20"/>
                <w:color w:val="auto"/>
              </w:rPr>
            </w:pPr>
            <w:r>
              <w:rPr>
                <w:rFonts w:ascii="Arial" w:cs="Arial" w:eastAsia="Arial" w:hAnsi="Arial"/>
                <w:sz w:val="14"/>
                <w:szCs w:val="14"/>
                <w:b w:val="1"/>
                <w:bCs w:val="1"/>
                <w:color w:val="006098"/>
              </w:rPr>
              <w:t>Name</w:t>
            </w:r>
          </w:p>
        </w:tc>
        <w:tc>
          <w:tcPr>
            <w:tcW w:w="3240" w:type="dxa"/>
            <w:vAlign w:val="bottom"/>
            <w:tcBorders>
              <w:bottom w:val="single" w:sz="8" w:color="83BA90"/>
            </w:tcBorders>
          </w:tcPr>
          <w:p>
            <w:pPr>
              <w:jc w:val="center"/>
              <w:ind w:left="2522"/>
              <w:spacing w:after="0"/>
              <w:rPr>
                <w:sz w:val="20"/>
                <w:szCs w:val="20"/>
                <w:color w:val="auto"/>
              </w:rPr>
            </w:pPr>
            <w:r>
              <w:rPr>
                <w:rFonts w:ascii="Arial" w:cs="Arial" w:eastAsia="Arial" w:hAnsi="Arial"/>
                <w:sz w:val="14"/>
                <w:szCs w:val="14"/>
                <w:b w:val="1"/>
                <w:bCs w:val="1"/>
                <w:color w:val="006098"/>
              </w:rPr>
              <w:t>Audit</w:t>
            </w:r>
          </w:p>
        </w:tc>
        <w:tc>
          <w:tcPr>
            <w:tcW w:w="1660" w:type="dxa"/>
            <w:vAlign w:val="bottom"/>
            <w:tcBorders>
              <w:bottom w:val="single" w:sz="8" w:color="83BA90"/>
            </w:tcBorders>
          </w:tcPr>
          <w:p>
            <w:pPr>
              <w:jc w:val="center"/>
              <w:ind w:right="377"/>
              <w:spacing w:after="0"/>
              <w:rPr>
                <w:sz w:val="20"/>
                <w:szCs w:val="20"/>
                <w:color w:val="auto"/>
              </w:rPr>
            </w:pPr>
            <w:r>
              <w:rPr>
                <w:rFonts w:ascii="Arial" w:cs="Arial" w:eastAsia="Arial" w:hAnsi="Arial"/>
                <w:sz w:val="14"/>
                <w:szCs w:val="14"/>
                <w:b w:val="1"/>
                <w:bCs w:val="1"/>
                <w:color w:val="006098"/>
              </w:rPr>
              <w:t>Compensation</w:t>
            </w:r>
          </w:p>
        </w:tc>
        <w:tc>
          <w:tcPr>
            <w:tcW w:w="1400" w:type="dxa"/>
            <w:vAlign w:val="bottom"/>
            <w:tcBorders>
              <w:bottom w:val="single" w:sz="8" w:color="83BA90"/>
            </w:tcBorders>
          </w:tcPr>
          <w:p>
            <w:pPr>
              <w:jc w:val="center"/>
              <w:ind w:left="482"/>
              <w:spacing w:after="0"/>
              <w:rPr>
                <w:sz w:val="20"/>
                <w:szCs w:val="20"/>
                <w:color w:val="auto"/>
              </w:rPr>
            </w:pPr>
            <w:r>
              <w:rPr>
                <w:rFonts w:ascii="Arial" w:cs="Arial" w:eastAsia="Arial" w:hAnsi="Arial"/>
                <w:sz w:val="14"/>
                <w:szCs w:val="14"/>
                <w:b w:val="1"/>
                <w:bCs w:val="1"/>
                <w:color w:val="006098"/>
              </w:rPr>
              <w:t>Governance</w:t>
            </w:r>
          </w:p>
        </w:tc>
        <w:tc>
          <w:tcPr>
            <w:tcW w:w="0" w:type="dxa"/>
            <w:vAlign w:val="bottom"/>
          </w:tcPr>
          <w:p>
            <w:pPr>
              <w:spacing w:after="0"/>
              <w:rPr>
                <w:sz w:val="1"/>
                <w:szCs w:val="1"/>
                <w:color w:val="auto"/>
              </w:rPr>
            </w:pPr>
          </w:p>
        </w:tc>
      </w:tr>
      <w:tr>
        <w:trPr>
          <w:trHeight w:val="223"/>
        </w:trPr>
        <w:tc>
          <w:tcPr>
            <w:tcW w:w="4720" w:type="dxa"/>
            <w:vAlign w:val="bottom"/>
          </w:tcPr>
          <w:p>
            <w:pPr>
              <w:ind w:left="40"/>
              <w:spacing w:after="0"/>
              <w:rPr>
                <w:sz w:val="20"/>
                <w:szCs w:val="20"/>
                <w:color w:val="auto"/>
              </w:rPr>
            </w:pPr>
            <w:r>
              <w:rPr>
                <w:rFonts w:ascii="Arial" w:cs="Arial" w:eastAsia="Arial" w:hAnsi="Arial"/>
                <w:sz w:val="18"/>
                <w:szCs w:val="18"/>
                <w:color w:val="3F3F3F"/>
              </w:rPr>
              <w:t>Brian T. Carley</w:t>
            </w:r>
          </w:p>
        </w:tc>
        <w:tc>
          <w:tcPr>
            <w:tcW w:w="3240" w:type="dxa"/>
            <w:vAlign w:val="bottom"/>
            <w:vMerge w:val="restart"/>
          </w:tcPr>
          <w:p>
            <w:pPr>
              <w:jc w:val="center"/>
              <w:ind w:left="2522"/>
              <w:spacing w:after="0"/>
              <w:rPr>
                <w:sz w:val="20"/>
                <w:szCs w:val="20"/>
                <w:color w:val="auto"/>
              </w:rPr>
            </w:pPr>
            <w:r>
              <w:rPr>
                <w:rFonts w:ascii="Arial" w:cs="Arial" w:eastAsia="Arial" w:hAnsi="Arial"/>
                <w:sz w:val="18"/>
                <w:szCs w:val="18"/>
                <w:color w:val="3F3F3F"/>
              </w:rPr>
              <w:t>Chair</w:t>
            </w:r>
          </w:p>
        </w:tc>
        <w:tc>
          <w:tcPr>
            <w:tcW w:w="1660" w:type="dxa"/>
            <w:vAlign w:val="bottom"/>
          </w:tcPr>
          <w:p>
            <w:pPr>
              <w:spacing w:after="0"/>
              <w:rPr>
                <w:sz w:val="19"/>
                <w:szCs w:val="19"/>
                <w:color w:val="auto"/>
              </w:rPr>
            </w:pPr>
          </w:p>
        </w:tc>
        <w:tc>
          <w:tcPr>
            <w:tcW w:w="1400" w:type="dxa"/>
            <w:vAlign w:val="bottom"/>
            <w:vMerge w:val="restart"/>
          </w:tcPr>
          <w:p>
            <w:pPr>
              <w:jc w:val="center"/>
              <w:ind w:left="482"/>
              <w:spacing w:after="0" w:line="277" w:lineRule="exact"/>
              <w:rPr>
                <w:sz w:val="20"/>
                <w:szCs w:val="20"/>
                <w:color w:val="auto"/>
              </w:rPr>
            </w:pPr>
            <w:r>
              <w:rPr>
                <w:rFonts w:ascii="MS PGothic" w:cs="MS PGothic" w:eastAsia="MS PGothic" w:hAnsi="MS PGothic"/>
                <w:sz w:val="29"/>
                <w:szCs w:val="29"/>
                <w:color w:val="3F87B1"/>
              </w:rPr>
              <w:t>∎</w:t>
            </w:r>
          </w:p>
        </w:tc>
        <w:tc>
          <w:tcPr>
            <w:tcW w:w="0" w:type="dxa"/>
            <w:vAlign w:val="bottom"/>
          </w:tcPr>
          <w:p>
            <w:pPr>
              <w:spacing w:after="0"/>
              <w:rPr>
                <w:sz w:val="1"/>
                <w:szCs w:val="1"/>
                <w:color w:val="auto"/>
              </w:rPr>
            </w:pPr>
          </w:p>
        </w:tc>
      </w:tr>
      <w:tr>
        <w:trPr>
          <w:trHeight w:val="54"/>
        </w:trPr>
        <w:tc>
          <w:tcPr>
            <w:tcW w:w="4720" w:type="dxa"/>
            <w:vAlign w:val="bottom"/>
            <w:tcBorders>
              <w:bottom w:val="single" w:sz="8" w:color="BFBFBF"/>
            </w:tcBorders>
          </w:tcPr>
          <w:p>
            <w:pPr>
              <w:spacing w:after="0"/>
              <w:rPr>
                <w:sz w:val="4"/>
                <w:szCs w:val="4"/>
                <w:color w:val="auto"/>
              </w:rPr>
            </w:pPr>
          </w:p>
        </w:tc>
        <w:tc>
          <w:tcPr>
            <w:tcW w:w="3240" w:type="dxa"/>
            <w:vAlign w:val="bottom"/>
            <w:tcBorders>
              <w:bottom w:val="single" w:sz="8" w:color="BFBFBF"/>
            </w:tcBorders>
            <w:vMerge w:val="continue"/>
          </w:tcPr>
          <w:p>
            <w:pPr>
              <w:spacing w:after="0"/>
              <w:rPr>
                <w:sz w:val="4"/>
                <w:szCs w:val="4"/>
                <w:color w:val="auto"/>
              </w:rPr>
            </w:pPr>
          </w:p>
        </w:tc>
        <w:tc>
          <w:tcPr>
            <w:tcW w:w="1660" w:type="dxa"/>
            <w:vAlign w:val="bottom"/>
            <w:tcBorders>
              <w:bottom w:val="single" w:sz="8" w:color="BFBFBF"/>
            </w:tcBorders>
          </w:tcPr>
          <w:p>
            <w:pPr>
              <w:spacing w:after="0"/>
              <w:rPr>
                <w:sz w:val="4"/>
                <w:szCs w:val="4"/>
                <w:color w:val="auto"/>
              </w:rPr>
            </w:pPr>
          </w:p>
        </w:tc>
        <w:tc>
          <w:tcPr>
            <w:tcW w:w="1400" w:type="dxa"/>
            <w:vAlign w:val="bottom"/>
            <w:tcBorders>
              <w:bottom w:val="single" w:sz="8" w:color="BFBFB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40"/>
              <w:spacing w:after="0"/>
              <w:rPr>
                <w:sz w:val="20"/>
                <w:szCs w:val="20"/>
                <w:color w:val="auto"/>
              </w:rPr>
            </w:pPr>
            <w:r>
              <w:rPr>
                <w:rFonts w:ascii="Arial" w:cs="Arial" w:eastAsia="Arial" w:hAnsi="Arial"/>
                <w:sz w:val="18"/>
                <w:szCs w:val="18"/>
                <w:color w:val="3F3F3F"/>
              </w:rPr>
              <w:t>Fred B. Davenport, Jr.</w:t>
            </w:r>
          </w:p>
        </w:tc>
        <w:tc>
          <w:tcPr>
            <w:tcW w:w="3240" w:type="dxa"/>
            <w:vAlign w:val="bottom"/>
            <w:vMerge w:val="restart"/>
          </w:tcPr>
          <w:p>
            <w:pPr>
              <w:jc w:val="center"/>
              <w:ind w:left="2522"/>
              <w:spacing w:after="0" w:line="277" w:lineRule="exact"/>
              <w:rPr>
                <w:sz w:val="20"/>
                <w:szCs w:val="20"/>
                <w:color w:val="auto"/>
              </w:rPr>
            </w:pPr>
            <w:r>
              <w:rPr>
                <w:rFonts w:ascii="MS PGothic" w:cs="MS PGothic" w:eastAsia="MS PGothic" w:hAnsi="MS PGothic"/>
                <w:sz w:val="29"/>
                <w:szCs w:val="29"/>
                <w:color w:val="3F87B1"/>
              </w:rPr>
              <w:t>∎</w:t>
            </w:r>
          </w:p>
        </w:tc>
        <w:tc>
          <w:tcPr>
            <w:tcW w:w="1660" w:type="dxa"/>
            <w:vAlign w:val="bottom"/>
            <w:vMerge w:val="restart"/>
          </w:tcPr>
          <w:p>
            <w:pPr>
              <w:jc w:val="center"/>
              <w:ind w:right="377"/>
              <w:spacing w:after="0"/>
              <w:rPr>
                <w:sz w:val="20"/>
                <w:szCs w:val="20"/>
                <w:color w:val="auto"/>
              </w:rPr>
            </w:pPr>
            <w:r>
              <w:rPr>
                <w:rFonts w:ascii="Arial" w:cs="Arial" w:eastAsia="Arial" w:hAnsi="Arial"/>
                <w:sz w:val="18"/>
                <w:szCs w:val="18"/>
                <w:color w:val="3F3F3F"/>
              </w:rPr>
              <w:t>Chair</w:t>
            </w:r>
          </w:p>
        </w:tc>
        <w:tc>
          <w:tcPr>
            <w:tcW w:w="1400" w:type="dxa"/>
            <w:vAlign w:val="bottom"/>
            <w:vMerge w:val="restart"/>
          </w:tcPr>
          <w:p>
            <w:pPr>
              <w:jc w:val="center"/>
              <w:ind w:left="482"/>
              <w:spacing w:after="0" w:line="277" w:lineRule="exact"/>
              <w:rPr>
                <w:sz w:val="20"/>
                <w:szCs w:val="20"/>
                <w:color w:val="auto"/>
              </w:rPr>
            </w:pPr>
            <w:r>
              <w:rPr>
                <w:rFonts w:ascii="MS PGothic" w:cs="MS PGothic" w:eastAsia="MS PGothic" w:hAnsi="MS PGothic"/>
                <w:sz w:val="29"/>
                <w:szCs w:val="29"/>
                <w:color w:val="3F87B1"/>
              </w:rPr>
              <w:t>∎</w:t>
            </w:r>
          </w:p>
        </w:tc>
        <w:tc>
          <w:tcPr>
            <w:tcW w:w="0" w:type="dxa"/>
            <w:vAlign w:val="bottom"/>
          </w:tcPr>
          <w:p>
            <w:pPr>
              <w:spacing w:after="0"/>
              <w:rPr>
                <w:sz w:val="1"/>
                <w:szCs w:val="1"/>
                <w:color w:val="auto"/>
              </w:rPr>
            </w:pPr>
          </w:p>
        </w:tc>
      </w:tr>
      <w:tr>
        <w:trPr>
          <w:trHeight w:val="54"/>
        </w:trPr>
        <w:tc>
          <w:tcPr>
            <w:tcW w:w="4720" w:type="dxa"/>
            <w:vAlign w:val="bottom"/>
          </w:tcPr>
          <w:p>
            <w:pPr>
              <w:spacing w:after="0"/>
              <w:rPr>
                <w:sz w:val="4"/>
                <w:szCs w:val="4"/>
                <w:color w:val="auto"/>
              </w:rPr>
            </w:pPr>
          </w:p>
        </w:tc>
        <w:tc>
          <w:tcPr>
            <w:tcW w:w="324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
        </w:trPr>
        <w:tc>
          <w:tcPr>
            <w:tcW w:w="4720" w:type="dxa"/>
            <w:vAlign w:val="bottom"/>
            <w:shd w:val="clear" w:color="auto" w:fill="BFBFBF"/>
          </w:tcPr>
          <w:p>
            <w:pPr>
              <w:spacing w:after="0" w:line="20" w:lineRule="exact"/>
              <w:rPr>
                <w:sz w:val="1"/>
                <w:szCs w:val="1"/>
                <w:color w:val="auto"/>
              </w:rPr>
            </w:pPr>
          </w:p>
        </w:tc>
        <w:tc>
          <w:tcPr>
            <w:tcW w:w="3240" w:type="dxa"/>
            <w:vAlign w:val="bottom"/>
            <w:shd w:val="clear" w:color="auto" w:fill="BFBFBF"/>
          </w:tcPr>
          <w:p>
            <w:pPr>
              <w:spacing w:after="0" w:line="20" w:lineRule="exact"/>
              <w:rPr>
                <w:sz w:val="1"/>
                <w:szCs w:val="1"/>
                <w:color w:val="auto"/>
              </w:rPr>
            </w:pPr>
          </w:p>
        </w:tc>
        <w:tc>
          <w:tcPr>
            <w:tcW w:w="1660" w:type="dxa"/>
            <w:vAlign w:val="bottom"/>
            <w:shd w:val="clear" w:color="auto" w:fill="BFBFBF"/>
          </w:tcPr>
          <w:p>
            <w:pPr>
              <w:spacing w:after="0" w:line="20" w:lineRule="exact"/>
              <w:rPr>
                <w:sz w:val="1"/>
                <w:szCs w:val="1"/>
                <w:color w:val="auto"/>
              </w:rPr>
            </w:pPr>
          </w:p>
        </w:tc>
        <w:tc>
          <w:tcPr>
            <w:tcW w:w="1400" w:type="dxa"/>
            <w:vAlign w:val="bottom"/>
            <w:shd w:val="clear" w:color="auto" w:fill="BFBFBF"/>
          </w:tcPr>
          <w:p>
            <w:pPr>
              <w:jc w:val="center"/>
              <w:ind w:left="482"/>
              <w:spacing w:after="0" w:line="11" w:lineRule="exact"/>
              <w:rPr>
                <w:sz w:val="20"/>
                <w:szCs w:val="20"/>
                <w:color w:val="auto"/>
              </w:rPr>
            </w:pPr>
            <w:r>
              <w:rPr>
                <w:rFonts w:ascii="MS PGothic" w:cs="MS PGothic" w:eastAsia="MS PGothic" w:hAnsi="MS PGothic"/>
                <w:sz w:val="1"/>
                <w:szCs w:val="1"/>
                <w:color w:val="3F87B1"/>
              </w:rPr>
              <w:t>∎</w:t>
            </w:r>
          </w:p>
        </w:tc>
        <w:tc>
          <w:tcPr>
            <w:tcW w:w="0" w:type="dxa"/>
            <w:vAlign w:val="bottom"/>
          </w:tcPr>
          <w:p>
            <w:pPr>
              <w:spacing w:after="0" w:line="20" w:lineRule="exact"/>
              <w:rPr>
                <w:sz w:val="1"/>
                <w:szCs w:val="1"/>
                <w:color w:val="auto"/>
              </w:rPr>
            </w:pPr>
          </w:p>
        </w:tc>
      </w:tr>
      <w:tr>
        <w:trPr>
          <w:trHeight w:val="239"/>
        </w:trPr>
        <w:tc>
          <w:tcPr>
            <w:tcW w:w="4720" w:type="dxa"/>
            <w:vAlign w:val="bottom"/>
          </w:tcPr>
          <w:p>
            <w:pPr>
              <w:ind w:left="40"/>
              <w:spacing w:after="0"/>
              <w:rPr>
                <w:sz w:val="20"/>
                <w:szCs w:val="20"/>
                <w:color w:val="auto"/>
              </w:rPr>
            </w:pPr>
            <w:r>
              <w:rPr>
                <w:rFonts w:ascii="Arial" w:cs="Arial" w:eastAsia="Arial" w:hAnsi="Arial"/>
                <w:sz w:val="18"/>
                <w:szCs w:val="18"/>
                <w:color w:val="3F3F3F"/>
              </w:rPr>
              <w:t>Ashley M. Keating</w:t>
            </w:r>
          </w:p>
        </w:tc>
        <w:tc>
          <w:tcPr>
            <w:tcW w:w="3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47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
        </w:trPr>
        <w:tc>
          <w:tcPr>
            <w:tcW w:w="4720" w:type="dxa"/>
            <w:vAlign w:val="bottom"/>
            <w:shd w:val="clear" w:color="auto" w:fill="BFBFBF"/>
          </w:tcPr>
          <w:p>
            <w:pPr>
              <w:spacing w:after="0" w:line="20" w:lineRule="exact"/>
              <w:rPr>
                <w:sz w:val="1"/>
                <w:szCs w:val="1"/>
                <w:color w:val="auto"/>
              </w:rPr>
            </w:pPr>
          </w:p>
        </w:tc>
        <w:tc>
          <w:tcPr>
            <w:tcW w:w="3240" w:type="dxa"/>
            <w:vAlign w:val="bottom"/>
            <w:shd w:val="clear" w:color="auto" w:fill="BFBFBF"/>
          </w:tcPr>
          <w:p>
            <w:pPr>
              <w:spacing w:after="0" w:line="20" w:lineRule="exact"/>
              <w:rPr>
                <w:sz w:val="1"/>
                <w:szCs w:val="1"/>
                <w:color w:val="auto"/>
              </w:rPr>
            </w:pPr>
          </w:p>
        </w:tc>
        <w:tc>
          <w:tcPr>
            <w:tcW w:w="1660" w:type="dxa"/>
            <w:vAlign w:val="bottom"/>
            <w:shd w:val="clear" w:color="auto" w:fill="BFBFBF"/>
          </w:tcPr>
          <w:p>
            <w:pPr>
              <w:spacing w:after="0" w:line="20" w:lineRule="exact"/>
              <w:rPr>
                <w:sz w:val="1"/>
                <w:szCs w:val="1"/>
                <w:color w:val="auto"/>
              </w:rPr>
            </w:pPr>
          </w:p>
        </w:tc>
        <w:tc>
          <w:tcPr>
            <w:tcW w:w="1400" w:type="dxa"/>
            <w:vAlign w:val="bottom"/>
            <w:shd w:val="clear" w:color="auto" w:fill="BFBFBF"/>
          </w:tcPr>
          <w:p>
            <w:pPr>
              <w:jc w:val="center"/>
              <w:ind w:left="482"/>
              <w:spacing w:after="0" w:line="11" w:lineRule="exact"/>
              <w:rPr>
                <w:sz w:val="20"/>
                <w:szCs w:val="20"/>
                <w:color w:val="auto"/>
              </w:rPr>
            </w:pPr>
            <w:r>
              <w:rPr>
                <w:rFonts w:ascii="MS PGothic" w:cs="MS PGothic" w:eastAsia="MS PGothic" w:hAnsi="MS PGothic"/>
                <w:sz w:val="1"/>
                <w:szCs w:val="1"/>
                <w:color w:val="3F87B1"/>
              </w:rPr>
              <w:t>∎</w:t>
            </w:r>
          </w:p>
        </w:tc>
        <w:tc>
          <w:tcPr>
            <w:tcW w:w="0" w:type="dxa"/>
            <w:vAlign w:val="bottom"/>
          </w:tcPr>
          <w:p>
            <w:pPr>
              <w:spacing w:after="0" w:line="20" w:lineRule="exact"/>
              <w:rPr>
                <w:sz w:val="1"/>
                <w:szCs w:val="1"/>
                <w:color w:val="auto"/>
              </w:rPr>
            </w:pPr>
          </w:p>
        </w:tc>
      </w:tr>
      <w:tr>
        <w:trPr>
          <w:trHeight w:val="239"/>
        </w:trPr>
        <w:tc>
          <w:tcPr>
            <w:tcW w:w="4720" w:type="dxa"/>
            <w:vAlign w:val="bottom"/>
          </w:tcPr>
          <w:p>
            <w:pPr>
              <w:ind w:left="40"/>
              <w:spacing w:after="0"/>
              <w:rPr>
                <w:sz w:val="20"/>
                <w:szCs w:val="20"/>
                <w:color w:val="auto"/>
              </w:rPr>
            </w:pPr>
            <w:r>
              <w:rPr>
                <w:rFonts w:ascii="Arial" w:cs="Arial" w:eastAsia="Arial" w:hAnsi="Arial"/>
                <w:sz w:val="18"/>
                <w:szCs w:val="18"/>
                <w:color w:val="3F3F3F"/>
              </w:rPr>
              <w:t>Thomas C. King</w:t>
            </w:r>
          </w:p>
        </w:tc>
        <w:tc>
          <w:tcPr>
            <w:tcW w:w="3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47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
        </w:trPr>
        <w:tc>
          <w:tcPr>
            <w:tcW w:w="4720" w:type="dxa"/>
            <w:vAlign w:val="bottom"/>
            <w:shd w:val="clear" w:color="auto" w:fill="BFBFBF"/>
          </w:tcPr>
          <w:p>
            <w:pPr>
              <w:spacing w:after="0" w:line="20" w:lineRule="exact"/>
              <w:rPr>
                <w:sz w:val="1"/>
                <w:szCs w:val="1"/>
                <w:color w:val="auto"/>
              </w:rPr>
            </w:pPr>
          </w:p>
        </w:tc>
        <w:tc>
          <w:tcPr>
            <w:tcW w:w="3240" w:type="dxa"/>
            <w:vAlign w:val="bottom"/>
            <w:shd w:val="clear" w:color="auto" w:fill="BFBFBF"/>
          </w:tcPr>
          <w:p>
            <w:pPr>
              <w:jc w:val="center"/>
              <w:ind w:left="2522"/>
              <w:spacing w:after="0" w:line="11" w:lineRule="exact"/>
              <w:rPr>
                <w:sz w:val="20"/>
                <w:szCs w:val="20"/>
                <w:color w:val="auto"/>
              </w:rPr>
            </w:pPr>
            <w:r>
              <w:rPr>
                <w:rFonts w:ascii="MS PGothic" w:cs="MS PGothic" w:eastAsia="MS PGothic" w:hAnsi="MS PGothic"/>
                <w:sz w:val="1"/>
                <w:szCs w:val="1"/>
                <w:color w:val="3F87B1"/>
              </w:rPr>
              <w:t>∎</w:t>
            </w:r>
          </w:p>
        </w:tc>
        <w:tc>
          <w:tcPr>
            <w:tcW w:w="1660" w:type="dxa"/>
            <w:vAlign w:val="bottom"/>
            <w:shd w:val="clear" w:color="auto" w:fill="BFBFBF"/>
          </w:tcPr>
          <w:p>
            <w:pPr>
              <w:ind w:left="600"/>
              <w:spacing w:after="0" w:line="11" w:lineRule="exact"/>
              <w:rPr>
                <w:sz w:val="20"/>
                <w:szCs w:val="20"/>
                <w:color w:val="auto"/>
              </w:rPr>
            </w:pPr>
            <w:r>
              <w:rPr>
                <w:rFonts w:ascii="MS PGothic" w:cs="MS PGothic" w:eastAsia="MS PGothic" w:hAnsi="MS PGothic"/>
                <w:sz w:val="1"/>
                <w:szCs w:val="1"/>
                <w:color w:val="3F87B1"/>
              </w:rPr>
              <w:t>∎</w:t>
            </w:r>
          </w:p>
        </w:tc>
        <w:tc>
          <w:tcPr>
            <w:tcW w:w="1400" w:type="dxa"/>
            <w:vAlign w:val="bottom"/>
            <w:shd w:val="clear" w:color="auto" w:fill="BFBFBF"/>
          </w:tcPr>
          <w:p>
            <w:pPr>
              <w:jc w:val="center"/>
              <w:ind w:left="482"/>
              <w:spacing w:after="0" w:line="11" w:lineRule="exact"/>
              <w:rPr>
                <w:sz w:val="20"/>
                <w:szCs w:val="20"/>
                <w:color w:val="auto"/>
              </w:rPr>
            </w:pPr>
            <w:r>
              <w:rPr>
                <w:rFonts w:ascii="MS PGothic" w:cs="MS PGothic" w:eastAsia="MS PGothic" w:hAnsi="MS PGothic"/>
                <w:sz w:val="1"/>
                <w:szCs w:val="1"/>
                <w:color w:val="3F87B1"/>
              </w:rPr>
              <w:t>∎</w:t>
            </w:r>
          </w:p>
        </w:tc>
        <w:tc>
          <w:tcPr>
            <w:tcW w:w="0" w:type="dxa"/>
            <w:vAlign w:val="bottom"/>
          </w:tcPr>
          <w:p>
            <w:pPr>
              <w:spacing w:after="0" w:line="20" w:lineRule="exact"/>
              <w:rPr>
                <w:sz w:val="1"/>
                <w:szCs w:val="1"/>
                <w:color w:val="auto"/>
              </w:rPr>
            </w:pPr>
          </w:p>
        </w:tc>
      </w:tr>
      <w:tr>
        <w:trPr>
          <w:trHeight w:val="239"/>
        </w:trPr>
        <w:tc>
          <w:tcPr>
            <w:tcW w:w="4720" w:type="dxa"/>
            <w:vAlign w:val="bottom"/>
          </w:tcPr>
          <w:p>
            <w:pPr>
              <w:ind w:left="40"/>
              <w:spacing w:after="0"/>
              <w:rPr>
                <w:sz w:val="20"/>
                <w:szCs w:val="20"/>
                <w:color w:val="auto"/>
              </w:rPr>
            </w:pPr>
            <w:r>
              <w:rPr>
                <w:rFonts w:ascii="Arial" w:cs="Arial" w:eastAsia="Arial" w:hAnsi="Arial"/>
                <w:sz w:val="18"/>
                <w:szCs w:val="18"/>
                <w:color w:val="3F3F3F"/>
              </w:rPr>
              <w:t>Robert O. Kraft</w:t>
            </w:r>
          </w:p>
        </w:tc>
        <w:tc>
          <w:tcPr>
            <w:tcW w:w="3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47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
        </w:trPr>
        <w:tc>
          <w:tcPr>
            <w:tcW w:w="4720" w:type="dxa"/>
            <w:vAlign w:val="bottom"/>
            <w:shd w:val="clear" w:color="auto" w:fill="BFBFBF"/>
          </w:tcPr>
          <w:p>
            <w:pPr>
              <w:spacing w:after="0" w:line="20" w:lineRule="exact"/>
              <w:rPr>
                <w:sz w:val="1"/>
                <w:szCs w:val="1"/>
                <w:color w:val="auto"/>
              </w:rPr>
            </w:pPr>
          </w:p>
        </w:tc>
        <w:tc>
          <w:tcPr>
            <w:tcW w:w="3240" w:type="dxa"/>
            <w:vAlign w:val="bottom"/>
            <w:shd w:val="clear" w:color="auto" w:fill="BFBFBF"/>
          </w:tcPr>
          <w:p>
            <w:pPr>
              <w:spacing w:after="0" w:line="20" w:lineRule="exact"/>
              <w:rPr>
                <w:sz w:val="1"/>
                <w:szCs w:val="1"/>
                <w:color w:val="auto"/>
              </w:rPr>
            </w:pPr>
          </w:p>
        </w:tc>
        <w:tc>
          <w:tcPr>
            <w:tcW w:w="1660" w:type="dxa"/>
            <w:vAlign w:val="bottom"/>
            <w:shd w:val="clear" w:color="auto" w:fill="BFBFBF"/>
          </w:tcPr>
          <w:p>
            <w:pPr>
              <w:ind w:left="600"/>
              <w:spacing w:after="0" w:line="11" w:lineRule="exact"/>
              <w:rPr>
                <w:sz w:val="20"/>
                <w:szCs w:val="20"/>
                <w:color w:val="auto"/>
              </w:rPr>
            </w:pPr>
            <w:r>
              <w:rPr>
                <w:rFonts w:ascii="MS PGothic" w:cs="MS PGothic" w:eastAsia="MS PGothic" w:hAnsi="MS PGothic"/>
                <w:sz w:val="1"/>
                <w:szCs w:val="1"/>
                <w:color w:val="3F87B1"/>
              </w:rPr>
              <w:t>∎</w:t>
            </w:r>
          </w:p>
        </w:tc>
        <w:tc>
          <w:tcPr>
            <w:tcW w:w="1400" w:type="dxa"/>
            <w:vAlign w:val="bottom"/>
            <w:shd w:val="clear" w:color="auto" w:fill="BFBFBF"/>
          </w:tcPr>
          <w:p>
            <w:pPr>
              <w:jc w:val="center"/>
              <w:ind w:left="482"/>
              <w:spacing w:after="0" w:line="11" w:lineRule="exact"/>
              <w:rPr>
                <w:sz w:val="20"/>
                <w:szCs w:val="20"/>
                <w:color w:val="auto"/>
              </w:rPr>
            </w:pPr>
            <w:r>
              <w:rPr>
                <w:rFonts w:ascii="MS PGothic" w:cs="MS PGothic" w:eastAsia="MS PGothic" w:hAnsi="MS PGothic"/>
                <w:sz w:val="1"/>
                <w:szCs w:val="1"/>
                <w:color w:val="3F87B1"/>
              </w:rPr>
              <w:t>∎</w:t>
            </w:r>
          </w:p>
        </w:tc>
        <w:tc>
          <w:tcPr>
            <w:tcW w:w="0" w:type="dxa"/>
            <w:vAlign w:val="bottom"/>
          </w:tcPr>
          <w:p>
            <w:pPr>
              <w:spacing w:after="0" w:line="20" w:lineRule="exact"/>
              <w:rPr>
                <w:sz w:val="1"/>
                <w:szCs w:val="1"/>
                <w:color w:val="auto"/>
              </w:rPr>
            </w:pPr>
          </w:p>
        </w:tc>
      </w:tr>
      <w:tr>
        <w:trPr>
          <w:trHeight w:val="239"/>
        </w:trPr>
        <w:tc>
          <w:tcPr>
            <w:tcW w:w="4720" w:type="dxa"/>
            <w:vAlign w:val="bottom"/>
          </w:tcPr>
          <w:p>
            <w:pPr>
              <w:ind w:left="40"/>
              <w:spacing w:after="0"/>
              <w:rPr>
                <w:sz w:val="20"/>
                <w:szCs w:val="20"/>
                <w:color w:val="auto"/>
              </w:rPr>
            </w:pPr>
            <w:r>
              <w:rPr>
                <w:rFonts w:ascii="Arial" w:cs="Arial" w:eastAsia="Arial" w:hAnsi="Arial"/>
                <w:sz w:val="18"/>
                <w:szCs w:val="18"/>
                <w:color w:val="3F3F3F"/>
              </w:rPr>
              <w:t>Cornelius P. McCarthy III</w:t>
            </w:r>
          </w:p>
        </w:tc>
        <w:tc>
          <w:tcPr>
            <w:tcW w:w="3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4720" w:type="dxa"/>
            <w:vAlign w:val="bottom"/>
            <w:tcBorders>
              <w:bottom w:val="single" w:sz="8" w:color="BFBFBF"/>
            </w:tcBorders>
          </w:tcPr>
          <w:p>
            <w:pPr>
              <w:spacing w:after="0"/>
              <w:rPr>
                <w:sz w:val="3"/>
                <w:szCs w:val="3"/>
                <w:color w:val="auto"/>
              </w:rPr>
            </w:pPr>
          </w:p>
        </w:tc>
        <w:tc>
          <w:tcPr>
            <w:tcW w:w="3240" w:type="dxa"/>
            <w:vAlign w:val="bottom"/>
            <w:tcBorders>
              <w:bottom w:val="single" w:sz="8" w:color="BFBFBF"/>
            </w:tcBorders>
          </w:tcPr>
          <w:p>
            <w:pPr>
              <w:spacing w:after="0"/>
              <w:rPr>
                <w:sz w:val="3"/>
                <w:szCs w:val="3"/>
                <w:color w:val="auto"/>
              </w:rPr>
            </w:pPr>
          </w:p>
        </w:tc>
        <w:tc>
          <w:tcPr>
            <w:tcW w:w="1660" w:type="dxa"/>
            <w:vAlign w:val="bottom"/>
            <w:tcBorders>
              <w:bottom w:val="single" w:sz="8" w:color="BFBFBF"/>
            </w:tcBorders>
          </w:tcPr>
          <w:p>
            <w:pPr>
              <w:spacing w:after="0"/>
              <w:rPr>
                <w:sz w:val="3"/>
                <w:szCs w:val="3"/>
                <w:color w:val="auto"/>
              </w:rPr>
            </w:pPr>
          </w:p>
        </w:tc>
        <w:tc>
          <w:tcPr>
            <w:tcW w:w="14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720" w:type="dxa"/>
            <w:vAlign w:val="bottom"/>
          </w:tcPr>
          <w:p>
            <w:pPr>
              <w:ind w:left="40"/>
              <w:spacing w:after="0"/>
              <w:rPr>
                <w:sz w:val="20"/>
                <w:szCs w:val="20"/>
                <w:color w:val="auto"/>
              </w:rPr>
            </w:pPr>
            <w:r>
              <w:rPr>
                <w:rFonts w:ascii="Arial" w:cs="Arial" w:eastAsia="Arial" w:hAnsi="Arial"/>
                <w:sz w:val="18"/>
                <w:szCs w:val="18"/>
                <w:color w:val="3F3F3F"/>
              </w:rPr>
              <w:t>August J. Troendle</w:t>
            </w:r>
          </w:p>
        </w:tc>
        <w:tc>
          <w:tcPr>
            <w:tcW w:w="3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4720" w:type="dxa"/>
            <w:vAlign w:val="bottom"/>
            <w:tcBorders>
              <w:bottom w:val="single" w:sz="8" w:color="BFBFBF"/>
            </w:tcBorders>
          </w:tcPr>
          <w:p>
            <w:pPr>
              <w:spacing w:after="0"/>
              <w:rPr>
                <w:sz w:val="3"/>
                <w:szCs w:val="3"/>
                <w:color w:val="auto"/>
              </w:rPr>
            </w:pPr>
          </w:p>
        </w:tc>
        <w:tc>
          <w:tcPr>
            <w:tcW w:w="3240" w:type="dxa"/>
            <w:vAlign w:val="bottom"/>
            <w:tcBorders>
              <w:bottom w:val="single" w:sz="8" w:color="BFBFBF"/>
            </w:tcBorders>
          </w:tcPr>
          <w:p>
            <w:pPr>
              <w:spacing w:after="0"/>
              <w:rPr>
                <w:sz w:val="3"/>
                <w:szCs w:val="3"/>
                <w:color w:val="auto"/>
              </w:rPr>
            </w:pPr>
          </w:p>
        </w:tc>
        <w:tc>
          <w:tcPr>
            <w:tcW w:w="1660" w:type="dxa"/>
            <w:vAlign w:val="bottom"/>
            <w:tcBorders>
              <w:bottom w:val="single" w:sz="8" w:color="BFBFBF"/>
            </w:tcBorders>
          </w:tcPr>
          <w:p>
            <w:pPr>
              <w:spacing w:after="0"/>
              <w:rPr>
                <w:sz w:val="3"/>
                <w:szCs w:val="3"/>
                <w:color w:val="auto"/>
              </w:rPr>
            </w:pPr>
          </w:p>
        </w:tc>
        <w:tc>
          <w:tcPr>
            <w:tcW w:w="14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AUDIT COMMITTEE</w:t>
      </w:r>
    </w:p>
    <w:p>
      <w:pPr>
        <w:spacing w:after="0" w:line="104"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3F3F3F"/>
        </w:rPr>
        <w:t>The purpose of our Audit Committee is to oversee the accounting and financial reporting processes of the Company and the audits of the financial statements of the Company. In fulfilling its purpose, our Audit Committee has the following duties:</w:t>
      </w:r>
    </w:p>
    <w:p>
      <w:pPr>
        <w:spacing w:after="0" w:line="59" w:lineRule="exact"/>
        <w:rPr>
          <w:sz w:val="20"/>
          <w:szCs w:val="20"/>
          <w:color w:val="auto"/>
        </w:rPr>
      </w:pPr>
    </w:p>
    <w:p>
      <w:pPr>
        <w:ind w:left="980" w:right="60" w:hanging="432"/>
        <w:spacing w:after="0" w:line="206" w:lineRule="auto"/>
        <w:tabs>
          <w:tab w:leader="none" w:pos="980" w:val="left"/>
        </w:tabs>
        <w:numPr>
          <w:ilvl w:val="0"/>
          <w:numId w:val="11"/>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appointing, retaining, overseeing, approving the compensation of, and assessing the independence of our independent registered public accounting firm and any other registered public accounting firm that may be engaged for audit, attestation and related services;</w:t>
      </w:r>
    </w:p>
    <w:p>
      <w:pPr>
        <w:spacing w:after="0" w:line="87" w:lineRule="exact"/>
        <w:rPr>
          <w:rFonts w:ascii="Times New Roman" w:cs="Times New Roman" w:eastAsia="Times New Roman" w:hAnsi="Times New Roman"/>
          <w:sz w:val="29"/>
          <w:szCs w:val="29"/>
          <w:color w:val="3F3F3F"/>
          <w:vertAlign w:val="superscript"/>
        </w:rPr>
      </w:pPr>
    </w:p>
    <w:p>
      <w:pPr>
        <w:ind w:left="980" w:right="120" w:hanging="432"/>
        <w:spacing w:after="0" w:line="195" w:lineRule="auto"/>
        <w:tabs>
          <w:tab w:leader="none" w:pos="980" w:val="left"/>
        </w:tabs>
        <w:numPr>
          <w:ilvl w:val="0"/>
          <w:numId w:val="11"/>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evaluating the qualifications, performance and independence of the independent auditors, including a review and evaluation of the lead partner on the audit, taking into account the opinions of management and the Company’s internal auditor;</w:t>
      </w:r>
    </w:p>
    <w:p>
      <w:pPr>
        <w:spacing w:after="0" w:line="87" w:lineRule="exact"/>
        <w:rPr>
          <w:rFonts w:ascii="Times New Roman" w:cs="Times New Roman" w:eastAsia="Times New Roman" w:hAnsi="Times New Roman"/>
          <w:sz w:val="29"/>
          <w:szCs w:val="29"/>
          <w:color w:val="3F3F3F"/>
          <w:vertAlign w:val="superscript"/>
        </w:rPr>
      </w:pPr>
    </w:p>
    <w:p>
      <w:pPr>
        <w:ind w:left="980" w:right="360" w:hanging="432"/>
        <w:spacing w:after="0" w:line="195" w:lineRule="auto"/>
        <w:tabs>
          <w:tab w:leader="none" w:pos="980" w:val="left"/>
        </w:tabs>
        <w:numPr>
          <w:ilvl w:val="0"/>
          <w:numId w:val="11"/>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reviewing and discussing with management and the independent registered public accounting firm our annual and quarterly financial statements and related disclosures;</w:t>
      </w:r>
    </w:p>
    <w:p>
      <w:pPr>
        <w:spacing w:after="0" w:line="87" w:lineRule="exact"/>
        <w:rPr>
          <w:rFonts w:ascii="Times New Roman" w:cs="Times New Roman" w:eastAsia="Times New Roman" w:hAnsi="Times New Roman"/>
          <w:sz w:val="29"/>
          <w:szCs w:val="29"/>
          <w:color w:val="3F3F3F"/>
          <w:vertAlign w:val="superscript"/>
        </w:rPr>
      </w:pPr>
    </w:p>
    <w:p>
      <w:pPr>
        <w:jc w:val="both"/>
        <w:ind w:left="980" w:right="360" w:hanging="432"/>
        <w:spacing w:after="0" w:line="212" w:lineRule="auto"/>
        <w:tabs>
          <w:tab w:leader="none" w:pos="980" w:val="left"/>
        </w:tabs>
        <w:numPr>
          <w:ilvl w:val="0"/>
          <w:numId w:val="11"/>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reviewing and discussing with management and the independent auditors major issues regarding accounting principles and financial statement presentations, including any significant changes in the Company’s selection or application of accounting principles, and major issues as to the adequacy and effectiveness of the Company’s internal controls and any special audit steps adopted in light of material control deficiencies;</w:t>
      </w:r>
    </w:p>
    <w:p>
      <w:pPr>
        <w:spacing w:after="0" w:line="88" w:lineRule="exact"/>
        <w:rPr>
          <w:rFonts w:ascii="Times New Roman" w:cs="Times New Roman" w:eastAsia="Times New Roman" w:hAnsi="Times New Roman"/>
          <w:sz w:val="29"/>
          <w:szCs w:val="29"/>
          <w:color w:val="3F3F3F"/>
          <w:vertAlign w:val="superscript"/>
        </w:rPr>
      </w:pPr>
    </w:p>
    <w:p>
      <w:pPr>
        <w:ind w:left="980" w:right="900" w:hanging="432"/>
        <w:spacing w:after="0" w:line="195" w:lineRule="auto"/>
        <w:tabs>
          <w:tab w:leader="none" w:pos="980" w:val="left"/>
        </w:tabs>
        <w:numPr>
          <w:ilvl w:val="0"/>
          <w:numId w:val="11"/>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reviewing with the independent registered public accounting firm and management any new accounting standards or pronouncements that will be implemented;</w:t>
      </w:r>
    </w:p>
    <w:p>
      <w:pPr>
        <w:spacing w:after="0" w:line="87" w:lineRule="exact"/>
        <w:rPr>
          <w:rFonts w:ascii="Times New Roman" w:cs="Times New Roman" w:eastAsia="Times New Roman" w:hAnsi="Times New Roman"/>
          <w:sz w:val="29"/>
          <w:szCs w:val="29"/>
          <w:color w:val="3F3F3F"/>
          <w:vertAlign w:val="superscript"/>
        </w:rPr>
      </w:pPr>
    </w:p>
    <w:p>
      <w:pPr>
        <w:ind w:left="980" w:right="60" w:hanging="432"/>
        <w:spacing w:after="0" w:line="195" w:lineRule="auto"/>
        <w:tabs>
          <w:tab w:leader="none" w:pos="980" w:val="left"/>
        </w:tabs>
        <w:numPr>
          <w:ilvl w:val="0"/>
          <w:numId w:val="11"/>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discussing the Company’s earnings press releases, as well as financial information and earnings guidance provided to analysts and rating agencies;</w:t>
      </w:r>
    </w:p>
    <w:p>
      <w:pPr>
        <w:spacing w:after="0" w:line="2" w:lineRule="exact"/>
        <w:rPr>
          <w:rFonts w:ascii="Times New Roman" w:cs="Times New Roman" w:eastAsia="Times New Roman" w:hAnsi="Times New Roman"/>
          <w:sz w:val="29"/>
          <w:szCs w:val="29"/>
          <w:color w:val="3F3F3F"/>
          <w:vertAlign w:val="superscript"/>
        </w:rPr>
      </w:pPr>
    </w:p>
    <w:p>
      <w:pPr>
        <w:ind w:left="980" w:hanging="432"/>
        <w:spacing w:after="0" w:line="233" w:lineRule="auto"/>
        <w:tabs>
          <w:tab w:leader="none" w:pos="980" w:val="left"/>
        </w:tabs>
        <w:numPr>
          <w:ilvl w:val="0"/>
          <w:numId w:val="11"/>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discussing with the independent registered public accounting firm audit problems or difficulties;</w:t>
      </w:r>
    </w:p>
    <w:p>
      <w:pPr>
        <w:spacing w:after="0" w:line="103" w:lineRule="exact"/>
        <w:rPr>
          <w:rFonts w:ascii="Times New Roman" w:cs="Times New Roman" w:eastAsia="Times New Roman" w:hAnsi="Times New Roman"/>
          <w:sz w:val="29"/>
          <w:szCs w:val="29"/>
          <w:color w:val="3F3F3F"/>
          <w:vertAlign w:val="superscript"/>
        </w:rPr>
      </w:pPr>
    </w:p>
    <w:p>
      <w:pPr>
        <w:ind w:left="980" w:hanging="432"/>
        <w:spacing w:after="0" w:line="184" w:lineRule="auto"/>
        <w:tabs>
          <w:tab w:leader="none" w:pos="980" w:val="left"/>
        </w:tabs>
        <w:numPr>
          <w:ilvl w:val="0"/>
          <w:numId w:val="11"/>
        </w:numPr>
        <w:rPr>
          <w:rFonts w:ascii="Times New Roman" w:cs="Times New Roman" w:eastAsia="Times New Roman" w:hAnsi="Times New Roman"/>
          <w:sz w:val="25"/>
          <w:szCs w:val="25"/>
          <w:color w:val="3F3F3F"/>
          <w:vertAlign w:val="superscript"/>
        </w:rPr>
      </w:pPr>
      <w:r>
        <w:rPr>
          <w:rFonts w:ascii="Arial" w:cs="Arial" w:eastAsia="Arial" w:hAnsi="Arial"/>
          <w:sz w:val="16"/>
          <w:szCs w:val="16"/>
          <w:color w:val="3F3F3F"/>
        </w:rPr>
        <w:t>discussing our risk assessment and management policies;</w:t>
      </w:r>
    </w:p>
    <w:p>
      <w:pPr>
        <w:spacing w:after="0" w:line="103" w:lineRule="exact"/>
        <w:rPr>
          <w:rFonts w:ascii="Times New Roman" w:cs="Times New Roman" w:eastAsia="Times New Roman" w:hAnsi="Times New Roman"/>
          <w:sz w:val="25"/>
          <w:szCs w:val="25"/>
          <w:color w:val="3F3F3F"/>
          <w:vertAlign w:val="superscript"/>
        </w:rPr>
      </w:pPr>
    </w:p>
    <w:p>
      <w:pPr>
        <w:ind w:left="980" w:hanging="432"/>
        <w:spacing w:after="0" w:line="184" w:lineRule="auto"/>
        <w:tabs>
          <w:tab w:leader="none" w:pos="980" w:val="left"/>
        </w:tabs>
        <w:numPr>
          <w:ilvl w:val="0"/>
          <w:numId w:val="11"/>
        </w:numPr>
        <w:rPr>
          <w:rFonts w:ascii="Times New Roman" w:cs="Times New Roman" w:eastAsia="Times New Roman" w:hAnsi="Times New Roman"/>
          <w:sz w:val="25"/>
          <w:szCs w:val="25"/>
          <w:color w:val="3F3F3F"/>
          <w:vertAlign w:val="superscript"/>
        </w:rPr>
      </w:pPr>
      <w:r>
        <w:rPr>
          <w:rFonts w:ascii="Arial" w:cs="Arial" w:eastAsia="Arial" w:hAnsi="Arial"/>
          <w:sz w:val="16"/>
          <w:szCs w:val="16"/>
          <w:color w:val="3F3F3F"/>
        </w:rPr>
        <w:t>reviewing and approving related person transactions;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F3F3F"/>
        </w:rPr>
        <w:t>23</w:t>
      </w:r>
    </w:p>
    <w:p>
      <w:pPr>
        <w:sectPr>
          <w:pgSz w:w="11900" w:h="16838" w:orient="portrait"/>
          <w:cols w:equalWidth="0" w:num="1">
            <w:col w:w="11140"/>
          </w:cols>
          <w:pgMar w:left="320" w:top="455"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COMMITTEES OF THE BOARD</w:t>
      </w:r>
    </w:p>
    <w:p>
      <w:pPr>
        <w:spacing w:after="0" w:line="144" w:lineRule="exact"/>
        <w:rPr>
          <w:sz w:val="20"/>
          <w:szCs w:val="20"/>
          <w:color w:val="auto"/>
        </w:rPr>
      </w:pPr>
    </w:p>
    <w:p>
      <w:pPr>
        <w:ind w:left="980" w:right="500" w:hanging="432"/>
        <w:spacing w:after="0" w:line="195" w:lineRule="auto"/>
        <w:tabs>
          <w:tab w:leader="none" w:pos="980" w:val="left"/>
        </w:tabs>
        <w:numPr>
          <w:ilvl w:val="0"/>
          <w:numId w:val="12"/>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reviewing and pre-approving audit and non-audit services proposed to be performed by the independent registered public accounting firm, as further described on page 15 of this proxy statement; and</w:t>
      </w:r>
    </w:p>
    <w:p>
      <w:pPr>
        <w:spacing w:after="0" w:line="87" w:lineRule="exact"/>
        <w:rPr>
          <w:rFonts w:ascii="Times New Roman" w:cs="Times New Roman" w:eastAsia="Times New Roman" w:hAnsi="Times New Roman"/>
          <w:sz w:val="29"/>
          <w:szCs w:val="29"/>
          <w:color w:val="3F3F3F"/>
          <w:vertAlign w:val="superscript"/>
        </w:rPr>
      </w:pPr>
    </w:p>
    <w:p>
      <w:pPr>
        <w:ind w:left="980" w:right="120" w:hanging="432"/>
        <w:spacing w:after="0" w:line="195" w:lineRule="auto"/>
        <w:tabs>
          <w:tab w:leader="none" w:pos="980" w:val="left"/>
        </w:tabs>
        <w:numPr>
          <w:ilvl w:val="0"/>
          <w:numId w:val="12"/>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establishing procedures for the confidential anonymous submission of concerns regarding questionable accounting or auditing matters.</w:t>
      </w:r>
    </w:p>
    <w:p>
      <w:pPr>
        <w:spacing w:after="0" w:line="182" w:lineRule="exact"/>
        <w:rPr>
          <w:sz w:val="20"/>
          <w:szCs w:val="20"/>
          <w:color w:val="auto"/>
        </w:rPr>
      </w:pPr>
    </w:p>
    <w:p>
      <w:pPr>
        <w:ind w:left="120" w:right="80"/>
        <w:spacing w:after="0" w:line="252" w:lineRule="auto"/>
        <w:rPr>
          <w:sz w:val="20"/>
          <w:szCs w:val="20"/>
          <w:color w:val="auto"/>
        </w:rPr>
      </w:pPr>
      <w:r>
        <w:rPr>
          <w:rFonts w:ascii="Arial" w:cs="Arial" w:eastAsia="Arial" w:hAnsi="Arial"/>
          <w:sz w:val="17"/>
          <w:szCs w:val="17"/>
          <w:color w:val="3F3F3F"/>
        </w:rPr>
        <w:t xml:space="preserve">The Audit Committee charter is available in the “Corporate Governance” section of the “Investors” page of our website located at </w:t>
      </w:r>
      <w:r>
        <w:rPr>
          <w:rFonts w:ascii="Arial" w:cs="Arial" w:eastAsia="Arial" w:hAnsi="Arial"/>
          <w:sz w:val="17"/>
          <w:szCs w:val="17"/>
          <w:i w:val="1"/>
          <w:iCs w:val="1"/>
          <w:color w:val="3F3F3F"/>
        </w:rPr>
        <w:t>www.medpace.com</w:t>
      </w:r>
      <w:r>
        <w:rPr>
          <w:rFonts w:ascii="Arial" w:cs="Arial" w:eastAsia="Arial" w:hAnsi="Arial"/>
          <w:sz w:val="17"/>
          <w:szCs w:val="17"/>
          <w:color w:val="3F3F3F"/>
        </w:rPr>
        <w:t>. As of December 31, 2021, the members of the Audit Committee are Mr. Carley, Mr. Davenport and Mr. Kraft, all of</w:t>
      </w:r>
      <w:r>
        <w:rPr>
          <w:rFonts w:ascii="Arial" w:cs="Arial" w:eastAsia="Arial" w:hAnsi="Arial"/>
          <w:sz w:val="17"/>
          <w:szCs w:val="17"/>
          <w:i w:val="1"/>
          <w:iCs w:val="1"/>
          <w:color w:val="3F3F3F"/>
        </w:rPr>
        <w:t xml:space="preserve"> </w:t>
      </w:r>
      <w:r>
        <w:rPr>
          <w:rFonts w:ascii="Arial" w:cs="Arial" w:eastAsia="Arial" w:hAnsi="Arial"/>
          <w:sz w:val="17"/>
          <w:szCs w:val="17"/>
          <w:color w:val="3F3F3F"/>
        </w:rPr>
        <w:t>whom meet the independence requirements under Rule 10A-3 promulgated under the Securities Exchange Act of 1934, as amended, or the Exchange Act, and the rules of NASDAQ, including those related to Audit Committee membership. Mr. Carley serves as the Chairperson of the Audit Committee. The members of our Audit Committee meet the requirements for financial literacy under the applicable rules of NASDAQ. Our Board has determined that Mr. Carley is an “audit committee financial expert” as defined by Item 407(d)</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(5)(ii) of Regulation S-K.</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Audit Committee met four (4) times in 2021 and each member of the Audit Committee attended 100% of the meetings.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COMPENSATION COMMITTEE</w:t>
      </w:r>
    </w:p>
    <w:p>
      <w:pPr>
        <w:spacing w:after="0" w:line="104"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3F3F3F"/>
        </w:rPr>
        <w:t>The purpose of our Compensation Committee is to assist the Board in the discharge of its responsibilities relating to the compensation of our executive officers. In fulfilling its purpose, our Compensation Committee has the following principal duties:</w:t>
      </w:r>
    </w:p>
    <w:p>
      <w:pPr>
        <w:ind w:left="980" w:hanging="432"/>
        <w:spacing w:after="0" w:line="214" w:lineRule="auto"/>
        <w:tabs>
          <w:tab w:leader="none" w:pos="980" w:val="left"/>
        </w:tabs>
        <w:numPr>
          <w:ilvl w:val="0"/>
          <w:numId w:val="13"/>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reviewing and setting or making recommendations to the Board regarding the compensation of the CEO;</w:t>
      </w:r>
    </w:p>
    <w:p>
      <w:pPr>
        <w:spacing w:after="0" w:line="103" w:lineRule="exact"/>
        <w:rPr>
          <w:rFonts w:ascii="Times New Roman" w:cs="Times New Roman" w:eastAsia="Times New Roman" w:hAnsi="Times New Roman"/>
          <w:sz w:val="29"/>
          <w:szCs w:val="29"/>
          <w:color w:val="3F3F3F"/>
          <w:vertAlign w:val="superscript"/>
        </w:rPr>
      </w:pPr>
    </w:p>
    <w:p>
      <w:pPr>
        <w:ind w:left="980" w:right="820" w:hanging="432"/>
        <w:spacing w:after="0" w:line="187" w:lineRule="auto"/>
        <w:tabs>
          <w:tab w:leader="none" w:pos="980" w:val="left"/>
        </w:tabs>
        <w:numPr>
          <w:ilvl w:val="0"/>
          <w:numId w:val="13"/>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reviewing and approving or making recommendations of the Board regarding our cash and equity incentive plans and arrangements;</w:t>
      </w:r>
    </w:p>
    <w:p>
      <w:pPr>
        <w:spacing w:after="0" w:line="2" w:lineRule="exact"/>
        <w:rPr>
          <w:rFonts w:ascii="Times New Roman" w:cs="Times New Roman" w:eastAsia="Times New Roman" w:hAnsi="Times New Roman"/>
          <w:sz w:val="29"/>
          <w:szCs w:val="29"/>
          <w:color w:val="3F3F3F"/>
          <w:vertAlign w:val="superscript"/>
        </w:rPr>
      </w:pPr>
    </w:p>
    <w:p>
      <w:pPr>
        <w:ind w:left="980" w:hanging="432"/>
        <w:spacing w:after="0" w:line="233" w:lineRule="auto"/>
        <w:tabs>
          <w:tab w:leader="none" w:pos="980" w:val="left"/>
        </w:tabs>
        <w:numPr>
          <w:ilvl w:val="0"/>
          <w:numId w:val="13"/>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reviewing and making recommendations to our Board with respect to director compensation; and</w:t>
      </w:r>
    </w:p>
    <w:p>
      <w:pPr>
        <w:spacing w:after="0" w:line="103" w:lineRule="exact"/>
        <w:rPr>
          <w:rFonts w:ascii="Times New Roman" w:cs="Times New Roman" w:eastAsia="Times New Roman" w:hAnsi="Times New Roman"/>
          <w:sz w:val="29"/>
          <w:szCs w:val="29"/>
          <w:color w:val="3F3F3F"/>
          <w:vertAlign w:val="superscript"/>
        </w:rPr>
      </w:pPr>
    </w:p>
    <w:p>
      <w:pPr>
        <w:ind w:left="980" w:right="60" w:hanging="432"/>
        <w:spacing w:after="0" w:line="187" w:lineRule="auto"/>
        <w:tabs>
          <w:tab w:leader="none" w:pos="980" w:val="left"/>
        </w:tabs>
        <w:numPr>
          <w:ilvl w:val="0"/>
          <w:numId w:val="13"/>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reviewing and discussing with management our “Compensation Discussion and Analysis,” and the compensation of our named executive officers.</w:t>
      </w:r>
    </w:p>
    <w:p>
      <w:pPr>
        <w:spacing w:after="0" w:line="18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3F3F3F"/>
        </w:rPr>
        <w:t xml:space="preserve">Pursuant to the Compensation Committee’s charter, which is available in the “Corporate Governance” section of the “Investors” page of our website located at </w:t>
      </w:r>
      <w:r>
        <w:rPr>
          <w:rFonts w:ascii="Arial" w:cs="Arial" w:eastAsia="Arial" w:hAnsi="Arial"/>
          <w:sz w:val="18"/>
          <w:szCs w:val="18"/>
          <w:i w:val="1"/>
          <w:iCs w:val="1"/>
          <w:color w:val="3F3F3F"/>
        </w:rPr>
        <w:t>www.medpace.com</w:t>
      </w:r>
      <w:r>
        <w:rPr>
          <w:rFonts w:ascii="Arial" w:cs="Arial" w:eastAsia="Arial" w:hAnsi="Arial"/>
          <w:sz w:val="18"/>
          <w:szCs w:val="18"/>
          <w:color w:val="3F3F3F"/>
        </w:rPr>
        <w:t>, the Compensation Committee has the authority to retain or obtain the advice of compensation consultants, legal counsel and other advisors to assist in carrying out its responsibilities. The Compensation Committee may delegate its authority under its charter to a subcommittee as it deems appropriate from time to time. The Compensation Committee has the authority to conduct or authorize investigations into any matters within the scope of its responsibilities as it deems appropriate, including the authority to request any officer, employee or adviser of the Company to meet with the Compensation Committee or any advisers engaged by the Compensation Committee. In addition to the foregoing and other authority expressly delegated to the Compensation Committee in the charter, the Compensation Committee may also exercise any other powers and carry out any other responsibilities consistent with the charter, the purposes of the Compensation Committee, the Company’s bylaws and applicable rules of NASDAQ.</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F3F3F"/>
        </w:rPr>
        <w:t>24</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COMMITTEES OF THE BOARD</w:t>
      </w:r>
    </w:p>
    <w:p>
      <w:pPr>
        <w:spacing w:after="0" w:line="144"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8"/>
          <w:szCs w:val="18"/>
          <w:color w:val="3F3F3F"/>
        </w:rPr>
        <w:t>As of December 31, 2021, the members of our Compensation Committee are Mr. Davenport, Mr. Kraft and Mr. McCarthy. All members of the Compensation Committee meet the heightened standard for independence specific to members of a compensation committee under NASDAQ rules. Mr. Davenport serves as the Chairperson of the Compensation Committee.</w:t>
      </w:r>
    </w:p>
    <w:p>
      <w:pPr>
        <w:spacing w:after="0" w:line="169"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color w:val="3F3F3F"/>
        </w:rPr>
        <w:t>The Compensation Committee met four (4) times during 2021. Two of the three members attended 100% of the meetings and one member attended 75% of the meetings.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NOMINATING AND GOVERNANCE COMMITTEE</w:t>
      </w:r>
    </w:p>
    <w:p>
      <w:pPr>
        <w:spacing w:after="0" w:line="104"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3F3F3F"/>
        </w:rPr>
        <w:t>The purpose of our Nominating and Governance Committee is to (1) assist the Board in identifying individuals qualified to become Board members, consistent with the qualification standards and additional selection criteria set forth in the Company’s Corporate Governance Guidelines; (2) recommend to the Board the director nominees for the next annual meeting of stockholders and the individuals to fill vacancies occurring between annual meetings of stockholders; (3) recommend to the Board matters of corporate governance, including periodic review of the Company’s Corporate Governance Guidelines; and (4) recommend to the Board director nominees for each committee. In fulfilling its purpose, our Nominating and Governance Committee has the following principal duties: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 xml:space="preserve">Pursuant to the Nominating and Governance Committee’s charter, which is available in the “Corporate Governance” section of the “Investors” page of our website located at </w:t>
      </w:r>
      <w:r>
        <w:rPr>
          <w:rFonts w:ascii="Arial" w:cs="Arial" w:eastAsia="Arial" w:hAnsi="Arial"/>
          <w:sz w:val="18"/>
          <w:szCs w:val="18"/>
          <w:i w:val="1"/>
          <w:iCs w:val="1"/>
          <w:color w:val="3F3F3F"/>
        </w:rPr>
        <w:t>www.medpace.com</w:t>
      </w:r>
      <w:r>
        <w:rPr>
          <w:rFonts w:ascii="Arial" w:cs="Arial" w:eastAsia="Arial" w:hAnsi="Arial"/>
          <w:sz w:val="18"/>
          <w:szCs w:val="18"/>
          <w:color w:val="3F3F3F"/>
        </w:rPr>
        <w:t>, the Nominating and Governance Committee has the authority to retain or obtain advice from consultants, legal counsel and other advisors (independent or otherwise) that the committee believes to be necessary or appropriate. The Nominating and Governance Committee may delegate its responsibilities under its charter to a subcommittee. In addition to the foregoing and other duties and responsibilities expressly delegated to the Nominating and Governance Committee in the charter, the Nominating and Governance Committee may also exercise any other powers and carry out any other responsibilities consistent with the charter, the purposes of the Nominating and Governance Committee, the Company’s bylaws and applicable NASDAQ rules.</w:t>
      </w:r>
    </w:p>
    <w:p>
      <w:pPr>
        <w:spacing w:after="0" w:line="180"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3F3F3F"/>
        </w:rPr>
        <w:t>As of December 31, 2021, the members of our Nominating and Governance Committee are Mr. Carley, Mr. Davenport, Ms. Keating, Mr. King, Mr. Kraft and Mr. McCarthy. All members of the Nominating and Governance Committee meet the standard for independence specific to members of a nominating and governance committee under NASDAQ rules.</w:t>
      </w:r>
    </w:p>
    <w:p>
      <w:pPr>
        <w:spacing w:after="0" w:line="169"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color w:val="3F3F3F"/>
        </w:rPr>
        <w:t>The Nominating and Governance Committee was established in July 2021 and met two (2) times during 2021. Each member of the Nominating and Governance Committee attended 100% of the meetings.</w:t>
      </w:r>
    </w:p>
    <w:p>
      <w:pPr>
        <w:spacing w:after="0" w:line="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F3F3F"/>
        </w:rPr>
        <w:t>25</w:t>
      </w:r>
    </w:p>
    <w:p>
      <w:pPr>
        <w:sectPr>
          <w:pgSz w:w="11900" w:h="16838" w:orient="portrait"/>
          <w:cols w:equalWidth="0" w:num="1">
            <w:col w:w="11020"/>
          </w:cols>
          <w:pgMar w:left="320" w:top="455" w:right="5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EXECUTIVE COMPENSATION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Information about Our Named Executive Officers</w:t>
      </w:r>
    </w:p>
    <w:p>
      <w:pPr>
        <w:spacing w:after="0" w:line="104" w:lineRule="exact"/>
        <w:rPr>
          <w:sz w:val="20"/>
          <w:szCs w:val="20"/>
          <w:color w:val="auto"/>
        </w:rPr>
      </w:pPr>
    </w:p>
    <w:p>
      <w:pPr>
        <w:ind w:left="120" w:right="700"/>
        <w:spacing w:after="0" w:line="271" w:lineRule="auto"/>
        <w:rPr>
          <w:sz w:val="20"/>
          <w:szCs w:val="20"/>
          <w:color w:val="auto"/>
        </w:rPr>
      </w:pPr>
      <w:r>
        <w:rPr>
          <w:rFonts w:ascii="Arial" w:cs="Arial" w:eastAsia="Arial" w:hAnsi="Arial"/>
          <w:sz w:val="18"/>
          <w:szCs w:val="18"/>
          <w:color w:val="3F3F3F"/>
        </w:rPr>
        <w:t>The following individuals represent our Named Executive Officers (“NEOs”), comprised of our Principal Executive Officer, Principal Financial Officer, and our three other executive officers.</w:t>
      </w:r>
    </w:p>
    <w:p>
      <w:pPr>
        <w:spacing w:after="0" w:line="181" w:lineRule="exact"/>
        <w:rPr>
          <w:sz w:val="20"/>
          <w:szCs w:val="20"/>
          <w:color w:val="auto"/>
        </w:rPr>
      </w:pPr>
    </w:p>
    <w:tbl>
      <w:tblPr>
        <w:tblLayout w:type="fixed"/>
        <w:tblInd w:w="560" w:type="dxa"/>
        <w:tblCellMar>
          <w:top w:w="0" w:type="dxa"/>
          <w:left w:w="0" w:type="dxa"/>
          <w:bottom w:w="0" w:type="dxa"/>
          <w:right w:w="0" w:type="dxa"/>
        </w:tblCellMar>
      </w:tblPr>
      <w:tr>
        <w:trPr>
          <w:trHeight w:val="221"/>
        </w:trPr>
        <w:tc>
          <w:tcPr>
            <w:tcW w:w="2340" w:type="dxa"/>
            <w:vAlign w:val="bottom"/>
            <w:tcBorders>
              <w:bottom w:val="single" w:sz="8" w:color="83BA90"/>
            </w:tcBorders>
          </w:tcPr>
          <w:p>
            <w:pPr>
              <w:spacing w:after="0"/>
              <w:rPr>
                <w:sz w:val="20"/>
                <w:szCs w:val="20"/>
                <w:color w:val="auto"/>
              </w:rPr>
            </w:pPr>
            <w:r>
              <w:rPr>
                <w:rFonts w:ascii="Arial" w:cs="Arial" w:eastAsia="Arial" w:hAnsi="Arial"/>
                <w:sz w:val="18"/>
                <w:szCs w:val="18"/>
                <w:b w:val="1"/>
                <w:bCs w:val="1"/>
                <w:color w:val="006098"/>
              </w:rPr>
              <w:t>Executive</w:t>
            </w:r>
          </w:p>
        </w:tc>
        <w:tc>
          <w:tcPr>
            <w:tcW w:w="8240" w:type="dxa"/>
            <w:vAlign w:val="bottom"/>
            <w:tcBorders>
              <w:bottom w:val="single" w:sz="8" w:color="83BA90"/>
            </w:tcBorders>
          </w:tcPr>
          <w:p>
            <w:pPr>
              <w:ind w:left="840"/>
              <w:spacing w:after="0"/>
              <w:rPr>
                <w:sz w:val="20"/>
                <w:szCs w:val="20"/>
                <w:color w:val="auto"/>
              </w:rPr>
            </w:pPr>
            <w:r>
              <w:rPr>
                <w:rFonts w:ascii="Arial" w:cs="Arial" w:eastAsia="Arial" w:hAnsi="Arial"/>
                <w:sz w:val="18"/>
                <w:szCs w:val="18"/>
                <w:b w:val="1"/>
                <w:bCs w:val="1"/>
                <w:color w:val="006098"/>
              </w:rPr>
              <w:t>Title</w:t>
            </w:r>
          </w:p>
        </w:tc>
      </w:tr>
      <w:tr>
        <w:trPr>
          <w:trHeight w:val="196"/>
        </w:trPr>
        <w:tc>
          <w:tcPr>
            <w:tcW w:w="23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3F3F3F"/>
              </w:rPr>
              <w:t>August J. Troendle</w:t>
            </w:r>
          </w:p>
        </w:tc>
        <w:tc>
          <w:tcPr>
            <w:tcW w:w="8240" w:type="dxa"/>
            <w:vAlign w:val="bottom"/>
            <w:tcBorders>
              <w:bottom w:val="single" w:sz="8" w:color="BFBFBF"/>
            </w:tcBorders>
          </w:tcPr>
          <w:p>
            <w:pPr>
              <w:ind w:left="840"/>
              <w:spacing w:after="0" w:line="196" w:lineRule="exact"/>
              <w:rPr>
                <w:sz w:val="20"/>
                <w:szCs w:val="20"/>
                <w:color w:val="auto"/>
              </w:rPr>
            </w:pPr>
            <w:r>
              <w:rPr>
                <w:rFonts w:ascii="Arial" w:cs="Arial" w:eastAsia="Arial" w:hAnsi="Arial"/>
                <w:sz w:val="18"/>
                <w:szCs w:val="18"/>
                <w:color w:val="3F3F3F"/>
              </w:rPr>
              <w:t>Chief Executive Officer and Chairman of the Board</w:t>
            </w:r>
          </w:p>
        </w:tc>
      </w:tr>
      <w:tr>
        <w:trPr>
          <w:trHeight w:val="196"/>
        </w:trPr>
        <w:tc>
          <w:tcPr>
            <w:tcW w:w="23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3F3F3F"/>
              </w:rPr>
              <w:t>Kevin M. Brady</w:t>
            </w:r>
          </w:p>
        </w:tc>
        <w:tc>
          <w:tcPr>
            <w:tcW w:w="8240" w:type="dxa"/>
            <w:vAlign w:val="bottom"/>
            <w:tcBorders>
              <w:bottom w:val="single" w:sz="8" w:color="BFBFBF"/>
            </w:tcBorders>
          </w:tcPr>
          <w:p>
            <w:pPr>
              <w:ind w:left="840"/>
              <w:spacing w:after="0" w:line="196" w:lineRule="exact"/>
              <w:rPr>
                <w:sz w:val="20"/>
                <w:szCs w:val="20"/>
                <w:color w:val="auto"/>
              </w:rPr>
            </w:pPr>
            <w:r>
              <w:rPr>
                <w:rFonts w:ascii="Arial" w:cs="Arial" w:eastAsia="Arial" w:hAnsi="Arial"/>
                <w:sz w:val="18"/>
                <w:szCs w:val="18"/>
                <w:color w:val="3F3F3F"/>
              </w:rPr>
              <w:t>Chief Financial Officer and Treasurer</w:t>
            </w:r>
          </w:p>
        </w:tc>
      </w:tr>
      <w:tr>
        <w:trPr>
          <w:trHeight w:val="196"/>
        </w:trPr>
        <w:tc>
          <w:tcPr>
            <w:tcW w:w="23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3F3F3F"/>
              </w:rPr>
              <w:t>Jesse J. Geiger</w:t>
            </w:r>
          </w:p>
        </w:tc>
        <w:tc>
          <w:tcPr>
            <w:tcW w:w="8240" w:type="dxa"/>
            <w:vAlign w:val="bottom"/>
            <w:tcBorders>
              <w:bottom w:val="single" w:sz="8" w:color="BFBFBF"/>
            </w:tcBorders>
          </w:tcPr>
          <w:p>
            <w:pPr>
              <w:ind w:left="840"/>
              <w:spacing w:after="0" w:line="196" w:lineRule="exact"/>
              <w:rPr>
                <w:sz w:val="20"/>
                <w:szCs w:val="20"/>
                <w:color w:val="auto"/>
              </w:rPr>
            </w:pPr>
            <w:r>
              <w:rPr>
                <w:rFonts w:ascii="Arial" w:cs="Arial" w:eastAsia="Arial" w:hAnsi="Arial"/>
                <w:sz w:val="18"/>
                <w:szCs w:val="18"/>
                <w:color w:val="3F3F3F"/>
              </w:rPr>
              <w:t>President</w:t>
            </w:r>
          </w:p>
        </w:tc>
      </w:tr>
      <w:tr>
        <w:trPr>
          <w:trHeight w:val="196"/>
        </w:trPr>
        <w:tc>
          <w:tcPr>
            <w:tcW w:w="23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3F3F3F"/>
              </w:rPr>
              <w:t>Susan E. Burwig</w:t>
            </w:r>
          </w:p>
        </w:tc>
        <w:tc>
          <w:tcPr>
            <w:tcW w:w="8240" w:type="dxa"/>
            <w:vAlign w:val="bottom"/>
            <w:tcBorders>
              <w:bottom w:val="single" w:sz="8" w:color="BFBFBF"/>
            </w:tcBorders>
          </w:tcPr>
          <w:p>
            <w:pPr>
              <w:ind w:left="840"/>
              <w:spacing w:after="0" w:line="196" w:lineRule="exact"/>
              <w:rPr>
                <w:sz w:val="20"/>
                <w:szCs w:val="20"/>
                <w:color w:val="auto"/>
              </w:rPr>
            </w:pPr>
            <w:r>
              <w:rPr>
                <w:rFonts w:ascii="Arial" w:cs="Arial" w:eastAsia="Arial" w:hAnsi="Arial"/>
                <w:sz w:val="18"/>
                <w:szCs w:val="18"/>
                <w:color w:val="3F3F3F"/>
              </w:rPr>
              <w:t>Executive Vice President, Operations</w:t>
            </w:r>
          </w:p>
        </w:tc>
      </w:tr>
      <w:tr>
        <w:trPr>
          <w:trHeight w:val="196"/>
        </w:trPr>
        <w:tc>
          <w:tcPr>
            <w:tcW w:w="23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3F3F3F"/>
              </w:rPr>
              <w:t>Stephen P. Ewald</w:t>
            </w:r>
          </w:p>
        </w:tc>
        <w:tc>
          <w:tcPr>
            <w:tcW w:w="8240" w:type="dxa"/>
            <w:vAlign w:val="bottom"/>
            <w:tcBorders>
              <w:bottom w:val="single" w:sz="8" w:color="BFBFBF"/>
            </w:tcBorders>
          </w:tcPr>
          <w:p>
            <w:pPr>
              <w:ind w:left="840"/>
              <w:spacing w:after="0" w:line="196" w:lineRule="exact"/>
              <w:rPr>
                <w:sz w:val="20"/>
                <w:szCs w:val="20"/>
                <w:color w:val="auto"/>
              </w:rPr>
            </w:pPr>
            <w:r>
              <w:rPr>
                <w:rFonts w:ascii="Arial" w:cs="Arial" w:eastAsia="Arial" w:hAnsi="Arial"/>
                <w:sz w:val="18"/>
                <w:szCs w:val="18"/>
                <w:color w:val="3F3F3F"/>
              </w:rPr>
              <w:t>General Counsel and Corporate Secretary</w:t>
            </w:r>
          </w:p>
        </w:tc>
      </w:tr>
    </w:tbl>
    <w:p>
      <w:pPr>
        <w:spacing w:after="0" w:line="197"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3F3F3F"/>
        </w:rPr>
        <w:t>Effective August 1, 2021, Mr. Geiger was appointed President and Mr. Brady was appointed Chief Financial Officer. Mr. Geiger served as Chief Financial Officer and Chief Operating Officer, Laboratory Operations prior to August 1, 2021.</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Compensation Discussion &amp; Analysis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098"/>
        </w:rPr>
        <w:t>Purpose</w:t>
      </w:r>
    </w:p>
    <w:p>
      <w:pPr>
        <w:spacing w:after="0" w:line="102" w:lineRule="exact"/>
        <w:rPr>
          <w:sz w:val="20"/>
          <w:szCs w:val="20"/>
          <w:color w:val="auto"/>
        </w:rPr>
      </w:pPr>
    </w:p>
    <w:p>
      <w:pPr>
        <w:ind w:left="120" w:right="440"/>
        <w:spacing w:after="0" w:line="301" w:lineRule="auto"/>
        <w:rPr>
          <w:sz w:val="20"/>
          <w:szCs w:val="20"/>
          <w:color w:val="auto"/>
        </w:rPr>
      </w:pPr>
      <w:r>
        <w:rPr>
          <w:rFonts w:ascii="Arial" w:cs="Arial" w:eastAsia="Arial" w:hAnsi="Arial"/>
          <w:sz w:val="17"/>
          <w:szCs w:val="17"/>
          <w:color w:val="3F3F3F"/>
        </w:rPr>
        <w:t>The purpose of this Compensation Discussion and Analysis (“CD&amp;A”) is to provide our stockholders with an understanding of our approach to executive compensation and to detail our decision-making processes for compensation to our NEOs for fiscal year 2021.</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098"/>
        </w:rPr>
        <w:t>Executive Summary</w:t>
      </w:r>
    </w:p>
    <w:p>
      <w:pPr>
        <w:spacing w:after="0" w:line="102"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3F3F3F"/>
        </w:rPr>
        <w:t>We are one of the world’s leading clinical contract research organizations, or CROs, by revenue, focused on providing scientifically-driven outsourced clinical development services to biotechnology, pharmaceutical and medical device companies. The industry in which we operate in is highly competitive from a business and human resource perspective. Accordingly, our Compensation Committee believes that executive compensation should be tied strongly to Company and individual performance.</w:t>
      </w:r>
    </w:p>
    <w:p>
      <w:pPr>
        <w:spacing w:after="0" w:line="174"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3F3F3F"/>
        </w:rPr>
        <w:t>The Company has had exceptional total stockholder return (“TSR”) performance since August 2016, which is when our common stock first began trading on the NASDAQ Global Select Market. The Company completed its initial public offering of its common stock at a price of $23.00, and our common stock started trading on August 11, 2016 at $28.15 per share. The closing price of our common stock on March 24, 2022 was $160.51.</w:t>
      </w:r>
    </w:p>
    <w:p>
      <w:pPr>
        <w:spacing w:after="0" w:line="17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3F3F3F"/>
        </w:rPr>
        <w:t>Our Compensation Committee has been pursuing a strategy to not only pay for performance, but also to achieve compensation levels for our NEOs that are competitive relative to the levels of executives at peer companies. While the Company’s financial performance in terms of annual revenues, market capitalization, gross profit and net income approximates the median levels of peer companies, and the Company’s TSR (both on a one-year basis and as annualized over the past three years) places the Company’s TSR performance near the top of the peer group, our NEO compensation packages have lagged those of our peers. The Compensation Committee benchmarks the Company’s total direct compensation (i.e., total cash compensation plus total long term incentive compensation) against the 25th percentile of total compensation paid by its peer group, with the goal to be at a level that is plus or minus 20% of the 25th percentile. The total direct compensation paid by the Company for 2021 was below the 25th percentile in the aggregate, by 31.9%. This represents an improvement from 2019 when the Company was 80.5% below the 25th percentile. The Compensation Committee intends, as described below, that the Company’s relative pay position should continue to improve based on the Company’s operational and financial performance and executive tenure.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F3F3F"/>
        </w:rPr>
        <w:t>26</w:t>
      </w:r>
    </w:p>
    <w:p>
      <w:pPr>
        <w:sectPr>
          <w:pgSz w:w="11900" w:h="16838" w:orient="portrait"/>
          <w:cols w:equalWidth="0" w:num="1">
            <w:col w:w="11140"/>
          </w:cols>
          <w:pgMar w:left="32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EXECUTIVE COMPENSATION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3F3F3F"/>
        </w:rPr>
        <w:t>2021 Business and Financial Highlights</w:t>
      </w:r>
    </w:p>
    <w:p>
      <w:pPr>
        <w:spacing w:after="0" w:line="102"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3F3F3F"/>
        </w:rPr>
        <w:t>The Company provided financial guidance for fiscal year 2021 in February 2021 and increased that guidance in April, July, and October 2021. The Company’s 2021 financial performance exceeded the guidance it provided in October 2021 with respect to the objectives described below.</w:t>
      </w:r>
    </w:p>
    <w:p>
      <w:pPr>
        <w:spacing w:after="0" w:line="169"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3F3F3F"/>
        </w:rPr>
        <w:t>The Company exceeded the guidance it provided in 2021, most recently increased in October 2021, with respect to each of the four metrics for which guidance is provided: revenue, GAAP net income, EBITDA and diluted earnings per share (GAAP).</w:t>
      </w:r>
    </w:p>
    <w:p>
      <w:pPr>
        <w:spacing w:after="0" w:line="59" w:lineRule="exact"/>
        <w:rPr>
          <w:sz w:val="20"/>
          <w:szCs w:val="20"/>
          <w:color w:val="auto"/>
        </w:rPr>
      </w:pPr>
    </w:p>
    <w:p>
      <w:pPr>
        <w:ind w:left="980" w:right="100" w:hanging="432"/>
        <w:spacing w:after="0" w:line="206" w:lineRule="auto"/>
        <w:tabs>
          <w:tab w:leader="none" w:pos="980" w:val="left"/>
        </w:tabs>
        <w:numPr>
          <w:ilvl w:val="0"/>
          <w:numId w:val="14"/>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Revenue for the year ended December 31, 2021, increased from 23.4% to $1,142.4 million, compared to $925.9 million for the year ended December 31, 2020. In October 2021, the Company forecasted 2021 revenue in the range of $1.135 billion to $1.145 billion.</w:t>
      </w:r>
    </w:p>
    <w:p>
      <w:pPr>
        <w:spacing w:after="0" w:line="2" w:lineRule="exact"/>
        <w:rPr>
          <w:rFonts w:ascii="Times New Roman" w:cs="Times New Roman" w:eastAsia="Times New Roman" w:hAnsi="Times New Roman"/>
          <w:sz w:val="29"/>
          <w:szCs w:val="29"/>
          <w:color w:val="3F3F3F"/>
          <w:vertAlign w:val="superscript"/>
        </w:rPr>
      </w:pPr>
    </w:p>
    <w:p>
      <w:pPr>
        <w:ind w:left="980" w:hanging="432"/>
        <w:spacing w:after="0" w:line="219" w:lineRule="auto"/>
        <w:tabs>
          <w:tab w:leader="none" w:pos="980" w:val="left"/>
        </w:tabs>
        <w:numPr>
          <w:ilvl w:val="0"/>
          <w:numId w:val="14"/>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GAAP net income for the full year 2021 was $181.8 million, or $4.81 per diluted share, compared to GAAP net income of</w:t>
      </w:r>
    </w:p>
    <w:p>
      <w:pPr>
        <w:spacing w:after="0" w:line="1" w:lineRule="exact"/>
        <w:rPr>
          <w:rFonts w:ascii="Times New Roman" w:cs="Times New Roman" w:eastAsia="Times New Roman" w:hAnsi="Times New Roman"/>
          <w:sz w:val="29"/>
          <w:szCs w:val="29"/>
          <w:color w:val="3F3F3F"/>
          <w:vertAlign w:val="superscript"/>
        </w:rPr>
      </w:pPr>
    </w:p>
    <w:p>
      <w:pPr>
        <w:jc w:val="both"/>
        <w:ind w:left="980" w:right="220"/>
        <w:spacing w:after="0" w:line="242" w:lineRule="auto"/>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$145.4 million, or $3.84 per diluted share, for the year ended December 31, 2020. In October 2021, the Company forecasted GAAP net income for full year 2021 in the range of $176.0 million to $180.0 million and forecasted diluted earnings per share (GAAP) in the range of $4.66 to $4.77.</w:t>
      </w:r>
    </w:p>
    <w:p>
      <w:pPr>
        <w:spacing w:after="0" w:line="84" w:lineRule="exact"/>
        <w:rPr>
          <w:rFonts w:ascii="Times New Roman" w:cs="Times New Roman" w:eastAsia="Times New Roman" w:hAnsi="Times New Roman"/>
          <w:sz w:val="29"/>
          <w:szCs w:val="29"/>
          <w:color w:val="3F3F3F"/>
          <w:vertAlign w:val="superscript"/>
        </w:rPr>
      </w:pPr>
    </w:p>
    <w:p>
      <w:pPr>
        <w:ind w:left="980" w:right="140" w:hanging="432"/>
        <w:spacing w:after="0" w:line="195" w:lineRule="auto"/>
        <w:tabs>
          <w:tab w:leader="none" w:pos="980" w:val="left"/>
        </w:tabs>
        <w:numPr>
          <w:ilvl w:val="0"/>
          <w:numId w:val="14"/>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EBITDA for the full year 2021 increased 18.8% to $223.1 million compared to $187.8 million for the year ended December 31, 2020. In October 2021, the Company forecasted full year 2021 EBITDA in the range of $216.0 million to $222.0 million.</w:t>
      </w:r>
    </w:p>
    <w:p>
      <w:pPr>
        <w:spacing w:after="0" w:line="182"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3F3F3F"/>
        </w:rPr>
        <w:t>EBITDA is a non-GAAP financial measure used to supplement our financial statements, which are based on U.S. Generally Accepted Accounting Principles (“GAAP”). For a definition and discussion of this measure, see “Definition of Non-GAAP Financial Measure” on page 36.</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3F3F3F"/>
        </w:rPr>
        <w:t>Key Compensation Actions for 2021</w:t>
      </w:r>
    </w:p>
    <w:p>
      <w:pPr>
        <w:spacing w:after="0" w:line="102" w:lineRule="exact"/>
        <w:rPr>
          <w:sz w:val="20"/>
          <w:szCs w:val="20"/>
          <w:color w:val="auto"/>
        </w:rPr>
      </w:pPr>
    </w:p>
    <w:p>
      <w:pPr>
        <w:ind w:left="120" w:right="180"/>
        <w:spacing w:after="0"/>
        <w:rPr>
          <w:sz w:val="20"/>
          <w:szCs w:val="20"/>
          <w:color w:val="auto"/>
        </w:rPr>
      </w:pPr>
      <w:r>
        <w:rPr>
          <w:rFonts w:ascii="Arial" w:cs="Arial" w:eastAsia="Arial" w:hAnsi="Arial"/>
          <w:sz w:val="18"/>
          <w:szCs w:val="18"/>
          <w:color w:val="3F3F3F"/>
        </w:rPr>
        <w:t>The Compensation Committee took several actions related to executive compensation for 2021 performance. With respect to cash compensation, the Compensation Committee approved base salary increases for the NEOs to narrow competitive gaps to market and to recognize individual performance and contributions. The Compensation Committee affirmed corporate incentive goals and approved the payment of cash bonuses to our NEOs at a level that reflected performance against the financial guidance the Company provided in February 2021 as increased in April, July, and October 2021. With respect to process and governance, the Compensation Committee reviewed an updated peer group of comparable companies. The Compensation Committee also continued its engagement of Total Compensation Solutions (“TCS”) as the Compensation Committee’s independent compensation consultant.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3F3F3F"/>
        </w:rPr>
        <w:t>Key Compensation Governance Attributes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We believe that a sound executive compensation program is grounded in certain practices which we have followed. To that end, the Compensation Committee leverages its independent compensation consultant, evaluates the risk profile of our pay program and conducts an annual pay review. We also avoid certain practices that are undesirable. Specifically, we do not allow excise tax gross-up provisions in our executive compensation arrangements. We do not guarantee salary increases or bonuses. We do not maintain pension plans or other post-employment benefit plans other than a 401(k) retirement savings plan which is available to U.S. employees. We have not entered into any stand-alone change of control agreements with the NEOs and our Insider Trading Policy prohibits hedging and pledging of Company stock. We do not reprice or backdate stock options.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27</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EXECUTIVE COMPENSATION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3F3F3F"/>
        </w:rPr>
        <w:t>2021 Non-Binding Advisory “Say-on-Pay” Vote</w:t>
      </w:r>
    </w:p>
    <w:p>
      <w:pPr>
        <w:spacing w:after="0" w:line="102"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3F3F3F"/>
        </w:rPr>
        <w:t>As mentioned above, we have sought to reach compensation levels for our NEOs which more closely align on a relative basis with our peer companies as the Company continues to grow and exceed financial performance metrics. Our Compensation Committee has taken the actions described in this Compensation Discussion and Analysis section in response to the results of the last two years of say-on-pay votes.</w:t>
      </w:r>
    </w:p>
    <w:p>
      <w:pPr>
        <w:spacing w:after="0" w:line="174"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3F3F3F"/>
        </w:rPr>
        <w:t>In 2020 when we conducted our first say-on-pay vote stockholders expressed their preference that we conduct say-on-pay votes every year. Accordingly, we conducted our second non-binding, advisory say-on-pay vote at the 2021 Annual Meeting. A narrow majority of our stockholders voted for this proposal. A majority of our stockholders did not vote for our first say-on-pay proposal conducted at the 2020 Annual Meeting. The Compensation Committee reviewed the results of these two votes, considered the feedback investors and proxy advisory firms provided with respect to our executive compensation programs and practices, and implemented changes responsive to the feedback.</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One example of how the Company’s NEO compensation levels have trailed the levels of peers is the fact that, prior to 2019, the Company had not granted its Chief Executive Officer, Mr. Troendle, any equity-based awards since the modest grant at the Company’s initial public offering in August 2016. The Compensation Committee understands that some stockholders may have withheld support for the proposal in 2020 due in part to the size of August 2019 and February 2020 NEO option grants and such grants being fully vested on the grant date. The Compensation Committee maintains those grants were more than warranted considering the remarkable performance of the Company and the extent to which compensation for Mr. Troendle had lagged over the preceding several years. Additionally, for the August 2019 and February 2020 NEO option grants, the strike price was equal to 120% of the closing price of the Company’s shares on the date of grant.</w:t>
      </w:r>
    </w:p>
    <w:p>
      <w:pPr>
        <w:spacing w:after="0" w:line="180"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3F3F3F"/>
        </w:rPr>
        <w:t>The Compensation Committee has considered the inputs of investors and proxy advisory firms with respect to equity grants when determining the amounts and terms of stock options awarded to NEOs for 2021. Specifically, the Compensation Committee, supported by peer and other market data assembled by its compensation consultant (described below), granted stock options to the NEOs for 2021 that were designed to improve the market pay position for the NEOs relative to a competitive range that prior levels of the Company’s NEO compensation lagged behind. Recognizing the Company’s conservative pay culture, multi-year gaps in its NEO pay, and the increasingly competitive environment for operational and executive talent, the Compensation Committee granted stock option awards to the NEOs in amounts that are designed to bring NEO compensation to within a competitive range defined as plus or minus 20% of the 25th percentile of the identified peer group. The Compensation Committee expects that the Company’s relative NEO pay position should continue to improve consistent with the Company’s operational and financial performance and executive tenure. The Compensation Committee believes that increasing the equity grants to NEOs strengthens the linkage between stockholders and those NEOs.</w:t>
      </w:r>
    </w:p>
    <w:p>
      <w:pPr>
        <w:spacing w:after="0" w:line="180"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3F3F3F"/>
        </w:rPr>
        <w:t>The Compensation Committee will continue to seek to understand the views of stockholders as it is committed to ensuring that stockholder interests are considered through providing stockholders non-binding “Say-on-Pay” votes.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28</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EXECUTIVE COMPENSATION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098"/>
        </w:rPr>
        <w:t>Determining Executive Compensation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3F3F3F"/>
        </w:rPr>
        <w:t>Executive Compensation Philosophy and Objectives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Our overarching compensation philosophy is to pay for performance. To accomplish this we:</w:t>
      </w:r>
    </w:p>
    <w:p>
      <w:pPr>
        <w:spacing w:after="0" w:line="117" w:lineRule="exact"/>
        <w:rPr>
          <w:sz w:val="20"/>
          <w:szCs w:val="20"/>
          <w:color w:val="auto"/>
        </w:rPr>
      </w:pPr>
    </w:p>
    <w:p>
      <w:pPr>
        <w:ind w:left="980" w:right="180" w:hanging="432"/>
        <w:spacing w:after="0" w:line="195" w:lineRule="auto"/>
        <w:tabs>
          <w:tab w:leader="none" w:pos="980" w:val="left"/>
        </w:tabs>
        <w:numPr>
          <w:ilvl w:val="0"/>
          <w:numId w:val="15"/>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provide competitive compensation opportunities towards our goals of attracting, motivating, and retaining talented executives; and</w:t>
      </w:r>
    </w:p>
    <w:p>
      <w:pPr>
        <w:spacing w:after="0" w:line="87" w:lineRule="exact"/>
        <w:rPr>
          <w:rFonts w:ascii="Times New Roman" w:cs="Times New Roman" w:eastAsia="Times New Roman" w:hAnsi="Times New Roman"/>
          <w:sz w:val="29"/>
          <w:szCs w:val="29"/>
          <w:color w:val="3F3F3F"/>
          <w:vertAlign w:val="superscript"/>
        </w:rPr>
      </w:pPr>
    </w:p>
    <w:p>
      <w:pPr>
        <w:ind w:left="980" w:hanging="432"/>
        <w:spacing w:after="0" w:line="195" w:lineRule="auto"/>
        <w:tabs>
          <w:tab w:leader="none" w:pos="980" w:val="left"/>
        </w:tabs>
        <w:numPr>
          <w:ilvl w:val="0"/>
          <w:numId w:val="15"/>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structure our program so that the ultimate amount of compensation earned by our NEOs through base salary, paid bonuses and the intrinsic value of equity grants reflects overall Company and individual performance.</w:t>
      </w:r>
    </w:p>
    <w:p>
      <w:pPr>
        <w:spacing w:after="0" w:line="182"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3F3F3F"/>
        </w:rPr>
        <w:t>We also believe firmly that our executives should be aligned with our stockholders, and therefore provide meaningful compensation in the form of long-term equity incentives that tie our executives directly to the performance of our stock.</w:t>
      </w:r>
    </w:p>
    <w:p>
      <w:pPr>
        <w:spacing w:after="0" w:line="154"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3F3F3F"/>
        </w:rPr>
        <w:t>Our executive compensation program has a high degree of performance orientation. It is the current objective of the Compensation Committee to have NEO compensation (including each component thereof) increase towards the 25% percentile level of the peer group recommended by our compensation consultant. The Company continues to improve the relative pay positions of its NEOs relative to a competitive market range. Currently, the Company pays base salaries and actual total cash compensation below the 25th percentile and within the competitive range of the market (plus/minus 20% of the 25th percentile). By individual, however, all five NEOs are paid within the competitive range with respect to base salaries and total cash compensation. With respect to total direct compensation (total cash compensation plus long-term equity-based awards), the Company pays current total direct compensation below the 25th percentile and outside the competitive range of the market (plus/minus 20% of the 25th percentile). By individual, three of the five Company NEOs are paid within the competitive range for total direct compensation.</w:t>
      </w:r>
    </w:p>
    <w:p>
      <w:pPr>
        <w:spacing w:after="0" w:line="183"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3F3F3F"/>
        </w:rPr>
        <w:t>While the Compensation Committee continues to review Company performance and NEO compensation with a view to increasing NEO compensation levels to the 25th percentile, the Compensation Committee expects that as Company performance continues to achieve median and higher levels relative to peer companies, it will move to increase compensation levels for NEOs above the 25th percentile.</w:t>
      </w:r>
    </w:p>
    <w:p>
      <w:pPr>
        <w:spacing w:after="0" w:line="152"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3F3F3F"/>
        </w:rPr>
        <w:t>Cash compensation including merit increases and bonuses, and equity awards are determined in the context of Company goal performance and individual performance, and as such actual competitive positioning may vary by individual or on a year-to-year basis. Additionally, while our overall philosophy applies generally to all NEOs, we recognize at times the need to differentiate on an individual basis to reflect additional considerations such as tenure, experience, past and expected contribution, outstanding individual performance, and criticality to the Company.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29</w:t>
      </w:r>
    </w:p>
    <w:p>
      <w:pPr>
        <w:sectPr>
          <w:pgSz w:w="11900" w:h="16838" w:orient="portrait"/>
          <w:cols w:equalWidth="0" w:num="1">
            <w:col w:w="11120"/>
          </w:cols>
          <w:pgMar w:left="32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EXECUTIVE COMPENSATION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3F3F3F"/>
        </w:rPr>
        <w:t>Our Decision-Making Process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We adhere to a set of guiding principles as we make pay determinations each year:</w:t>
      </w:r>
    </w:p>
    <w:p>
      <w:pPr>
        <w:spacing w:after="0" w:line="237" w:lineRule="exact"/>
        <w:rPr>
          <w:sz w:val="20"/>
          <w:szCs w:val="20"/>
          <w:color w:val="auto"/>
        </w:rPr>
      </w:pPr>
    </w:p>
    <w:tbl>
      <w:tblPr>
        <w:tblLayout w:type="fixed"/>
        <w:tblInd w:w="190" w:type="dxa"/>
        <w:tblCellMar>
          <w:top w:w="0" w:type="dxa"/>
          <w:left w:w="0" w:type="dxa"/>
          <w:bottom w:w="0" w:type="dxa"/>
          <w:right w:w="0" w:type="dxa"/>
        </w:tblCellMar>
      </w:tblPr>
      <w:tr>
        <w:trPr>
          <w:trHeight w:val="238"/>
        </w:trPr>
        <w:tc>
          <w:tcPr>
            <w:tcW w:w="3620" w:type="dxa"/>
            <w:vAlign w:val="bottom"/>
            <w:tcBorders>
              <w:top w:val="single" w:sz="8" w:color="BFBFBF"/>
              <w:left w:val="single" w:sz="8" w:color="BFBFBF"/>
              <w:right w:val="single" w:sz="8" w:color="BFBFBF"/>
            </w:tcBorders>
          </w:tcPr>
          <w:p>
            <w:pPr>
              <w:spacing w:after="0"/>
              <w:rPr>
                <w:sz w:val="20"/>
                <w:szCs w:val="20"/>
                <w:color w:val="auto"/>
              </w:rPr>
            </w:pPr>
          </w:p>
        </w:tc>
        <w:tc>
          <w:tcPr>
            <w:tcW w:w="7300" w:type="dxa"/>
            <w:vAlign w:val="bottom"/>
            <w:tcBorders>
              <w:top w:val="single" w:sz="8" w:color="BFBFBF"/>
              <w:right w:val="single" w:sz="8" w:color="BFBFBF"/>
            </w:tcBorders>
          </w:tcPr>
          <w:p>
            <w:pPr>
              <w:ind w:left="80"/>
              <w:spacing w:after="0"/>
              <w:rPr>
                <w:sz w:val="20"/>
                <w:szCs w:val="20"/>
                <w:color w:val="auto"/>
              </w:rPr>
            </w:pPr>
            <w:r>
              <w:rPr>
                <w:rFonts w:ascii="Arial" w:cs="Arial" w:eastAsia="Arial" w:hAnsi="Arial"/>
                <w:sz w:val="18"/>
                <w:szCs w:val="18"/>
                <w:color w:val="3F3F3F"/>
              </w:rPr>
              <w:t>Annual pay opportunities emphasize variable performance-based compensation, which</w:t>
            </w:r>
          </w:p>
        </w:tc>
        <w:tc>
          <w:tcPr>
            <w:tcW w:w="0" w:type="dxa"/>
            <w:vAlign w:val="bottom"/>
          </w:tcPr>
          <w:p>
            <w:pPr>
              <w:spacing w:after="0"/>
              <w:rPr>
                <w:sz w:val="1"/>
                <w:szCs w:val="1"/>
                <w:color w:val="auto"/>
              </w:rPr>
            </w:pPr>
          </w:p>
        </w:tc>
      </w:tr>
      <w:tr>
        <w:trPr>
          <w:trHeight w:val="208"/>
        </w:trPr>
        <w:tc>
          <w:tcPr>
            <w:tcW w:w="3620" w:type="dxa"/>
            <w:vAlign w:val="bottom"/>
            <w:tcBorders>
              <w:left w:val="single" w:sz="8" w:color="BFBFBF"/>
              <w:right w:val="single" w:sz="8" w:color="BFBFBF"/>
            </w:tcBorders>
          </w:tcPr>
          <w:p>
            <w:pPr>
              <w:ind w:left="160"/>
              <w:spacing w:after="0"/>
              <w:rPr>
                <w:sz w:val="20"/>
                <w:szCs w:val="20"/>
                <w:color w:val="auto"/>
              </w:rPr>
            </w:pPr>
            <w:r>
              <w:rPr>
                <w:rFonts w:ascii="Arial" w:cs="Arial" w:eastAsia="Arial" w:hAnsi="Arial"/>
                <w:sz w:val="18"/>
                <w:szCs w:val="18"/>
                <w:color w:val="3F3F3F"/>
              </w:rPr>
              <w:t>Maintain a pay-for-performance culture</w:t>
            </w:r>
          </w:p>
        </w:tc>
        <w:tc>
          <w:tcPr>
            <w:tcW w:w="7300" w:type="dxa"/>
            <w:vAlign w:val="bottom"/>
            <w:tcBorders>
              <w:right w:val="single" w:sz="8" w:color="BFBFBF"/>
            </w:tcBorders>
          </w:tcPr>
          <w:p>
            <w:pPr>
              <w:ind w:left="80"/>
              <w:spacing w:after="0"/>
              <w:rPr>
                <w:sz w:val="20"/>
                <w:szCs w:val="20"/>
                <w:color w:val="auto"/>
              </w:rPr>
            </w:pPr>
            <w:r>
              <w:rPr>
                <w:rFonts w:ascii="Arial" w:cs="Arial" w:eastAsia="Arial" w:hAnsi="Arial"/>
                <w:sz w:val="18"/>
                <w:szCs w:val="18"/>
                <w:color w:val="3F3F3F"/>
              </w:rPr>
              <w:t>motivates executives and ensures a high degree of performance orientation in our</w:t>
            </w:r>
          </w:p>
        </w:tc>
        <w:tc>
          <w:tcPr>
            <w:tcW w:w="0" w:type="dxa"/>
            <w:vAlign w:val="bottom"/>
          </w:tcPr>
          <w:p>
            <w:pPr>
              <w:spacing w:after="0"/>
              <w:rPr>
                <w:sz w:val="1"/>
                <w:szCs w:val="1"/>
                <w:color w:val="auto"/>
              </w:rPr>
            </w:pPr>
          </w:p>
        </w:tc>
      </w:tr>
      <w:tr>
        <w:trPr>
          <w:trHeight w:val="239"/>
        </w:trPr>
        <w:tc>
          <w:tcPr>
            <w:tcW w:w="3620" w:type="dxa"/>
            <w:vAlign w:val="bottom"/>
            <w:tcBorders>
              <w:left w:val="single" w:sz="8" w:color="BFBFBF"/>
              <w:right w:val="single" w:sz="8" w:color="BFBFBF"/>
            </w:tcBorders>
          </w:tcPr>
          <w:p>
            <w:pPr>
              <w:spacing w:after="0"/>
              <w:rPr>
                <w:sz w:val="20"/>
                <w:szCs w:val="20"/>
                <w:color w:val="auto"/>
              </w:rPr>
            </w:pPr>
          </w:p>
        </w:tc>
        <w:tc>
          <w:tcPr>
            <w:tcW w:w="7300" w:type="dxa"/>
            <w:vAlign w:val="bottom"/>
            <w:tcBorders>
              <w:right w:val="single" w:sz="8" w:color="BFBFBF"/>
            </w:tcBorders>
          </w:tcPr>
          <w:p>
            <w:pPr>
              <w:ind w:left="80"/>
              <w:spacing w:after="0"/>
              <w:rPr>
                <w:sz w:val="20"/>
                <w:szCs w:val="20"/>
                <w:color w:val="auto"/>
              </w:rPr>
            </w:pPr>
            <w:r>
              <w:rPr>
                <w:rFonts w:ascii="Arial" w:cs="Arial" w:eastAsia="Arial" w:hAnsi="Arial"/>
                <w:sz w:val="18"/>
                <w:szCs w:val="18"/>
                <w:color w:val="3F3F3F"/>
              </w:rPr>
              <w:t>executive compensation program</w:t>
            </w:r>
          </w:p>
        </w:tc>
        <w:tc>
          <w:tcPr>
            <w:tcW w:w="0" w:type="dxa"/>
            <w:vAlign w:val="bottom"/>
          </w:tcPr>
          <w:p>
            <w:pPr>
              <w:spacing w:after="0"/>
              <w:rPr>
                <w:sz w:val="1"/>
                <w:szCs w:val="1"/>
                <w:color w:val="auto"/>
              </w:rPr>
            </w:pPr>
          </w:p>
        </w:tc>
      </w:tr>
      <w:tr>
        <w:trPr>
          <w:trHeight w:val="72"/>
        </w:trPr>
        <w:tc>
          <w:tcPr>
            <w:tcW w:w="3620" w:type="dxa"/>
            <w:vAlign w:val="bottom"/>
            <w:tcBorders>
              <w:left w:val="single" w:sz="8" w:color="BFBFBF"/>
              <w:bottom w:val="single" w:sz="8" w:color="BFBFBF"/>
              <w:right w:val="single" w:sz="8" w:color="BFBFBF"/>
            </w:tcBorders>
          </w:tcPr>
          <w:p>
            <w:pPr>
              <w:spacing w:after="0"/>
              <w:rPr>
                <w:sz w:val="6"/>
                <w:szCs w:val="6"/>
                <w:color w:val="auto"/>
              </w:rPr>
            </w:pPr>
          </w:p>
        </w:tc>
        <w:tc>
          <w:tcPr>
            <w:tcW w:w="7300" w:type="dxa"/>
            <w:vAlign w:val="bottom"/>
            <w:tcBorders>
              <w:bottom w:val="single" w:sz="8" w:color="BFBFBF"/>
              <w:right w:val="single" w:sz="8" w:color="BFBFBF"/>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620" w:type="dxa"/>
            <w:vAlign w:val="bottom"/>
            <w:tcBorders>
              <w:left w:val="single" w:sz="8" w:color="BFBFBF"/>
              <w:right w:val="single" w:sz="8" w:color="BFBFBF"/>
            </w:tcBorders>
          </w:tcPr>
          <w:p>
            <w:pPr>
              <w:ind w:left="160"/>
              <w:spacing w:after="0" w:line="177" w:lineRule="exact"/>
              <w:rPr>
                <w:sz w:val="20"/>
                <w:szCs w:val="20"/>
                <w:color w:val="auto"/>
              </w:rPr>
            </w:pPr>
            <w:r>
              <w:rPr>
                <w:rFonts w:ascii="Arial" w:cs="Arial" w:eastAsia="Arial" w:hAnsi="Arial"/>
                <w:sz w:val="18"/>
                <w:szCs w:val="18"/>
                <w:color w:val="3F3F3F"/>
              </w:rPr>
              <w:t>Foster long-term alignment with</w:t>
            </w:r>
          </w:p>
        </w:tc>
        <w:tc>
          <w:tcPr>
            <w:tcW w:w="7300" w:type="dxa"/>
            <w:vAlign w:val="bottom"/>
            <w:tcBorders>
              <w:right w:val="single" w:sz="8" w:color="BFBFBF"/>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620" w:type="dxa"/>
            <w:vAlign w:val="bottom"/>
            <w:tcBorders>
              <w:left w:val="single" w:sz="8" w:color="BFBFBF"/>
              <w:right w:val="single" w:sz="8" w:color="BFBFBF"/>
            </w:tcBorders>
          </w:tcPr>
          <w:p>
            <w:pPr>
              <w:ind w:left="160"/>
              <w:spacing w:after="0"/>
              <w:rPr>
                <w:sz w:val="20"/>
                <w:szCs w:val="20"/>
                <w:color w:val="auto"/>
              </w:rPr>
            </w:pPr>
            <w:r>
              <w:rPr>
                <w:rFonts w:ascii="Arial" w:cs="Arial" w:eastAsia="Arial" w:hAnsi="Arial"/>
                <w:sz w:val="18"/>
                <w:szCs w:val="18"/>
                <w:color w:val="3F3F3F"/>
              </w:rPr>
              <w:t>stockholders</w:t>
            </w:r>
          </w:p>
        </w:tc>
        <w:tc>
          <w:tcPr>
            <w:tcW w:w="7300" w:type="dxa"/>
            <w:vAlign w:val="bottom"/>
            <w:tcBorders>
              <w:right w:val="single" w:sz="8" w:color="BFBFBF"/>
            </w:tcBorders>
          </w:tcPr>
          <w:p>
            <w:pPr>
              <w:ind w:left="80"/>
              <w:spacing w:after="0"/>
              <w:rPr>
                <w:sz w:val="20"/>
                <w:szCs w:val="20"/>
                <w:color w:val="auto"/>
              </w:rPr>
            </w:pPr>
            <w:r>
              <w:rPr>
                <w:rFonts w:ascii="Arial" w:cs="Arial" w:eastAsia="Arial" w:hAnsi="Arial"/>
                <w:sz w:val="18"/>
                <w:szCs w:val="18"/>
                <w:color w:val="3F3F3F"/>
              </w:rPr>
              <w:t>Equity awards directly tie pay for executives to value creation for stockholders</w:t>
            </w:r>
          </w:p>
        </w:tc>
        <w:tc>
          <w:tcPr>
            <w:tcW w:w="0" w:type="dxa"/>
            <w:vAlign w:val="bottom"/>
          </w:tcPr>
          <w:p>
            <w:pPr>
              <w:spacing w:after="0"/>
              <w:rPr>
                <w:sz w:val="1"/>
                <w:szCs w:val="1"/>
                <w:color w:val="auto"/>
              </w:rPr>
            </w:pPr>
          </w:p>
        </w:tc>
      </w:tr>
      <w:tr>
        <w:trPr>
          <w:trHeight w:val="117"/>
        </w:trPr>
        <w:tc>
          <w:tcPr>
            <w:tcW w:w="3620" w:type="dxa"/>
            <w:vAlign w:val="bottom"/>
            <w:tcBorders>
              <w:left w:val="single" w:sz="8" w:color="BFBFBF"/>
              <w:bottom w:val="single" w:sz="8" w:color="BFBFBF"/>
              <w:right w:val="single" w:sz="8" w:color="BFBFBF"/>
            </w:tcBorders>
          </w:tcPr>
          <w:p>
            <w:pPr>
              <w:spacing w:after="0"/>
              <w:rPr>
                <w:sz w:val="10"/>
                <w:szCs w:val="10"/>
                <w:color w:val="auto"/>
              </w:rPr>
            </w:pPr>
          </w:p>
        </w:tc>
        <w:tc>
          <w:tcPr>
            <w:tcW w:w="7300" w:type="dxa"/>
            <w:vAlign w:val="bottom"/>
            <w:tcBorders>
              <w:bottom w:val="single" w:sz="8" w:color="BFBFBF"/>
              <w:right w:val="single" w:sz="8" w:color="BFBFBF"/>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3620" w:type="dxa"/>
            <w:vAlign w:val="bottom"/>
            <w:tcBorders>
              <w:left w:val="single" w:sz="8" w:color="BFBFBF"/>
              <w:right w:val="single" w:sz="8" w:color="BFBFBF"/>
            </w:tcBorders>
          </w:tcPr>
          <w:p>
            <w:pPr>
              <w:ind w:left="160"/>
              <w:spacing w:after="0"/>
              <w:rPr>
                <w:sz w:val="20"/>
                <w:szCs w:val="20"/>
                <w:color w:val="auto"/>
              </w:rPr>
            </w:pPr>
            <w:r>
              <w:rPr>
                <w:rFonts w:ascii="Arial" w:cs="Arial" w:eastAsia="Arial" w:hAnsi="Arial"/>
                <w:sz w:val="18"/>
                <w:szCs w:val="18"/>
                <w:color w:val="3F3F3F"/>
              </w:rPr>
              <w:t>Preserve a low risk profile</w:t>
            </w:r>
          </w:p>
        </w:tc>
        <w:tc>
          <w:tcPr>
            <w:tcW w:w="7300" w:type="dxa"/>
            <w:vAlign w:val="bottom"/>
            <w:tcBorders>
              <w:right w:val="single" w:sz="8" w:color="BFBFBF"/>
            </w:tcBorders>
          </w:tcPr>
          <w:p>
            <w:pPr>
              <w:ind w:left="80"/>
              <w:spacing w:after="0"/>
              <w:rPr>
                <w:sz w:val="20"/>
                <w:szCs w:val="20"/>
                <w:color w:val="auto"/>
              </w:rPr>
            </w:pPr>
            <w:r>
              <w:rPr>
                <w:rFonts w:ascii="Arial" w:cs="Arial" w:eastAsia="Arial" w:hAnsi="Arial"/>
                <w:sz w:val="18"/>
                <w:szCs w:val="18"/>
                <w:color w:val="3F3F3F"/>
              </w:rPr>
              <w:t>Our compensation program is grounded in sound, risk-averse practices</w:t>
            </w:r>
          </w:p>
        </w:tc>
        <w:tc>
          <w:tcPr>
            <w:tcW w:w="0" w:type="dxa"/>
            <w:vAlign w:val="bottom"/>
          </w:tcPr>
          <w:p>
            <w:pPr>
              <w:spacing w:after="0"/>
              <w:rPr>
                <w:sz w:val="1"/>
                <w:szCs w:val="1"/>
                <w:color w:val="auto"/>
              </w:rPr>
            </w:pPr>
          </w:p>
        </w:tc>
      </w:tr>
      <w:tr>
        <w:trPr>
          <w:trHeight w:val="77"/>
        </w:trPr>
        <w:tc>
          <w:tcPr>
            <w:tcW w:w="3620" w:type="dxa"/>
            <w:vAlign w:val="bottom"/>
            <w:tcBorders>
              <w:left w:val="single" w:sz="8" w:color="BFBFBF"/>
              <w:bottom w:val="single" w:sz="8" w:color="BFBFBF"/>
              <w:right w:val="single" w:sz="8" w:color="BFBFBF"/>
            </w:tcBorders>
          </w:tcPr>
          <w:p>
            <w:pPr>
              <w:spacing w:after="0"/>
              <w:rPr>
                <w:sz w:val="6"/>
                <w:szCs w:val="6"/>
                <w:color w:val="auto"/>
              </w:rPr>
            </w:pPr>
          </w:p>
        </w:tc>
        <w:tc>
          <w:tcPr>
            <w:tcW w:w="7300" w:type="dxa"/>
            <w:vAlign w:val="bottom"/>
            <w:tcBorders>
              <w:bottom w:val="single" w:sz="8" w:color="BFBFBF"/>
              <w:right w:val="single" w:sz="8" w:color="BFBFBF"/>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3620" w:type="dxa"/>
            <w:vAlign w:val="bottom"/>
            <w:tcBorders>
              <w:left w:val="single" w:sz="8" w:color="BFBFBF"/>
              <w:right w:val="single" w:sz="8" w:color="BFBFBF"/>
            </w:tcBorders>
            <w:vMerge w:val="restart"/>
          </w:tcPr>
          <w:p>
            <w:pPr>
              <w:ind w:left="160"/>
              <w:spacing w:after="0"/>
              <w:rPr>
                <w:sz w:val="20"/>
                <w:szCs w:val="20"/>
                <w:color w:val="auto"/>
              </w:rPr>
            </w:pPr>
            <w:r>
              <w:rPr>
                <w:rFonts w:ascii="Arial" w:cs="Arial" w:eastAsia="Arial" w:hAnsi="Arial"/>
                <w:sz w:val="18"/>
                <w:szCs w:val="18"/>
                <w:color w:val="3F3F3F"/>
              </w:rPr>
              <w:t>Reflect internal equity considerations</w:t>
            </w:r>
          </w:p>
        </w:tc>
        <w:tc>
          <w:tcPr>
            <w:tcW w:w="7300" w:type="dxa"/>
            <w:vAlign w:val="bottom"/>
            <w:tcBorders>
              <w:right w:val="single" w:sz="8" w:color="BFBFBF"/>
            </w:tcBorders>
          </w:tcPr>
          <w:p>
            <w:pPr>
              <w:ind w:left="80"/>
              <w:spacing w:after="0"/>
              <w:rPr>
                <w:sz w:val="20"/>
                <w:szCs w:val="20"/>
                <w:color w:val="auto"/>
              </w:rPr>
            </w:pPr>
            <w:r>
              <w:rPr>
                <w:rFonts w:ascii="Arial" w:cs="Arial" w:eastAsia="Arial" w:hAnsi="Arial"/>
                <w:sz w:val="18"/>
                <w:szCs w:val="18"/>
                <w:color w:val="3F3F3F"/>
              </w:rPr>
              <w:t>Compensation decisions are made in the context of individual factors including: tenure,</w:t>
            </w:r>
          </w:p>
        </w:tc>
        <w:tc>
          <w:tcPr>
            <w:tcW w:w="0" w:type="dxa"/>
            <w:vAlign w:val="bottom"/>
          </w:tcPr>
          <w:p>
            <w:pPr>
              <w:spacing w:after="0"/>
              <w:rPr>
                <w:sz w:val="1"/>
                <w:szCs w:val="1"/>
                <w:color w:val="auto"/>
              </w:rPr>
            </w:pPr>
          </w:p>
        </w:tc>
      </w:tr>
      <w:tr>
        <w:trPr>
          <w:trHeight w:val="203"/>
        </w:trPr>
        <w:tc>
          <w:tcPr>
            <w:tcW w:w="3620" w:type="dxa"/>
            <w:vAlign w:val="bottom"/>
            <w:tcBorders>
              <w:left w:val="single" w:sz="8" w:color="BFBFBF"/>
              <w:right w:val="single" w:sz="8" w:color="BFBFBF"/>
            </w:tcBorders>
            <w:vMerge w:val="continue"/>
          </w:tcPr>
          <w:p>
            <w:pPr>
              <w:spacing w:after="0"/>
              <w:rPr>
                <w:sz w:val="17"/>
                <w:szCs w:val="17"/>
                <w:color w:val="auto"/>
              </w:rPr>
            </w:pPr>
          </w:p>
        </w:tc>
        <w:tc>
          <w:tcPr>
            <w:tcW w:w="7300" w:type="dxa"/>
            <w:vAlign w:val="bottom"/>
            <w:tcBorders>
              <w:right w:val="single" w:sz="8" w:color="BFBFBF"/>
            </w:tcBorders>
          </w:tcPr>
          <w:p>
            <w:pPr>
              <w:ind w:left="80"/>
              <w:spacing w:after="0" w:line="202" w:lineRule="exact"/>
              <w:rPr>
                <w:sz w:val="20"/>
                <w:szCs w:val="20"/>
                <w:color w:val="auto"/>
              </w:rPr>
            </w:pPr>
            <w:r>
              <w:rPr>
                <w:rFonts w:ascii="Arial" w:cs="Arial" w:eastAsia="Arial" w:hAnsi="Arial"/>
                <w:sz w:val="18"/>
                <w:szCs w:val="18"/>
                <w:color w:val="3F3F3F"/>
              </w:rPr>
              <w:t>experience, annual and long-term contributions to the Company and individual</w:t>
            </w:r>
          </w:p>
        </w:tc>
        <w:tc>
          <w:tcPr>
            <w:tcW w:w="0" w:type="dxa"/>
            <w:vAlign w:val="bottom"/>
          </w:tcPr>
          <w:p>
            <w:pPr>
              <w:spacing w:after="0"/>
              <w:rPr>
                <w:sz w:val="1"/>
                <w:szCs w:val="1"/>
                <w:color w:val="auto"/>
              </w:rPr>
            </w:pPr>
          </w:p>
        </w:tc>
      </w:tr>
      <w:tr>
        <w:trPr>
          <w:trHeight w:val="239"/>
        </w:trPr>
        <w:tc>
          <w:tcPr>
            <w:tcW w:w="3620" w:type="dxa"/>
            <w:vAlign w:val="bottom"/>
            <w:tcBorders>
              <w:left w:val="single" w:sz="8" w:color="BFBFBF"/>
              <w:right w:val="single" w:sz="8" w:color="BFBFBF"/>
            </w:tcBorders>
          </w:tcPr>
          <w:p>
            <w:pPr>
              <w:spacing w:after="0"/>
              <w:rPr>
                <w:sz w:val="20"/>
                <w:szCs w:val="20"/>
                <w:color w:val="auto"/>
              </w:rPr>
            </w:pPr>
          </w:p>
        </w:tc>
        <w:tc>
          <w:tcPr>
            <w:tcW w:w="7300" w:type="dxa"/>
            <w:vAlign w:val="bottom"/>
            <w:tcBorders>
              <w:right w:val="single" w:sz="8" w:color="BFBFBF"/>
            </w:tcBorders>
          </w:tcPr>
          <w:p>
            <w:pPr>
              <w:ind w:left="80"/>
              <w:spacing w:after="0"/>
              <w:rPr>
                <w:sz w:val="20"/>
                <w:szCs w:val="20"/>
                <w:color w:val="auto"/>
              </w:rPr>
            </w:pPr>
            <w:r>
              <w:rPr>
                <w:rFonts w:ascii="Arial" w:cs="Arial" w:eastAsia="Arial" w:hAnsi="Arial"/>
                <w:sz w:val="18"/>
                <w:szCs w:val="18"/>
                <w:color w:val="3F3F3F"/>
              </w:rPr>
              <w:t>performance.</w:t>
            </w:r>
          </w:p>
        </w:tc>
        <w:tc>
          <w:tcPr>
            <w:tcW w:w="0" w:type="dxa"/>
            <w:vAlign w:val="bottom"/>
          </w:tcPr>
          <w:p>
            <w:pPr>
              <w:spacing w:after="0"/>
              <w:rPr>
                <w:sz w:val="1"/>
                <w:szCs w:val="1"/>
                <w:color w:val="auto"/>
              </w:rPr>
            </w:pPr>
          </w:p>
        </w:tc>
      </w:tr>
      <w:tr>
        <w:trPr>
          <w:trHeight w:val="77"/>
        </w:trPr>
        <w:tc>
          <w:tcPr>
            <w:tcW w:w="3620" w:type="dxa"/>
            <w:vAlign w:val="bottom"/>
            <w:tcBorders>
              <w:left w:val="single" w:sz="8" w:color="BFBFBF"/>
              <w:bottom w:val="single" w:sz="8" w:color="BFBFBF"/>
              <w:right w:val="single" w:sz="8" w:color="BFBFBF"/>
            </w:tcBorders>
          </w:tcPr>
          <w:p>
            <w:pPr>
              <w:spacing w:after="0"/>
              <w:rPr>
                <w:sz w:val="6"/>
                <w:szCs w:val="6"/>
                <w:color w:val="auto"/>
              </w:rPr>
            </w:pPr>
          </w:p>
        </w:tc>
        <w:tc>
          <w:tcPr>
            <w:tcW w:w="7300" w:type="dxa"/>
            <w:vAlign w:val="bottom"/>
            <w:tcBorders>
              <w:bottom w:val="single" w:sz="8" w:color="BFBFBF"/>
              <w:right w:val="single" w:sz="8" w:color="BFBFBF"/>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i w:val="1"/>
          <w:iCs w:val="1"/>
          <w:color w:val="3F3F3F"/>
        </w:rPr>
        <w:t xml:space="preserve">Role of the Compensation Committee. </w:t>
      </w:r>
      <w:r>
        <w:rPr>
          <w:rFonts w:ascii="Arial" w:cs="Arial" w:eastAsia="Arial" w:hAnsi="Arial"/>
          <w:sz w:val="18"/>
          <w:szCs w:val="18"/>
          <w:color w:val="3F3F3F"/>
        </w:rPr>
        <w:t>The Compensation Committee is responsible for establishing and overseeing the executive</w:t>
      </w:r>
      <w:r>
        <w:rPr>
          <w:rFonts w:ascii="Arial" w:cs="Arial" w:eastAsia="Arial" w:hAnsi="Arial"/>
          <w:sz w:val="18"/>
          <w:szCs w:val="18"/>
          <w:i w:val="1"/>
          <w:iCs w:val="1"/>
          <w:color w:val="3F3F3F"/>
        </w:rPr>
        <w:t xml:space="preserve"> </w:t>
      </w:r>
      <w:r>
        <w:rPr>
          <w:rFonts w:ascii="Arial" w:cs="Arial" w:eastAsia="Arial" w:hAnsi="Arial"/>
          <w:sz w:val="18"/>
          <w:szCs w:val="18"/>
          <w:color w:val="3F3F3F"/>
        </w:rPr>
        <w:t>compensation program, which includes, but is not limited to, setting executive pay opportunities, assessing Company and individual performance and determining and approving final pay outcomes for our NEOs on an annual basis. As part of this process, the Committee evaluates:</w:t>
      </w:r>
    </w:p>
    <w:p>
      <w:pPr>
        <w:ind w:left="980" w:hanging="432"/>
        <w:spacing w:after="0" w:line="229" w:lineRule="auto"/>
        <w:tabs>
          <w:tab w:leader="none" w:pos="980" w:val="left"/>
        </w:tabs>
        <w:numPr>
          <w:ilvl w:val="0"/>
          <w:numId w:val="16"/>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Each NEO’s role and responsibilities, and performance in his or her role;</w:t>
      </w:r>
    </w:p>
    <w:p>
      <w:pPr>
        <w:spacing w:after="0" w:line="103" w:lineRule="exact"/>
        <w:rPr>
          <w:rFonts w:ascii="Times New Roman" w:cs="Times New Roman" w:eastAsia="Times New Roman" w:hAnsi="Times New Roman"/>
          <w:sz w:val="29"/>
          <w:szCs w:val="29"/>
          <w:color w:val="3F3F3F"/>
          <w:vertAlign w:val="superscript"/>
        </w:rPr>
      </w:pPr>
    </w:p>
    <w:p>
      <w:pPr>
        <w:ind w:left="980" w:hanging="432"/>
        <w:spacing w:after="0" w:line="184" w:lineRule="auto"/>
        <w:tabs>
          <w:tab w:leader="none" w:pos="980" w:val="left"/>
        </w:tabs>
        <w:numPr>
          <w:ilvl w:val="0"/>
          <w:numId w:val="16"/>
        </w:numPr>
        <w:rPr>
          <w:rFonts w:ascii="Times New Roman" w:cs="Times New Roman" w:eastAsia="Times New Roman" w:hAnsi="Times New Roman"/>
          <w:sz w:val="25"/>
          <w:szCs w:val="25"/>
          <w:color w:val="3F3F3F"/>
          <w:vertAlign w:val="superscript"/>
        </w:rPr>
      </w:pPr>
      <w:r>
        <w:rPr>
          <w:rFonts w:ascii="Arial" w:cs="Arial" w:eastAsia="Arial" w:hAnsi="Arial"/>
          <w:sz w:val="16"/>
          <w:szCs w:val="16"/>
          <w:color w:val="3F3F3F"/>
        </w:rPr>
        <w:t>Each NEO’s compensation history (including his or her total equity compensation profile);</w:t>
      </w:r>
    </w:p>
    <w:p>
      <w:pPr>
        <w:spacing w:after="0" w:line="103" w:lineRule="exact"/>
        <w:rPr>
          <w:rFonts w:ascii="Times New Roman" w:cs="Times New Roman" w:eastAsia="Times New Roman" w:hAnsi="Times New Roman"/>
          <w:sz w:val="25"/>
          <w:szCs w:val="25"/>
          <w:color w:val="3F3F3F"/>
          <w:vertAlign w:val="superscript"/>
        </w:rPr>
      </w:pPr>
    </w:p>
    <w:p>
      <w:pPr>
        <w:ind w:left="980" w:hanging="432"/>
        <w:spacing w:after="0" w:line="184" w:lineRule="auto"/>
        <w:tabs>
          <w:tab w:leader="none" w:pos="980" w:val="left"/>
        </w:tabs>
        <w:numPr>
          <w:ilvl w:val="0"/>
          <w:numId w:val="16"/>
        </w:numPr>
        <w:rPr>
          <w:rFonts w:ascii="Times New Roman" w:cs="Times New Roman" w:eastAsia="Times New Roman" w:hAnsi="Times New Roman"/>
          <w:sz w:val="25"/>
          <w:szCs w:val="25"/>
          <w:color w:val="3F3F3F"/>
          <w:vertAlign w:val="superscript"/>
        </w:rPr>
      </w:pPr>
      <w:r>
        <w:rPr>
          <w:rFonts w:ascii="Arial" w:cs="Arial" w:eastAsia="Arial" w:hAnsi="Arial"/>
          <w:sz w:val="16"/>
          <w:szCs w:val="16"/>
          <w:color w:val="3F3F3F"/>
        </w:rPr>
        <w:t>Key historical Company performance metrics and forward-looking projections; and</w:t>
      </w:r>
    </w:p>
    <w:p>
      <w:pPr>
        <w:spacing w:after="0" w:line="103" w:lineRule="exact"/>
        <w:rPr>
          <w:rFonts w:ascii="Times New Roman" w:cs="Times New Roman" w:eastAsia="Times New Roman" w:hAnsi="Times New Roman"/>
          <w:sz w:val="25"/>
          <w:szCs w:val="25"/>
          <w:color w:val="3F3F3F"/>
          <w:vertAlign w:val="superscript"/>
        </w:rPr>
      </w:pPr>
    </w:p>
    <w:p>
      <w:pPr>
        <w:ind w:left="980" w:hanging="432"/>
        <w:spacing w:after="0" w:line="184" w:lineRule="auto"/>
        <w:tabs>
          <w:tab w:leader="none" w:pos="980" w:val="left"/>
        </w:tabs>
        <w:numPr>
          <w:ilvl w:val="0"/>
          <w:numId w:val="16"/>
        </w:numPr>
        <w:rPr>
          <w:rFonts w:ascii="Times New Roman" w:cs="Times New Roman" w:eastAsia="Times New Roman" w:hAnsi="Times New Roman"/>
          <w:sz w:val="25"/>
          <w:szCs w:val="25"/>
          <w:color w:val="3F3F3F"/>
          <w:vertAlign w:val="superscript"/>
        </w:rPr>
      </w:pPr>
      <w:r>
        <w:rPr>
          <w:rFonts w:ascii="Arial" w:cs="Arial" w:eastAsia="Arial" w:hAnsi="Arial"/>
          <w:sz w:val="16"/>
          <w:szCs w:val="16"/>
          <w:color w:val="3F3F3F"/>
        </w:rPr>
        <w:t>Compensation practices of the companies in our peer group as well as broader market data, where appropriate.</w:t>
      </w:r>
    </w:p>
    <w:p>
      <w:pPr>
        <w:spacing w:after="0" w:line="180" w:lineRule="exact"/>
        <w:rPr>
          <w:sz w:val="20"/>
          <w:szCs w:val="20"/>
          <w:color w:val="auto"/>
        </w:rPr>
      </w:pPr>
    </w:p>
    <w:p>
      <w:pPr>
        <w:ind w:left="120" w:right="260"/>
        <w:spacing w:after="0" w:line="247" w:lineRule="auto"/>
        <w:rPr>
          <w:sz w:val="20"/>
          <w:szCs w:val="20"/>
          <w:color w:val="auto"/>
        </w:rPr>
      </w:pPr>
      <w:r>
        <w:rPr>
          <w:rFonts w:ascii="Arial" w:cs="Arial" w:eastAsia="Arial" w:hAnsi="Arial"/>
          <w:sz w:val="18"/>
          <w:szCs w:val="18"/>
          <w:color w:val="3F3F3F"/>
        </w:rPr>
        <w:t>The Compensation Committee is also responsible for making grants of equity awards under the Medpace Holdings, Inc. 2016 Incentive Award Plan (the “2016 Incentive Plan”). Other responsibilities include, but are not limited to, reviewing and approving the CEO employment agreement; designing the annual bonus program; reviewing whether compensation programs encourage excessive risk-taking; and reviewing non-employee director compensation.</w:t>
      </w:r>
    </w:p>
    <w:p>
      <w:pPr>
        <w:spacing w:after="0" w:line="174"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3F3F3F"/>
        </w:rPr>
        <w:t>The Compensation Committee meets throughout the year to discharge its duties. The formal written Compensation Committee charter is available on our website.</w:t>
      </w:r>
    </w:p>
    <w:p>
      <w:pPr>
        <w:spacing w:after="0" w:line="154"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i w:val="1"/>
          <w:iCs w:val="1"/>
          <w:color w:val="3F3F3F"/>
        </w:rPr>
        <w:t xml:space="preserve">Role of our CEO. </w:t>
      </w:r>
      <w:r>
        <w:rPr>
          <w:rFonts w:ascii="Arial" w:cs="Arial" w:eastAsia="Arial" w:hAnsi="Arial"/>
          <w:sz w:val="18"/>
          <w:szCs w:val="18"/>
          <w:color w:val="3F3F3F"/>
        </w:rPr>
        <w:t>Our Chief Executive Officer informs our Compensation Committee on the individual performance and contributions of</w:t>
      </w:r>
      <w:r>
        <w:rPr>
          <w:rFonts w:ascii="Arial" w:cs="Arial" w:eastAsia="Arial" w:hAnsi="Arial"/>
          <w:sz w:val="18"/>
          <w:szCs w:val="18"/>
          <w:i w:val="1"/>
          <w:iCs w:val="1"/>
          <w:color w:val="3F3F3F"/>
        </w:rPr>
        <w:t xml:space="preserve"> </w:t>
      </w:r>
      <w:r>
        <w:rPr>
          <w:rFonts w:ascii="Arial" w:cs="Arial" w:eastAsia="Arial" w:hAnsi="Arial"/>
          <w:sz w:val="18"/>
          <w:szCs w:val="18"/>
          <w:color w:val="3F3F3F"/>
        </w:rPr>
        <w:t>each of the other NEOs, and annually makes recommendations to the Compensation Committee regarding base salary, non-equity incentive compensation and equity awards. Specifically, the CEO provides the Compensation Committee with personal objectives and compensation recommendations for all NEOs other than himself. The Compensation Committee reviews such recommendations and can approve the recommendations or submit recommended modifications to the Board for its consideration.</w:t>
      </w:r>
    </w:p>
    <w:p>
      <w:pPr>
        <w:spacing w:after="0" w:line="176"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i w:val="1"/>
          <w:iCs w:val="1"/>
          <w:color w:val="3F3F3F"/>
        </w:rPr>
        <w:t xml:space="preserve">Role of our Independent Compensation Consultant. </w:t>
      </w:r>
      <w:r>
        <w:rPr>
          <w:rFonts w:ascii="Arial" w:cs="Arial" w:eastAsia="Arial" w:hAnsi="Arial"/>
          <w:sz w:val="18"/>
          <w:szCs w:val="18"/>
          <w:color w:val="3F3F3F"/>
        </w:rPr>
        <w:t>Pursuant to its charter, the Compensation Committee has the sole discretion to retain</w:t>
      </w:r>
      <w:r>
        <w:rPr>
          <w:rFonts w:ascii="Arial" w:cs="Arial" w:eastAsia="Arial" w:hAnsi="Arial"/>
          <w:sz w:val="18"/>
          <w:szCs w:val="18"/>
          <w:i w:val="1"/>
          <w:iCs w:val="1"/>
          <w:color w:val="3F3F3F"/>
        </w:rPr>
        <w:t xml:space="preserve"> </w:t>
      </w:r>
      <w:r>
        <w:rPr>
          <w:rFonts w:ascii="Arial" w:cs="Arial" w:eastAsia="Arial" w:hAnsi="Arial"/>
          <w:sz w:val="18"/>
          <w:szCs w:val="18"/>
          <w:color w:val="3F3F3F"/>
        </w:rPr>
        <w:t>or obtain advice from compensation consultants. During the 2021 fiscal year, the Compensation Committee continued its engagement of TCS as a compensation consultant to assist in its evaluation of executive compensation. TCS conducted various market studies and advised the Compensation Committee on general executive compensation matters to assist the Compensation Committee in fulfilling its duties.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F3F3F"/>
        </w:rPr>
        <w:t>30</w:t>
      </w:r>
    </w:p>
    <w:p>
      <w:pPr>
        <w:sectPr>
          <w:pgSz w:w="11900" w:h="16838" w:orient="portrait"/>
          <w:cols w:equalWidth="0" w:num="1">
            <w:col w:w="11100"/>
          </w:cols>
          <w:pgMar w:left="320" w:top="455" w:right="4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EXECUTIVE COMPENSATION</w:t>
      </w:r>
    </w:p>
    <w:p>
      <w:pPr>
        <w:spacing w:after="0" w:line="144"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3F3F3F"/>
        </w:rPr>
        <w:t>TCS reports directly to the Compensation Committee, participates in meetings, communicates with the Compensation Committee Chair between meetings as necessary and works with management at the direction of the Compensation Committee.</w:t>
      </w:r>
    </w:p>
    <w:p>
      <w:pPr>
        <w:spacing w:after="0" w:line="154" w:lineRule="exact"/>
        <w:rPr>
          <w:sz w:val="20"/>
          <w:szCs w:val="20"/>
          <w:color w:val="auto"/>
        </w:rPr>
      </w:pPr>
    </w:p>
    <w:p>
      <w:pPr>
        <w:ind w:left="120" w:right="420"/>
        <w:spacing w:after="0" w:line="253" w:lineRule="auto"/>
        <w:rPr>
          <w:sz w:val="20"/>
          <w:szCs w:val="20"/>
          <w:color w:val="auto"/>
        </w:rPr>
      </w:pPr>
      <w:r>
        <w:rPr>
          <w:rFonts w:ascii="Arial" w:cs="Arial" w:eastAsia="Arial" w:hAnsi="Arial"/>
          <w:sz w:val="18"/>
          <w:szCs w:val="18"/>
          <w:color w:val="3F3F3F"/>
        </w:rPr>
        <w:t>The Compensation Committee reviewed TCS’s independence and concluded that it is an independent and conflict-free advisor to the Company pursuant to the standards of the Dodd-Frank Wall Street Reform and Consumer Protection Act and applicable rules of NASDAQ.</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3F3F3F"/>
        </w:rPr>
        <w:t>Use of Peer Group and Market Data</w:t>
      </w:r>
    </w:p>
    <w:p>
      <w:pPr>
        <w:spacing w:after="0" w:line="102"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3F3F3F"/>
        </w:rPr>
        <w:t>The Compensation Committee reviewed and approved a peer group consisting of nineteen companies that would be used as a reference to determine 2021 pay opportunity levels for the NEOs. TCS proposed the peer group to consist of companies that compete with us for both capital and talent. The table below presents the peer group companies:</w:t>
      </w:r>
    </w:p>
    <w:p>
      <w:pPr>
        <w:spacing w:after="0" w:line="195" w:lineRule="exact"/>
        <w:rPr>
          <w:sz w:val="20"/>
          <w:szCs w:val="20"/>
          <w:color w:val="auto"/>
        </w:rPr>
      </w:pPr>
    </w:p>
    <w:tbl>
      <w:tblPr>
        <w:tblLayout w:type="fixed"/>
        <w:tblInd w:w="1010" w:type="dxa"/>
        <w:tblCellMar>
          <w:top w:w="0" w:type="dxa"/>
          <w:left w:w="0" w:type="dxa"/>
          <w:bottom w:w="0" w:type="dxa"/>
          <w:right w:w="0" w:type="dxa"/>
        </w:tblCellMar>
      </w:tblPr>
      <w:tr>
        <w:trPr>
          <w:trHeight w:val="252"/>
        </w:trPr>
        <w:tc>
          <w:tcPr>
            <w:tcW w:w="4840" w:type="dxa"/>
            <w:vAlign w:val="bottom"/>
            <w:tcBorders>
              <w:top w:val="single" w:sz="8" w:color="BFBFBF"/>
              <w:left w:val="single" w:sz="8" w:color="BFBFBF"/>
              <w:right w:val="single" w:sz="8" w:color="BFBFBF"/>
            </w:tcBorders>
          </w:tcPr>
          <w:p>
            <w:pPr>
              <w:ind w:left="160"/>
              <w:spacing w:after="0"/>
              <w:rPr>
                <w:sz w:val="20"/>
                <w:szCs w:val="20"/>
                <w:color w:val="auto"/>
              </w:rPr>
            </w:pPr>
            <w:r>
              <w:rPr>
                <w:rFonts w:ascii="Arial" w:cs="Arial" w:eastAsia="Arial" w:hAnsi="Arial"/>
                <w:sz w:val="18"/>
                <w:szCs w:val="18"/>
                <w:color w:val="3F3F3F"/>
              </w:rPr>
              <w:t>ACADIA Pharmaceuticals</w:t>
            </w:r>
          </w:p>
        </w:tc>
        <w:tc>
          <w:tcPr>
            <w:tcW w:w="4440" w:type="dxa"/>
            <w:vAlign w:val="bottom"/>
            <w:tcBorders>
              <w:top w:val="single" w:sz="8" w:color="BFBFBF"/>
              <w:right w:val="single" w:sz="8" w:color="BFBFBF"/>
            </w:tcBorders>
          </w:tcPr>
          <w:p>
            <w:pPr>
              <w:ind w:left="80"/>
              <w:spacing w:after="0"/>
              <w:rPr>
                <w:sz w:val="20"/>
                <w:szCs w:val="20"/>
                <w:color w:val="auto"/>
              </w:rPr>
            </w:pPr>
            <w:r>
              <w:rPr>
                <w:rFonts w:ascii="Arial" w:cs="Arial" w:eastAsia="Arial" w:hAnsi="Arial"/>
                <w:sz w:val="18"/>
                <w:szCs w:val="18"/>
                <w:color w:val="3F3F3F"/>
              </w:rPr>
              <w:t>Horizon Pharma</w:t>
            </w:r>
          </w:p>
        </w:tc>
      </w:tr>
      <w:tr>
        <w:trPr>
          <w:trHeight w:val="332"/>
        </w:trPr>
        <w:tc>
          <w:tcPr>
            <w:tcW w:w="4840" w:type="dxa"/>
            <w:vAlign w:val="bottom"/>
            <w:tcBorders>
              <w:left w:val="single" w:sz="8" w:color="BFBFBF"/>
              <w:right w:val="single" w:sz="8" w:color="BFBFBF"/>
            </w:tcBorders>
          </w:tcPr>
          <w:p>
            <w:pPr>
              <w:ind w:left="160"/>
              <w:spacing w:after="0"/>
              <w:rPr>
                <w:sz w:val="20"/>
                <w:szCs w:val="20"/>
                <w:color w:val="auto"/>
              </w:rPr>
            </w:pPr>
            <w:r>
              <w:rPr>
                <w:rFonts w:ascii="Arial" w:cs="Arial" w:eastAsia="Arial" w:hAnsi="Arial"/>
                <w:sz w:val="18"/>
                <w:szCs w:val="18"/>
                <w:color w:val="3F3F3F"/>
              </w:rPr>
              <w:t>Agios Pharmaceuticals</w:t>
            </w:r>
          </w:p>
        </w:tc>
        <w:tc>
          <w:tcPr>
            <w:tcW w:w="4440" w:type="dxa"/>
            <w:vAlign w:val="bottom"/>
            <w:tcBorders>
              <w:right w:val="single" w:sz="8" w:color="BFBFBF"/>
            </w:tcBorders>
          </w:tcPr>
          <w:p>
            <w:pPr>
              <w:ind w:left="80"/>
              <w:spacing w:after="0"/>
              <w:rPr>
                <w:sz w:val="20"/>
                <w:szCs w:val="20"/>
                <w:color w:val="auto"/>
              </w:rPr>
            </w:pPr>
            <w:r>
              <w:rPr>
                <w:rFonts w:ascii="Arial" w:cs="Arial" w:eastAsia="Arial" w:hAnsi="Arial"/>
                <w:sz w:val="18"/>
                <w:szCs w:val="18"/>
                <w:color w:val="3F3F3F"/>
              </w:rPr>
              <w:t>ICON plc</w:t>
            </w:r>
          </w:p>
        </w:tc>
      </w:tr>
      <w:tr>
        <w:trPr>
          <w:trHeight w:val="338"/>
        </w:trPr>
        <w:tc>
          <w:tcPr>
            <w:tcW w:w="4840" w:type="dxa"/>
            <w:vAlign w:val="bottom"/>
            <w:tcBorders>
              <w:left w:val="single" w:sz="8" w:color="BFBFBF"/>
              <w:right w:val="single" w:sz="8" w:color="BFBFBF"/>
            </w:tcBorders>
          </w:tcPr>
          <w:p>
            <w:pPr>
              <w:ind w:left="160"/>
              <w:spacing w:after="0"/>
              <w:rPr>
                <w:sz w:val="20"/>
                <w:szCs w:val="20"/>
                <w:color w:val="auto"/>
              </w:rPr>
            </w:pPr>
            <w:r>
              <w:rPr>
                <w:rFonts w:ascii="Arial" w:cs="Arial" w:eastAsia="Arial" w:hAnsi="Arial"/>
                <w:sz w:val="18"/>
                <w:szCs w:val="18"/>
                <w:color w:val="3F3F3F"/>
              </w:rPr>
              <w:t>Alkermes</w:t>
            </w:r>
          </w:p>
        </w:tc>
        <w:tc>
          <w:tcPr>
            <w:tcW w:w="4440" w:type="dxa"/>
            <w:vAlign w:val="bottom"/>
            <w:tcBorders>
              <w:right w:val="single" w:sz="8" w:color="BFBFBF"/>
            </w:tcBorders>
          </w:tcPr>
          <w:p>
            <w:pPr>
              <w:ind w:left="80"/>
              <w:spacing w:after="0"/>
              <w:rPr>
                <w:sz w:val="20"/>
                <w:szCs w:val="20"/>
                <w:color w:val="auto"/>
              </w:rPr>
            </w:pPr>
            <w:r>
              <w:rPr>
                <w:rFonts w:ascii="Arial" w:cs="Arial" w:eastAsia="Arial" w:hAnsi="Arial"/>
                <w:sz w:val="18"/>
                <w:szCs w:val="18"/>
                <w:color w:val="3F3F3F"/>
              </w:rPr>
              <w:t>Intercept Pharmaceuticals</w:t>
            </w:r>
          </w:p>
        </w:tc>
      </w:tr>
      <w:tr>
        <w:trPr>
          <w:trHeight w:val="338"/>
        </w:trPr>
        <w:tc>
          <w:tcPr>
            <w:tcW w:w="4840" w:type="dxa"/>
            <w:vAlign w:val="bottom"/>
            <w:tcBorders>
              <w:left w:val="single" w:sz="8" w:color="BFBFBF"/>
              <w:right w:val="single" w:sz="8" w:color="BFBFBF"/>
            </w:tcBorders>
          </w:tcPr>
          <w:p>
            <w:pPr>
              <w:ind w:left="160"/>
              <w:spacing w:after="0"/>
              <w:rPr>
                <w:sz w:val="20"/>
                <w:szCs w:val="20"/>
                <w:color w:val="auto"/>
              </w:rPr>
            </w:pPr>
            <w:r>
              <w:rPr>
                <w:rFonts w:ascii="Arial" w:cs="Arial" w:eastAsia="Arial" w:hAnsi="Arial"/>
                <w:sz w:val="18"/>
                <w:szCs w:val="18"/>
                <w:color w:val="3F3F3F"/>
              </w:rPr>
              <w:t>Amarin</w:t>
            </w:r>
          </w:p>
        </w:tc>
        <w:tc>
          <w:tcPr>
            <w:tcW w:w="4440" w:type="dxa"/>
            <w:vAlign w:val="bottom"/>
            <w:tcBorders>
              <w:right w:val="single" w:sz="8" w:color="BFBFBF"/>
            </w:tcBorders>
          </w:tcPr>
          <w:p>
            <w:pPr>
              <w:ind w:left="80"/>
              <w:spacing w:after="0"/>
              <w:rPr>
                <w:sz w:val="20"/>
                <w:szCs w:val="20"/>
                <w:color w:val="auto"/>
              </w:rPr>
            </w:pPr>
            <w:r>
              <w:rPr>
                <w:rFonts w:ascii="Arial" w:cs="Arial" w:eastAsia="Arial" w:hAnsi="Arial"/>
                <w:sz w:val="18"/>
                <w:szCs w:val="18"/>
                <w:color w:val="3F3F3F"/>
              </w:rPr>
              <w:t>Ligand Pharmaceuticals</w:t>
            </w:r>
          </w:p>
        </w:tc>
      </w:tr>
      <w:tr>
        <w:trPr>
          <w:trHeight w:val="338"/>
        </w:trPr>
        <w:tc>
          <w:tcPr>
            <w:tcW w:w="4840" w:type="dxa"/>
            <w:vAlign w:val="bottom"/>
            <w:tcBorders>
              <w:left w:val="single" w:sz="8" w:color="BFBFBF"/>
              <w:right w:val="single" w:sz="8" w:color="BFBFBF"/>
            </w:tcBorders>
          </w:tcPr>
          <w:p>
            <w:pPr>
              <w:ind w:left="160"/>
              <w:spacing w:after="0"/>
              <w:rPr>
                <w:sz w:val="20"/>
                <w:szCs w:val="20"/>
                <w:color w:val="auto"/>
              </w:rPr>
            </w:pPr>
            <w:r>
              <w:rPr>
                <w:rFonts w:ascii="Arial" w:cs="Arial" w:eastAsia="Arial" w:hAnsi="Arial"/>
                <w:sz w:val="18"/>
                <w:szCs w:val="18"/>
                <w:color w:val="3F3F3F"/>
              </w:rPr>
              <w:t>Bio-Techne Corporation</w:t>
            </w:r>
          </w:p>
        </w:tc>
        <w:tc>
          <w:tcPr>
            <w:tcW w:w="4440" w:type="dxa"/>
            <w:vAlign w:val="bottom"/>
            <w:tcBorders>
              <w:right w:val="single" w:sz="8" w:color="BFBFBF"/>
            </w:tcBorders>
          </w:tcPr>
          <w:p>
            <w:pPr>
              <w:ind w:left="80"/>
              <w:spacing w:after="0"/>
              <w:rPr>
                <w:sz w:val="20"/>
                <w:szCs w:val="20"/>
                <w:color w:val="auto"/>
              </w:rPr>
            </w:pPr>
            <w:r>
              <w:rPr>
                <w:rFonts w:ascii="Arial" w:cs="Arial" w:eastAsia="Arial" w:hAnsi="Arial"/>
                <w:sz w:val="18"/>
                <w:szCs w:val="18"/>
                <w:color w:val="3F3F3F"/>
              </w:rPr>
              <w:t>Luminex Corporation</w:t>
            </w:r>
          </w:p>
        </w:tc>
      </w:tr>
      <w:tr>
        <w:trPr>
          <w:trHeight w:val="338"/>
        </w:trPr>
        <w:tc>
          <w:tcPr>
            <w:tcW w:w="4840" w:type="dxa"/>
            <w:vAlign w:val="bottom"/>
            <w:tcBorders>
              <w:left w:val="single" w:sz="8" w:color="BFBFBF"/>
              <w:right w:val="single" w:sz="8" w:color="BFBFBF"/>
            </w:tcBorders>
          </w:tcPr>
          <w:p>
            <w:pPr>
              <w:ind w:left="160"/>
              <w:spacing w:after="0"/>
              <w:rPr>
                <w:sz w:val="20"/>
                <w:szCs w:val="20"/>
                <w:color w:val="auto"/>
              </w:rPr>
            </w:pPr>
            <w:r>
              <w:rPr>
                <w:rFonts w:ascii="Arial" w:cs="Arial" w:eastAsia="Arial" w:hAnsi="Arial"/>
                <w:sz w:val="18"/>
                <w:szCs w:val="18"/>
                <w:color w:val="3F3F3F"/>
              </w:rPr>
              <w:t>Blueprint Medicines Corporation</w:t>
            </w:r>
          </w:p>
        </w:tc>
        <w:tc>
          <w:tcPr>
            <w:tcW w:w="4440" w:type="dxa"/>
            <w:vAlign w:val="bottom"/>
            <w:tcBorders>
              <w:right w:val="single" w:sz="8" w:color="BFBFBF"/>
            </w:tcBorders>
          </w:tcPr>
          <w:p>
            <w:pPr>
              <w:ind w:left="80"/>
              <w:spacing w:after="0"/>
              <w:rPr>
                <w:sz w:val="20"/>
                <w:szCs w:val="20"/>
                <w:color w:val="auto"/>
              </w:rPr>
            </w:pPr>
            <w:r>
              <w:rPr>
                <w:rFonts w:ascii="Arial" w:cs="Arial" w:eastAsia="Arial" w:hAnsi="Arial"/>
                <w:sz w:val="18"/>
                <w:szCs w:val="18"/>
                <w:color w:val="3F3F3F"/>
              </w:rPr>
              <w:t>Mallinckrodt</w:t>
            </w:r>
          </w:p>
        </w:tc>
      </w:tr>
      <w:tr>
        <w:trPr>
          <w:trHeight w:val="337"/>
        </w:trPr>
        <w:tc>
          <w:tcPr>
            <w:tcW w:w="4840" w:type="dxa"/>
            <w:vAlign w:val="bottom"/>
            <w:tcBorders>
              <w:left w:val="single" w:sz="8" w:color="BFBFBF"/>
              <w:right w:val="single" w:sz="8" w:color="BFBFBF"/>
            </w:tcBorders>
          </w:tcPr>
          <w:p>
            <w:pPr>
              <w:ind w:left="160"/>
              <w:spacing w:after="0"/>
              <w:rPr>
                <w:sz w:val="20"/>
                <w:szCs w:val="20"/>
                <w:color w:val="auto"/>
              </w:rPr>
            </w:pPr>
            <w:r>
              <w:rPr>
                <w:rFonts w:ascii="Arial" w:cs="Arial" w:eastAsia="Arial" w:hAnsi="Arial"/>
                <w:sz w:val="18"/>
                <w:szCs w:val="18"/>
                <w:color w:val="3F3F3F"/>
              </w:rPr>
              <w:t>Bruker Corporation</w:t>
            </w:r>
          </w:p>
        </w:tc>
        <w:tc>
          <w:tcPr>
            <w:tcW w:w="4440" w:type="dxa"/>
            <w:vAlign w:val="bottom"/>
            <w:tcBorders>
              <w:right w:val="single" w:sz="8" w:color="BFBFBF"/>
            </w:tcBorders>
          </w:tcPr>
          <w:p>
            <w:pPr>
              <w:ind w:left="80"/>
              <w:spacing w:after="0"/>
              <w:rPr>
                <w:sz w:val="20"/>
                <w:szCs w:val="20"/>
                <w:color w:val="auto"/>
              </w:rPr>
            </w:pPr>
            <w:r>
              <w:rPr>
                <w:rFonts w:ascii="Arial" w:cs="Arial" w:eastAsia="Arial" w:hAnsi="Arial"/>
                <w:sz w:val="18"/>
                <w:szCs w:val="18"/>
                <w:color w:val="3F3F3F"/>
              </w:rPr>
              <w:t>Repligen</w:t>
            </w:r>
          </w:p>
        </w:tc>
      </w:tr>
      <w:tr>
        <w:trPr>
          <w:trHeight w:val="338"/>
        </w:trPr>
        <w:tc>
          <w:tcPr>
            <w:tcW w:w="4840" w:type="dxa"/>
            <w:vAlign w:val="bottom"/>
            <w:tcBorders>
              <w:left w:val="single" w:sz="8" w:color="BFBFBF"/>
              <w:right w:val="single" w:sz="8" w:color="BFBFBF"/>
            </w:tcBorders>
          </w:tcPr>
          <w:p>
            <w:pPr>
              <w:ind w:left="160"/>
              <w:spacing w:after="0"/>
              <w:rPr>
                <w:sz w:val="20"/>
                <w:szCs w:val="20"/>
                <w:color w:val="auto"/>
              </w:rPr>
            </w:pPr>
            <w:r>
              <w:rPr>
                <w:rFonts w:ascii="Arial" w:cs="Arial" w:eastAsia="Arial" w:hAnsi="Arial"/>
                <w:sz w:val="18"/>
                <w:szCs w:val="18"/>
                <w:color w:val="3F3F3F"/>
              </w:rPr>
              <w:t>Emergent Biosolutions</w:t>
            </w:r>
          </w:p>
        </w:tc>
        <w:tc>
          <w:tcPr>
            <w:tcW w:w="4440" w:type="dxa"/>
            <w:vAlign w:val="bottom"/>
            <w:tcBorders>
              <w:right w:val="single" w:sz="8" w:color="BFBFBF"/>
            </w:tcBorders>
          </w:tcPr>
          <w:p>
            <w:pPr>
              <w:ind w:left="80"/>
              <w:spacing w:after="0"/>
              <w:rPr>
                <w:sz w:val="20"/>
                <w:szCs w:val="20"/>
                <w:color w:val="auto"/>
              </w:rPr>
            </w:pPr>
            <w:r>
              <w:rPr>
                <w:rFonts w:ascii="Arial" w:cs="Arial" w:eastAsia="Arial" w:hAnsi="Arial"/>
                <w:sz w:val="18"/>
                <w:szCs w:val="18"/>
                <w:color w:val="3F3F3F"/>
              </w:rPr>
              <w:t>Syneos Health, Inc.</w:t>
            </w:r>
          </w:p>
        </w:tc>
      </w:tr>
      <w:tr>
        <w:trPr>
          <w:trHeight w:val="338"/>
        </w:trPr>
        <w:tc>
          <w:tcPr>
            <w:tcW w:w="4840" w:type="dxa"/>
            <w:vAlign w:val="bottom"/>
            <w:tcBorders>
              <w:left w:val="single" w:sz="8" w:color="BFBFBF"/>
              <w:right w:val="single" w:sz="8" w:color="BFBFBF"/>
            </w:tcBorders>
          </w:tcPr>
          <w:p>
            <w:pPr>
              <w:ind w:left="160"/>
              <w:spacing w:after="0"/>
              <w:rPr>
                <w:sz w:val="20"/>
                <w:szCs w:val="20"/>
                <w:color w:val="auto"/>
              </w:rPr>
            </w:pPr>
            <w:r>
              <w:rPr>
                <w:rFonts w:ascii="Arial" w:cs="Arial" w:eastAsia="Arial" w:hAnsi="Arial"/>
                <w:sz w:val="18"/>
                <w:szCs w:val="18"/>
                <w:color w:val="3F3F3F"/>
              </w:rPr>
              <w:t>Endo International</w:t>
            </w:r>
          </w:p>
        </w:tc>
        <w:tc>
          <w:tcPr>
            <w:tcW w:w="4440" w:type="dxa"/>
            <w:vAlign w:val="bottom"/>
            <w:tcBorders>
              <w:right w:val="single" w:sz="8" w:color="BFBFBF"/>
            </w:tcBorders>
          </w:tcPr>
          <w:p>
            <w:pPr>
              <w:ind w:left="80"/>
              <w:spacing w:after="0"/>
              <w:rPr>
                <w:sz w:val="20"/>
                <w:szCs w:val="20"/>
                <w:color w:val="auto"/>
              </w:rPr>
            </w:pPr>
            <w:r>
              <w:rPr>
                <w:rFonts w:ascii="Arial" w:cs="Arial" w:eastAsia="Arial" w:hAnsi="Arial"/>
                <w:sz w:val="18"/>
                <w:szCs w:val="18"/>
                <w:color w:val="3F3F3F"/>
              </w:rPr>
              <w:t>United Therapeutics</w:t>
            </w:r>
          </w:p>
        </w:tc>
      </w:tr>
      <w:tr>
        <w:trPr>
          <w:trHeight w:val="338"/>
        </w:trPr>
        <w:tc>
          <w:tcPr>
            <w:tcW w:w="4840" w:type="dxa"/>
            <w:vAlign w:val="bottom"/>
            <w:tcBorders>
              <w:left w:val="single" w:sz="8" w:color="BFBFBF"/>
              <w:right w:val="single" w:sz="8" w:color="BFBFBF"/>
            </w:tcBorders>
          </w:tcPr>
          <w:p>
            <w:pPr>
              <w:ind w:left="160"/>
              <w:spacing w:after="0"/>
              <w:rPr>
                <w:sz w:val="20"/>
                <w:szCs w:val="20"/>
                <w:color w:val="auto"/>
              </w:rPr>
            </w:pPr>
            <w:r>
              <w:rPr>
                <w:rFonts w:ascii="Arial" w:cs="Arial" w:eastAsia="Arial" w:hAnsi="Arial"/>
                <w:sz w:val="18"/>
                <w:szCs w:val="18"/>
                <w:color w:val="3F3F3F"/>
              </w:rPr>
              <w:t>FibroGen, Inc.</w:t>
            </w:r>
          </w:p>
        </w:tc>
        <w:tc>
          <w:tcPr>
            <w:tcW w:w="4440" w:type="dxa"/>
            <w:vAlign w:val="bottom"/>
            <w:tcBorders>
              <w:right w:val="single" w:sz="8" w:color="BFBFBF"/>
            </w:tcBorders>
          </w:tcPr>
          <w:p>
            <w:pPr>
              <w:spacing w:after="0"/>
              <w:rPr>
                <w:sz w:val="24"/>
                <w:szCs w:val="24"/>
                <w:color w:val="auto"/>
              </w:rPr>
            </w:pPr>
          </w:p>
        </w:tc>
      </w:tr>
      <w:tr>
        <w:trPr>
          <w:trHeight w:val="158"/>
        </w:trPr>
        <w:tc>
          <w:tcPr>
            <w:tcW w:w="4840" w:type="dxa"/>
            <w:vAlign w:val="bottom"/>
            <w:tcBorders>
              <w:left w:val="single" w:sz="8" w:color="BFBFBF"/>
              <w:bottom w:val="single" w:sz="8" w:color="BFBFBF"/>
              <w:right w:val="single" w:sz="8" w:color="BFBFBF"/>
            </w:tcBorders>
          </w:tcPr>
          <w:p>
            <w:pPr>
              <w:spacing w:after="0"/>
              <w:rPr>
                <w:sz w:val="13"/>
                <w:szCs w:val="13"/>
                <w:color w:val="auto"/>
              </w:rPr>
            </w:pPr>
          </w:p>
        </w:tc>
        <w:tc>
          <w:tcPr>
            <w:tcW w:w="4440" w:type="dxa"/>
            <w:vAlign w:val="bottom"/>
            <w:tcBorders>
              <w:bottom w:val="single" w:sz="8" w:color="BFBFBF"/>
              <w:right w:val="single" w:sz="8" w:color="BFBFBF"/>
            </w:tcBorders>
          </w:tcPr>
          <w:p>
            <w:pPr>
              <w:spacing w:after="0"/>
              <w:rPr>
                <w:sz w:val="13"/>
                <w:szCs w:val="13"/>
                <w:color w:val="auto"/>
              </w:rPr>
            </w:pPr>
          </w:p>
        </w:tc>
      </w:tr>
    </w:tbl>
    <w:p>
      <w:pPr>
        <w:spacing w:after="0" w:line="19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3F3F3F"/>
        </w:rPr>
        <w:t>This peer group served as the primary market reference point and was supplemented with other market data and local peer data, where appropriate. For 2021 with the assistance of TCS, the Compensation Committee compared our performance, size and complexity of operations to those of the companies identified in the peer group set forth above. The Compensation Committee also compared the peer group’s current executive compensation and compensation mix (percent of base salary, short-term, and long-term incentive) to our current practices. TCS provided recommendations for adjustments based on current practices and policies within the peer group and trends within the industry. Noting that ICON plc acquired PRA Health Sciences, Inc. in 2021, we removed PRA from the peer group and added ICON. We also added four other companies (Bio-Techne Corporation, Bruker Corporation, Emergent Biosolutions, and Luminex Corporation) to the peer group for the purpose of improving the peer group’s representation of the market for talent as well as our current size and scope of operations. Like the Company, all four of these other companies added to the peer group provide services or products to support pharmaceutical research and development.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F3F3F"/>
        </w:rPr>
        <w:t>31</w:t>
      </w:r>
    </w:p>
    <w:p>
      <w:pPr>
        <w:sectPr>
          <w:pgSz w:w="11900" w:h="16838" w:orient="portrait"/>
          <w:cols w:equalWidth="0" w:num="1">
            <w:col w:w="11100"/>
          </w:cols>
          <w:pgMar w:left="320" w:top="455" w:right="4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EXECUTIVE COMPENSATION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3F3F3F"/>
        </w:rPr>
        <w:t>Principal Elements of Executive Compensation</w:t>
      </w:r>
    </w:p>
    <w:p>
      <w:pPr>
        <w:spacing w:after="0" w:line="102"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3F3F3F"/>
        </w:rPr>
        <w:t>Our executive compensation program consists of a mix of fixed and variable pay elements, with the latter tied to both short- and long-term Company success. Performance-based pay elements are linked to goals that we believe will deliver both year-to-year and long-term increases in stockholder value. The elements of total direct executive compensation include:</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2020" w:type="dxa"/>
            <w:vAlign w:val="bottom"/>
            <w:tcBorders>
              <w:bottom w:val="single" w:sz="8" w:color="83BA90"/>
            </w:tcBorders>
          </w:tcPr>
          <w:p>
            <w:pPr>
              <w:ind w:left="100"/>
              <w:spacing w:after="0"/>
              <w:rPr>
                <w:sz w:val="20"/>
                <w:szCs w:val="20"/>
                <w:color w:val="auto"/>
              </w:rPr>
            </w:pPr>
            <w:r>
              <w:rPr>
                <w:rFonts w:ascii="Arial" w:cs="Arial" w:eastAsia="Arial" w:hAnsi="Arial"/>
                <w:sz w:val="18"/>
                <w:szCs w:val="18"/>
                <w:b w:val="1"/>
                <w:bCs w:val="1"/>
                <w:color w:val="006098"/>
              </w:rPr>
              <w:t>Element</w:t>
            </w:r>
          </w:p>
        </w:tc>
        <w:tc>
          <w:tcPr>
            <w:tcW w:w="940" w:type="dxa"/>
            <w:vAlign w:val="bottom"/>
            <w:tcBorders>
              <w:bottom w:val="single" w:sz="8" w:color="83BA90"/>
            </w:tcBorders>
          </w:tcPr>
          <w:p>
            <w:pPr>
              <w:ind w:left="320"/>
              <w:spacing w:after="0"/>
              <w:rPr>
                <w:sz w:val="20"/>
                <w:szCs w:val="20"/>
                <w:color w:val="auto"/>
              </w:rPr>
            </w:pPr>
            <w:r>
              <w:rPr>
                <w:rFonts w:ascii="Arial" w:cs="Arial" w:eastAsia="Arial" w:hAnsi="Arial"/>
                <w:sz w:val="18"/>
                <w:szCs w:val="18"/>
                <w:b w:val="1"/>
                <w:bCs w:val="1"/>
                <w:color w:val="006098"/>
              </w:rPr>
              <w:t>Form</w:t>
            </w:r>
          </w:p>
        </w:tc>
        <w:tc>
          <w:tcPr>
            <w:tcW w:w="8060" w:type="dxa"/>
            <w:vAlign w:val="bottom"/>
            <w:tcBorders>
              <w:bottom w:val="single" w:sz="8" w:color="83BA90"/>
            </w:tcBorders>
          </w:tcPr>
          <w:p>
            <w:pPr>
              <w:ind w:left="120"/>
              <w:spacing w:after="0"/>
              <w:rPr>
                <w:sz w:val="20"/>
                <w:szCs w:val="20"/>
                <w:color w:val="auto"/>
              </w:rPr>
            </w:pPr>
            <w:r>
              <w:rPr>
                <w:rFonts w:ascii="Arial" w:cs="Arial" w:eastAsia="Arial" w:hAnsi="Arial"/>
                <w:sz w:val="18"/>
                <w:szCs w:val="18"/>
                <w:b w:val="1"/>
                <w:bCs w:val="1"/>
                <w:color w:val="006098"/>
              </w:rPr>
              <w:t>Description</w:t>
            </w:r>
          </w:p>
        </w:tc>
        <w:tc>
          <w:tcPr>
            <w:tcW w:w="0" w:type="dxa"/>
            <w:vAlign w:val="bottom"/>
          </w:tcPr>
          <w:p>
            <w:pPr>
              <w:spacing w:after="0"/>
              <w:rPr>
                <w:sz w:val="1"/>
                <w:szCs w:val="1"/>
                <w:color w:val="auto"/>
              </w:rPr>
            </w:pPr>
          </w:p>
        </w:tc>
      </w:tr>
      <w:tr>
        <w:trPr>
          <w:trHeight w:val="243"/>
        </w:trPr>
        <w:tc>
          <w:tcPr>
            <w:tcW w:w="2020" w:type="dxa"/>
            <w:vAlign w:val="bottom"/>
            <w:tcBorders>
              <w:bottom w:val="single" w:sz="8" w:color="BFBFBF"/>
            </w:tcBorders>
          </w:tcPr>
          <w:p>
            <w:pPr>
              <w:ind w:left="60"/>
              <w:spacing w:after="0"/>
              <w:rPr>
                <w:sz w:val="20"/>
                <w:szCs w:val="20"/>
                <w:color w:val="auto"/>
              </w:rPr>
            </w:pPr>
            <w:r>
              <w:rPr>
                <w:rFonts w:ascii="Arial" w:cs="Arial" w:eastAsia="Arial" w:hAnsi="Arial"/>
                <w:sz w:val="18"/>
                <w:szCs w:val="18"/>
                <w:color w:val="3F3F3F"/>
              </w:rPr>
              <w:t>Base Salary</w:t>
            </w:r>
          </w:p>
        </w:tc>
        <w:tc>
          <w:tcPr>
            <w:tcW w:w="940" w:type="dxa"/>
            <w:vAlign w:val="bottom"/>
            <w:tcBorders>
              <w:bottom w:val="single" w:sz="8" w:color="BFBFBF"/>
            </w:tcBorders>
          </w:tcPr>
          <w:p>
            <w:pPr>
              <w:ind w:left="320"/>
              <w:spacing w:after="0"/>
              <w:rPr>
                <w:sz w:val="20"/>
                <w:szCs w:val="20"/>
                <w:color w:val="auto"/>
              </w:rPr>
            </w:pPr>
            <w:r>
              <w:rPr>
                <w:rFonts w:ascii="Arial" w:cs="Arial" w:eastAsia="Arial" w:hAnsi="Arial"/>
                <w:sz w:val="18"/>
                <w:szCs w:val="18"/>
                <w:color w:val="3F3F3F"/>
              </w:rPr>
              <w:t>Cash</w:t>
            </w:r>
          </w:p>
        </w:tc>
        <w:tc>
          <w:tcPr>
            <w:tcW w:w="8060" w:type="dxa"/>
            <w:vAlign w:val="bottom"/>
            <w:tcBorders>
              <w:bottom w:val="single" w:sz="8" w:color="BFBFBF"/>
            </w:tcBorders>
          </w:tcPr>
          <w:p>
            <w:pPr>
              <w:ind w:left="120"/>
              <w:spacing w:after="0"/>
              <w:rPr>
                <w:sz w:val="20"/>
                <w:szCs w:val="20"/>
                <w:color w:val="auto"/>
              </w:rPr>
            </w:pPr>
            <w:r>
              <w:rPr>
                <w:rFonts w:ascii="Arial" w:cs="Arial" w:eastAsia="Arial" w:hAnsi="Arial"/>
                <w:sz w:val="18"/>
                <w:szCs w:val="18"/>
                <w:color w:val="3F3F3F"/>
              </w:rPr>
              <w:t>Fixed amount to attract and retain top talent</w:t>
            </w:r>
          </w:p>
        </w:tc>
        <w:tc>
          <w:tcPr>
            <w:tcW w:w="0" w:type="dxa"/>
            <w:vAlign w:val="bottom"/>
          </w:tcPr>
          <w:p>
            <w:pPr>
              <w:spacing w:after="0"/>
              <w:rPr>
                <w:sz w:val="1"/>
                <w:szCs w:val="1"/>
                <w:color w:val="auto"/>
              </w:rPr>
            </w:pPr>
          </w:p>
        </w:tc>
      </w:tr>
      <w:tr>
        <w:trPr>
          <w:trHeight w:val="184"/>
        </w:trPr>
        <w:tc>
          <w:tcPr>
            <w:tcW w:w="2020" w:type="dxa"/>
            <w:vAlign w:val="bottom"/>
          </w:tcPr>
          <w:p>
            <w:pPr>
              <w:ind w:left="60"/>
              <w:spacing w:after="0" w:line="183" w:lineRule="exact"/>
              <w:rPr>
                <w:sz w:val="20"/>
                <w:szCs w:val="20"/>
                <w:color w:val="auto"/>
              </w:rPr>
            </w:pPr>
            <w:r>
              <w:rPr>
                <w:rFonts w:ascii="Arial" w:cs="Arial" w:eastAsia="Arial" w:hAnsi="Arial"/>
                <w:sz w:val="18"/>
                <w:szCs w:val="18"/>
                <w:color w:val="3F3F3F"/>
              </w:rPr>
              <w:t>Annual Cash Bonus</w:t>
            </w:r>
          </w:p>
        </w:tc>
        <w:tc>
          <w:tcPr>
            <w:tcW w:w="940" w:type="dxa"/>
            <w:vAlign w:val="bottom"/>
            <w:vMerge w:val="restart"/>
          </w:tcPr>
          <w:p>
            <w:pPr>
              <w:ind w:left="320"/>
              <w:spacing w:after="0"/>
              <w:rPr>
                <w:sz w:val="20"/>
                <w:szCs w:val="20"/>
                <w:color w:val="auto"/>
              </w:rPr>
            </w:pPr>
            <w:r>
              <w:rPr>
                <w:rFonts w:ascii="Arial" w:cs="Arial" w:eastAsia="Arial" w:hAnsi="Arial"/>
                <w:sz w:val="18"/>
                <w:szCs w:val="18"/>
                <w:color w:val="3F3F3F"/>
              </w:rPr>
              <w:t>Cash</w:t>
            </w:r>
          </w:p>
        </w:tc>
        <w:tc>
          <w:tcPr>
            <w:tcW w:w="8060" w:type="dxa"/>
            <w:vAlign w:val="bottom"/>
          </w:tcPr>
          <w:p>
            <w:pPr>
              <w:ind w:left="120"/>
              <w:spacing w:after="0" w:line="183" w:lineRule="exact"/>
              <w:rPr>
                <w:sz w:val="20"/>
                <w:szCs w:val="20"/>
                <w:color w:val="auto"/>
              </w:rPr>
            </w:pPr>
            <w:r>
              <w:rPr>
                <w:rFonts w:ascii="Arial" w:cs="Arial" w:eastAsia="Arial" w:hAnsi="Arial"/>
                <w:sz w:val="18"/>
                <w:szCs w:val="18"/>
                <w:color w:val="3F3F3F"/>
              </w:rPr>
              <w:t>At-risk variable incentive compensation used to reward strong Company and individual</w:t>
            </w:r>
          </w:p>
        </w:tc>
        <w:tc>
          <w:tcPr>
            <w:tcW w:w="0" w:type="dxa"/>
            <w:vAlign w:val="bottom"/>
          </w:tcPr>
          <w:p>
            <w:pPr>
              <w:spacing w:after="0"/>
              <w:rPr>
                <w:sz w:val="1"/>
                <w:szCs w:val="1"/>
                <w:color w:val="auto"/>
              </w:rPr>
            </w:pPr>
          </w:p>
        </w:tc>
      </w:tr>
      <w:tr>
        <w:trPr>
          <w:trHeight w:val="158"/>
        </w:trPr>
        <w:tc>
          <w:tcPr>
            <w:tcW w:w="20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60" w:type="dxa"/>
            <w:vAlign w:val="bottom"/>
            <w:vMerge w:val="restart"/>
          </w:tcPr>
          <w:p>
            <w:pPr>
              <w:ind w:left="120"/>
              <w:spacing w:after="0"/>
              <w:rPr>
                <w:sz w:val="20"/>
                <w:szCs w:val="20"/>
                <w:color w:val="auto"/>
              </w:rPr>
            </w:pPr>
            <w:r>
              <w:rPr>
                <w:rFonts w:ascii="Arial" w:cs="Arial" w:eastAsia="Arial" w:hAnsi="Arial"/>
                <w:sz w:val="18"/>
                <w:szCs w:val="18"/>
                <w:color w:val="3F3F3F"/>
              </w:rPr>
              <w:t>performance against important annual goals</w:t>
            </w:r>
          </w:p>
        </w:tc>
        <w:tc>
          <w:tcPr>
            <w:tcW w:w="0" w:type="dxa"/>
            <w:vAlign w:val="bottom"/>
          </w:tcPr>
          <w:p>
            <w:pPr>
              <w:spacing w:after="0"/>
              <w:rPr>
                <w:sz w:val="1"/>
                <w:szCs w:val="1"/>
                <w:color w:val="auto"/>
              </w:rPr>
            </w:pPr>
          </w:p>
        </w:tc>
      </w:tr>
      <w:tr>
        <w:trPr>
          <w:trHeight w:val="81"/>
        </w:trPr>
        <w:tc>
          <w:tcPr>
            <w:tcW w:w="20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020" w:type="dxa"/>
            <w:vAlign w:val="bottom"/>
            <w:tcBorders>
              <w:bottom w:val="single" w:sz="8" w:color="BFBFBF"/>
            </w:tcBorders>
          </w:tcPr>
          <w:p>
            <w:pPr>
              <w:spacing w:after="0"/>
              <w:rPr>
                <w:sz w:val="3"/>
                <w:szCs w:val="3"/>
                <w:color w:val="auto"/>
              </w:rPr>
            </w:pPr>
          </w:p>
        </w:tc>
        <w:tc>
          <w:tcPr>
            <w:tcW w:w="940" w:type="dxa"/>
            <w:vAlign w:val="bottom"/>
            <w:tcBorders>
              <w:bottom w:val="single" w:sz="8" w:color="BFBFBF"/>
            </w:tcBorders>
          </w:tcPr>
          <w:p>
            <w:pPr>
              <w:spacing w:after="0"/>
              <w:rPr>
                <w:sz w:val="3"/>
                <w:szCs w:val="3"/>
                <w:color w:val="auto"/>
              </w:rPr>
            </w:pPr>
          </w:p>
        </w:tc>
        <w:tc>
          <w:tcPr>
            <w:tcW w:w="806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20" w:type="dxa"/>
            <w:vAlign w:val="bottom"/>
          </w:tcPr>
          <w:p>
            <w:pPr>
              <w:ind w:left="60"/>
              <w:spacing w:after="0" w:line="177" w:lineRule="exact"/>
              <w:rPr>
                <w:sz w:val="20"/>
                <w:szCs w:val="20"/>
                <w:color w:val="auto"/>
              </w:rPr>
            </w:pPr>
            <w:r>
              <w:rPr>
                <w:rFonts w:ascii="Arial" w:cs="Arial" w:eastAsia="Arial" w:hAnsi="Arial"/>
                <w:sz w:val="18"/>
                <w:szCs w:val="18"/>
                <w:color w:val="3F3F3F"/>
              </w:rPr>
              <w:t>Long-Term Incentive</w:t>
            </w:r>
          </w:p>
        </w:tc>
        <w:tc>
          <w:tcPr>
            <w:tcW w:w="940" w:type="dxa"/>
            <w:vAlign w:val="bottom"/>
            <w:vMerge w:val="restart"/>
          </w:tcPr>
          <w:p>
            <w:pPr>
              <w:ind w:left="320"/>
              <w:spacing w:after="0"/>
              <w:rPr>
                <w:sz w:val="20"/>
                <w:szCs w:val="20"/>
                <w:color w:val="auto"/>
              </w:rPr>
            </w:pPr>
            <w:r>
              <w:rPr>
                <w:rFonts w:ascii="Arial" w:cs="Arial" w:eastAsia="Arial" w:hAnsi="Arial"/>
                <w:sz w:val="18"/>
                <w:szCs w:val="18"/>
                <w:color w:val="3F3F3F"/>
              </w:rPr>
              <w:t>Equity</w:t>
            </w:r>
          </w:p>
        </w:tc>
        <w:tc>
          <w:tcPr>
            <w:tcW w:w="8060" w:type="dxa"/>
            <w:vAlign w:val="bottom"/>
          </w:tcPr>
          <w:p>
            <w:pPr>
              <w:ind w:left="120"/>
              <w:spacing w:after="0" w:line="177" w:lineRule="exact"/>
              <w:rPr>
                <w:sz w:val="20"/>
                <w:szCs w:val="20"/>
                <w:color w:val="auto"/>
              </w:rPr>
            </w:pPr>
            <w:r>
              <w:rPr>
                <w:rFonts w:ascii="Arial" w:cs="Arial" w:eastAsia="Arial" w:hAnsi="Arial"/>
                <w:sz w:val="18"/>
                <w:szCs w:val="18"/>
                <w:color w:val="3F3F3F"/>
              </w:rPr>
              <w:t>Variable incentive compensation that promotes long-term performance, supports retention, and</w:t>
            </w:r>
          </w:p>
        </w:tc>
        <w:tc>
          <w:tcPr>
            <w:tcW w:w="0" w:type="dxa"/>
            <w:vAlign w:val="bottom"/>
          </w:tcPr>
          <w:p>
            <w:pPr>
              <w:spacing w:after="0"/>
              <w:rPr>
                <w:sz w:val="1"/>
                <w:szCs w:val="1"/>
                <w:color w:val="auto"/>
              </w:rPr>
            </w:pPr>
          </w:p>
        </w:tc>
      </w:tr>
      <w:tr>
        <w:trPr>
          <w:trHeight w:val="158"/>
        </w:trPr>
        <w:tc>
          <w:tcPr>
            <w:tcW w:w="2020" w:type="dxa"/>
            <w:vAlign w:val="bottom"/>
            <w:vMerge w:val="restart"/>
          </w:tcPr>
          <w:p>
            <w:pPr>
              <w:ind w:left="60"/>
              <w:spacing w:after="0"/>
              <w:rPr>
                <w:sz w:val="20"/>
                <w:szCs w:val="20"/>
                <w:color w:val="auto"/>
              </w:rPr>
            </w:pPr>
            <w:r>
              <w:rPr>
                <w:rFonts w:ascii="Arial" w:cs="Arial" w:eastAsia="Arial" w:hAnsi="Arial"/>
                <w:sz w:val="18"/>
                <w:szCs w:val="18"/>
                <w:color w:val="3F3F3F"/>
              </w:rPr>
              <w:t>Awards</w:t>
            </w:r>
          </w:p>
        </w:tc>
        <w:tc>
          <w:tcPr>
            <w:tcW w:w="940" w:type="dxa"/>
            <w:vAlign w:val="bottom"/>
            <w:vMerge w:val="continue"/>
          </w:tcPr>
          <w:p>
            <w:pPr>
              <w:spacing w:after="0"/>
              <w:rPr>
                <w:sz w:val="13"/>
                <w:szCs w:val="13"/>
                <w:color w:val="auto"/>
              </w:rPr>
            </w:pPr>
          </w:p>
        </w:tc>
        <w:tc>
          <w:tcPr>
            <w:tcW w:w="8060" w:type="dxa"/>
            <w:vAlign w:val="bottom"/>
            <w:vMerge w:val="restart"/>
          </w:tcPr>
          <w:p>
            <w:pPr>
              <w:ind w:left="120"/>
              <w:spacing w:after="0"/>
              <w:rPr>
                <w:sz w:val="20"/>
                <w:szCs w:val="20"/>
                <w:color w:val="auto"/>
              </w:rPr>
            </w:pPr>
            <w:r>
              <w:rPr>
                <w:rFonts w:ascii="Arial" w:cs="Arial" w:eastAsia="Arial" w:hAnsi="Arial"/>
                <w:sz w:val="18"/>
                <w:szCs w:val="18"/>
                <w:color w:val="3F3F3F"/>
              </w:rPr>
              <w:t>strengthens stockholder alignment</w:t>
            </w:r>
          </w:p>
        </w:tc>
        <w:tc>
          <w:tcPr>
            <w:tcW w:w="0" w:type="dxa"/>
            <w:vAlign w:val="bottom"/>
          </w:tcPr>
          <w:p>
            <w:pPr>
              <w:spacing w:after="0"/>
              <w:rPr>
                <w:sz w:val="1"/>
                <w:szCs w:val="1"/>
                <w:color w:val="auto"/>
              </w:rPr>
            </w:pPr>
          </w:p>
        </w:tc>
      </w:tr>
      <w:tr>
        <w:trPr>
          <w:trHeight w:val="81"/>
        </w:trPr>
        <w:tc>
          <w:tcPr>
            <w:tcW w:w="20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020" w:type="dxa"/>
            <w:vAlign w:val="bottom"/>
            <w:tcBorders>
              <w:bottom w:val="single" w:sz="8" w:color="BFBFBF"/>
            </w:tcBorders>
          </w:tcPr>
          <w:p>
            <w:pPr>
              <w:spacing w:after="0"/>
              <w:rPr>
                <w:sz w:val="3"/>
                <w:szCs w:val="3"/>
                <w:color w:val="auto"/>
              </w:rPr>
            </w:pPr>
          </w:p>
        </w:tc>
        <w:tc>
          <w:tcPr>
            <w:tcW w:w="940" w:type="dxa"/>
            <w:vAlign w:val="bottom"/>
            <w:tcBorders>
              <w:bottom w:val="single" w:sz="8" w:color="BFBFBF"/>
            </w:tcBorders>
          </w:tcPr>
          <w:p>
            <w:pPr>
              <w:spacing w:after="0"/>
              <w:rPr>
                <w:sz w:val="3"/>
                <w:szCs w:val="3"/>
                <w:color w:val="auto"/>
              </w:rPr>
            </w:pPr>
          </w:p>
        </w:tc>
        <w:tc>
          <w:tcPr>
            <w:tcW w:w="806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098"/>
        </w:rPr>
        <w:t>Fiscal 2021 Compensation Program in Detail</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3F3F3F"/>
        </w:rPr>
        <w:t>Base Salaries</w:t>
      </w:r>
    </w:p>
    <w:p>
      <w:pPr>
        <w:spacing w:after="0" w:line="102"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color w:val="3F3F3F"/>
        </w:rPr>
        <w:t>We attempt to set base salaries that are competitive in the marketplace and reflect each individual’s duties, responsibilities, experience and performance. Base salaries are reviewed annually and may be adjusted periodically to account for inflation, market movement, promotions, increased responsibility and performance. We do not provide automatic salary increases.</w:t>
      </w:r>
    </w:p>
    <w:p>
      <w:pPr>
        <w:spacing w:after="0" w:line="169"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3F3F3F"/>
        </w:rPr>
        <w:t>Our general philosophy is to work towards the market 25th percentile for base salary, with divergence as needed to reflect individual circumstances. The Compensation Committee established the following base salaries for the NEOs: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3440" w:type="dxa"/>
            <w:vAlign w:val="bottom"/>
          </w:tcPr>
          <w:p>
            <w:pPr>
              <w:jc w:val="center"/>
              <w:ind w:left="550"/>
              <w:spacing w:after="0"/>
              <w:rPr>
                <w:sz w:val="20"/>
                <w:szCs w:val="20"/>
                <w:color w:val="auto"/>
              </w:rPr>
            </w:pPr>
            <w:r>
              <w:rPr>
                <w:rFonts w:ascii="Arial" w:cs="Arial" w:eastAsia="Arial" w:hAnsi="Arial"/>
                <w:sz w:val="18"/>
                <w:szCs w:val="18"/>
                <w:b w:val="1"/>
                <w:bCs w:val="1"/>
                <w:color w:val="006098"/>
                <w:w w:val="99"/>
              </w:rPr>
              <w:t>Annual Base Salary at</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006098"/>
              </w:rPr>
              <w:t>Annual Base Salary at</w:t>
            </w:r>
          </w:p>
        </w:tc>
        <w:tc>
          <w:tcPr>
            <w:tcW w:w="2180" w:type="dxa"/>
            <w:vAlign w:val="bottom"/>
          </w:tcPr>
          <w:p>
            <w:pPr>
              <w:spacing w:after="0"/>
              <w:rPr>
                <w:sz w:val="17"/>
                <w:szCs w:val="17"/>
                <w:color w:val="auto"/>
              </w:rPr>
            </w:pPr>
          </w:p>
        </w:tc>
      </w:tr>
      <w:tr>
        <w:trPr>
          <w:trHeight w:val="235"/>
        </w:trPr>
        <w:tc>
          <w:tcPr>
            <w:tcW w:w="2640" w:type="dxa"/>
            <w:vAlign w:val="bottom"/>
            <w:tcBorders>
              <w:bottom w:val="single" w:sz="8" w:color="83BA90"/>
            </w:tcBorders>
          </w:tcPr>
          <w:p>
            <w:pPr>
              <w:ind w:left="80"/>
              <w:spacing w:after="0"/>
              <w:rPr>
                <w:sz w:val="20"/>
                <w:szCs w:val="20"/>
                <w:color w:val="auto"/>
              </w:rPr>
            </w:pPr>
            <w:r>
              <w:rPr>
                <w:rFonts w:ascii="Arial" w:cs="Arial" w:eastAsia="Arial" w:hAnsi="Arial"/>
                <w:sz w:val="18"/>
                <w:szCs w:val="18"/>
                <w:b w:val="1"/>
                <w:bCs w:val="1"/>
                <w:color w:val="006098"/>
              </w:rPr>
              <w:t>Executive</w:t>
            </w:r>
          </w:p>
        </w:tc>
        <w:tc>
          <w:tcPr>
            <w:tcW w:w="3440" w:type="dxa"/>
            <w:vAlign w:val="bottom"/>
            <w:tcBorders>
              <w:bottom w:val="single" w:sz="8" w:color="83BA90"/>
            </w:tcBorders>
          </w:tcPr>
          <w:p>
            <w:pPr>
              <w:jc w:val="center"/>
              <w:ind w:left="570"/>
              <w:spacing w:after="0"/>
              <w:rPr>
                <w:sz w:val="20"/>
                <w:szCs w:val="20"/>
                <w:color w:val="auto"/>
              </w:rPr>
            </w:pPr>
            <w:r>
              <w:rPr>
                <w:rFonts w:ascii="Arial" w:cs="Arial" w:eastAsia="Arial" w:hAnsi="Arial"/>
                <w:sz w:val="18"/>
                <w:szCs w:val="18"/>
                <w:b w:val="1"/>
                <w:bCs w:val="1"/>
                <w:color w:val="006098"/>
                <w:w w:val="99"/>
              </w:rPr>
              <w:t>December 31, 2020</w:t>
            </w:r>
          </w:p>
        </w:tc>
        <w:tc>
          <w:tcPr>
            <w:tcW w:w="2760" w:type="dxa"/>
            <w:vAlign w:val="bottom"/>
            <w:tcBorders>
              <w:bottom w:val="single" w:sz="8" w:color="83BA90"/>
            </w:tcBorders>
          </w:tcPr>
          <w:p>
            <w:pPr>
              <w:jc w:val="center"/>
              <w:spacing w:after="0"/>
              <w:rPr>
                <w:sz w:val="20"/>
                <w:szCs w:val="20"/>
                <w:color w:val="auto"/>
              </w:rPr>
            </w:pPr>
            <w:r>
              <w:rPr>
                <w:rFonts w:ascii="Arial" w:cs="Arial" w:eastAsia="Arial" w:hAnsi="Arial"/>
                <w:sz w:val="18"/>
                <w:szCs w:val="18"/>
                <w:b w:val="1"/>
                <w:bCs w:val="1"/>
                <w:color w:val="006098"/>
                <w:w w:val="99"/>
              </w:rPr>
              <w:t>December 31, 2021</w:t>
            </w:r>
          </w:p>
        </w:tc>
        <w:tc>
          <w:tcPr>
            <w:tcW w:w="2180" w:type="dxa"/>
            <w:vAlign w:val="bottom"/>
            <w:tcBorders>
              <w:bottom w:val="single" w:sz="8" w:color="83BA90"/>
            </w:tcBorders>
          </w:tcPr>
          <w:p>
            <w:pPr>
              <w:ind w:left="420"/>
              <w:spacing w:after="0"/>
              <w:rPr>
                <w:sz w:val="20"/>
                <w:szCs w:val="20"/>
                <w:color w:val="auto"/>
              </w:rPr>
            </w:pPr>
            <w:r>
              <w:rPr>
                <w:rFonts w:ascii="Arial" w:cs="Arial" w:eastAsia="Arial" w:hAnsi="Arial"/>
                <w:sz w:val="18"/>
                <w:szCs w:val="18"/>
                <w:b w:val="1"/>
                <w:bCs w:val="1"/>
                <w:color w:val="006098"/>
              </w:rPr>
              <w:t>Percent Increase</w:t>
            </w:r>
          </w:p>
        </w:tc>
      </w:tr>
      <w:tr>
        <w:trPr>
          <w:trHeight w:val="196"/>
        </w:trPr>
        <w:tc>
          <w:tcPr>
            <w:tcW w:w="2640" w:type="dxa"/>
            <w:vAlign w:val="bottom"/>
            <w:tcBorders>
              <w:bottom w:val="single" w:sz="8" w:color="BFBFBF"/>
            </w:tcBorders>
          </w:tcPr>
          <w:p>
            <w:pPr>
              <w:ind w:left="40"/>
              <w:spacing w:after="0" w:line="196" w:lineRule="exact"/>
              <w:rPr>
                <w:sz w:val="20"/>
                <w:szCs w:val="20"/>
                <w:color w:val="auto"/>
              </w:rPr>
            </w:pPr>
            <w:r>
              <w:rPr>
                <w:rFonts w:ascii="Arial" w:cs="Arial" w:eastAsia="Arial" w:hAnsi="Arial"/>
                <w:sz w:val="18"/>
                <w:szCs w:val="18"/>
                <w:color w:val="006098"/>
              </w:rPr>
              <w:t>August J. Troendle</w:t>
            </w:r>
          </w:p>
        </w:tc>
        <w:tc>
          <w:tcPr>
            <w:tcW w:w="3440" w:type="dxa"/>
            <w:vAlign w:val="bottom"/>
            <w:tcBorders>
              <w:bottom w:val="single" w:sz="8" w:color="BFBFBF"/>
            </w:tcBorders>
          </w:tcPr>
          <w:p>
            <w:pPr>
              <w:jc w:val="center"/>
              <w:ind w:left="550"/>
              <w:spacing w:after="0" w:line="196" w:lineRule="exact"/>
              <w:rPr>
                <w:sz w:val="20"/>
                <w:szCs w:val="20"/>
                <w:color w:val="auto"/>
              </w:rPr>
            </w:pPr>
            <w:r>
              <w:rPr>
                <w:rFonts w:ascii="Arial" w:cs="Arial" w:eastAsia="Arial" w:hAnsi="Arial"/>
                <w:sz w:val="18"/>
                <w:szCs w:val="18"/>
                <w:color w:val="3F3F3F"/>
              </w:rPr>
              <w:t>$625,000</w:t>
            </w:r>
          </w:p>
        </w:tc>
        <w:tc>
          <w:tcPr>
            <w:tcW w:w="2760" w:type="dxa"/>
            <w:vAlign w:val="bottom"/>
            <w:tcBorders>
              <w:bottom w:val="single" w:sz="8" w:color="BFBFBF"/>
            </w:tcBorders>
          </w:tcPr>
          <w:p>
            <w:pPr>
              <w:jc w:val="center"/>
              <w:spacing w:after="0" w:line="196" w:lineRule="exact"/>
              <w:rPr>
                <w:sz w:val="20"/>
                <w:szCs w:val="20"/>
                <w:color w:val="auto"/>
              </w:rPr>
            </w:pPr>
            <w:r>
              <w:rPr>
                <w:rFonts w:ascii="Arial" w:cs="Arial" w:eastAsia="Arial" w:hAnsi="Arial"/>
                <w:sz w:val="18"/>
                <w:szCs w:val="18"/>
                <w:color w:val="3F3F3F"/>
                <w:w w:val="98"/>
              </w:rPr>
              <w:t>$711,000</w:t>
            </w:r>
          </w:p>
        </w:tc>
        <w:tc>
          <w:tcPr>
            <w:tcW w:w="2180" w:type="dxa"/>
            <w:vAlign w:val="bottom"/>
            <w:tcBorders>
              <w:bottom w:val="single" w:sz="8" w:color="BFBFBF"/>
            </w:tcBorders>
          </w:tcPr>
          <w:p>
            <w:pPr>
              <w:jc w:val="center"/>
              <w:ind w:left="10"/>
              <w:spacing w:after="0" w:line="196" w:lineRule="exact"/>
              <w:rPr>
                <w:sz w:val="20"/>
                <w:szCs w:val="20"/>
                <w:color w:val="auto"/>
              </w:rPr>
            </w:pPr>
            <w:r>
              <w:rPr>
                <w:rFonts w:ascii="Arial" w:cs="Arial" w:eastAsia="Arial" w:hAnsi="Arial"/>
                <w:sz w:val="18"/>
                <w:szCs w:val="18"/>
                <w:color w:val="3F3F3F"/>
              </w:rPr>
              <w:t>13.8%</w:t>
            </w:r>
          </w:p>
        </w:tc>
      </w:tr>
      <w:tr>
        <w:trPr>
          <w:trHeight w:val="196"/>
        </w:trPr>
        <w:tc>
          <w:tcPr>
            <w:tcW w:w="2640" w:type="dxa"/>
            <w:vAlign w:val="bottom"/>
            <w:tcBorders>
              <w:bottom w:val="single" w:sz="8" w:color="BFBFBF"/>
            </w:tcBorders>
          </w:tcPr>
          <w:p>
            <w:pPr>
              <w:ind w:left="40"/>
              <w:spacing w:after="0" w:line="196" w:lineRule="exact"/>
              <w:rPr>
                <w:sz w:val="20"/>
                <w:szCs w:val="20"/>
                <w:color w:val="auto"/>
              </w:rPr>
            </w:pPr>
            <w:r>
              <w:rPr>
                <w:rFonts w:ascii="Arial" w:cs="Arial" w:eastAsia="Arial" w:hAnsi="Arial"/>
                <w:sz w:val="18"/>
                <w:szCs w:val="18"/>
                <w:color w:val="006098"/>
              </w:rPr>
              <w:t>Kevin M. Brady</w:t>
            </w:r>
          </w:p>
        </w:tc>
        <w:tc>
          <w:tcPr>
            <w:tcW w:w="3440" w:type="dxa"/>
            <w:vAlign w:val="bottom"/>
            <w:tcBorders>
              <w:bottom w:val="single" w:sz="8" w:color="BFBFBF"/>
            </w:tcBorders>
          </w:tcPr>
          <w:p>
            <w:pPr>
              <w:jc w:val="center"/>
              <w:ind w:left="570"/>
              <w:spacing w:after="0" w:line="196" w:lineRule="exact"/>
              <w:rPr>
                <w:sz w:val="20"/>
                <w:szCs w:val="20"/>
                <w:color w:val="auto"/>
              </w:rPr>
            </w:pPr>
            <w:r>
              <w:rPr>
                <w:rFonts w:ascii="Arial" w:cs="Arial" w:eastAsia="Arial" w:hAnsi="Arial"/>
                <w:sz w:val="18"/>
                <w:szCs w:val="18"/>
                <w:color w:val="3F3F3F"/>
                <w:w w:val="99"/>
              </w:rPr>
              <w:t>—</w:t>
            </w:r>
          </w:p>
        </w:tc>
        <w:tc>
          <w:tcPr>
            <w:tcW w:w="2760" w:type="dxa"/>
            <w:vAlign w:val="bottom"/>
            <w:tcBorders>
              <w:bottom w:val="single" w:sz="8" w:color="BFBFBF"/>
            </w:tcBorders>
          </w:tcPr>
          <w:p>
            <w:pPr>
              <w:jc w:val="center"/>
              <w:spacing w:after="0" w:line="196" w:lineRule="exact"/>
              <w:rPr>
                <w:sz w:val="20"/>
                <w:szCs w:val="20"/>
                <w:color w:val="auto"/>
              </w:rPr>
            </w:pPr>
            <w:r>
              <w:rPr>
                <w:rFonts w:ascii="Arial" w:cs="Arial" w:eastAsia="Arial" w:hAnsi="Arial"/>
                <w:sz w:val="18"/>
                <w:szCs w:val="18"/>
                <w:color w:val="3F3F3F"/>
                <w:w w:val="98"/>
              </w:rPr>
              <w:t>$340,000</w:t>
            </w:r>
          </w:p>
        </w:tc>
        <w:tc>
          <w:tcPr>
            <w:tcW w:w="2180" w:type="dxa"/>
            <w:vAlign w:val="bottom"/>
            <w:tcBorders>
              <w:bottom w:val="single" w:sz="8" w:color="BFBFBF"/>
            </w:tcBorders>
          </w:tcPr>
          <w:p>
            <w:pPr>
              <w:jc w:val="center"/>
              <w:spacing w:after="0" w:line="196" w:lineRule="exact"/>
              <w:rPr>
                <w:sz w:val="20"/>
                <w:szCs w:val="20"/>
                <w:color w:val="auto"/>
              </w:rPr>
            </w:pPr>
            <w:r>
              <w:rPr>
                <w:rFonts w:ascii="Arial" w:cs="Arial" w:eastAsia="Arial" w:hAnsi="Arial"/>
                <w:sz w:val="18"/>
                <w:szCs w:val="18"/>
                <w:color w:val="3F3F3F"/>
                <w:w w:val="99"/>
              </w:rPr>
              <w:t>—</w:t>
            </w:r>
          </w:p>
        </w:tc>
      </w:tr>
      <w:tr>
        <w:trPr>
          <w:trHeight w:val="196"/>
        </w:trPr>
        <w:tc>
          <w:tcPr>
            <w:tcW w:w="2640" w:type="dxa"/>
            <w:vAlign w:val="bottom"/>
            <w:tcBorders>
              <w:bottom w:val="single" w:sz="8" w:color="BFBFBF"/>
            </w:tcBorders>
          </w:tcPr>
          <w:p>
            <w:pPr>
              <w:ind w:left="40"/>
              <w:spacing w:after="0" w:line="196" w:lineRule="exact"/>
              <w:rPr>
                <w:sz w:val="20"/>
                <w:szCs w:val="20"/>
                <w:color w:val="auto"/>
              </w:rPr>
            </w:pPr>
            <w:r>
              <w:rPr>
                <w:rFonts w:ascii="Arial" w:cs="Arial" w:eastAsia="Arial" w:hAnsi="Arial"/>
                <w:sz w:val="18"/>
                <w:szCs w:val="18"/>
                <w:color w:val="006098"/>
              </w:rPr>
              <w:t>Jesse J. Geiger</w:t>
            </w:r>
          </w:p>
        </w:tc>
        <w:tc>
          <w:tcPr>
            <w:tcW w:w="3440" w:type="dxa"/>
            <w:vAlign w:val="bottom"/>
            <w:tcBorders>
              <w:bottom w:val="single" w:sz="8" w:color="BFBFBF"/>
            </w:tcBorders>
          </w:tcPr>
          <w:p>
            <w:pPr>
              <w:jc w:val="center"/>
              <w:ind w:left="550"/>
              <w:spacing w:after="0" w:line="196" w:lineRule="exact"/>
              <w:rPr>
                <w:sz w:val="20"/>
                <w:szCs w:val="20"/>
                <w:color w:val="auto"/>
              </w:rPr>
            </w:pPr>
            <w:r>
              <w:rPr>
                <w:rFonts w:ascii="Arial" w:cs="Arial" w:eastAsia="Arial" w:hAnsi="Arial"/>
                <w:sz w:val="18"/>
                <w:szCs w:val="18"/>
                <w:color w:val="3F3F3F"/>
              </w:rPr>
              <w:t>$450,000</w:t>
            </w:r>
          </w:p>
        </w:tc>
        <w:tc>
          <w:tcPr>
            <w:tcW w:w="2760" w:type="dxa"/>
            <w:vAlign w:val="bottom"/>
            <w:tcBorders>
              <w:bottom w:val="single" w:sz="8" w:color="BFBFBF"/>
            </w:tcBorders>
          </w:tcPr>
          <w:p>
            <w:pPr>
              <w:jc w:val="center"/>
              <w:spacing w:after="0" w:line="196" w:lineRule="exact"/>
              <w:rPr>
                <w:sz w:val="20"/>
                <w:szCs w:val="20"/>
                <w:color w:val="auto"/>
              </w:rPr>
            </w:pPr>
            <w:r>
              <w:rPr>
                <w:rFonts w:ascii="Arial" w:cs="Arial" w:eastAsia="Arial" w:hAnsi="Arial"/>
                <w:sz w:val="18"/>
                <w:szCs w:val="18"/>
                <w:color w:val="3F3F3F"/>
                <w:w w:val="98"/>
              </w:rPr>
              <w:t>$470,000</w:t>
            </w:r>
          </w:p>
        </w:tc>
        <w:tc>
          <w:tcPr>
            <w:tcW w:w="2180" w:type="dxa"/>
            <w:vAlign w:val="bottom"/>
            <w:tcBorders>
              <w:bottom w:val="single" w:sz="8" w:color="BFBFBF"/>
            </w:tcBorders>
          </w:tcPr>
          <w:p>
            <w:pPr>
              <w:jc w:val="center"/>
              <w:ind w:left="10"/>
              <w:spacing w:after="0" w:line="196" w:lineRule="exact"/>
              <w:rPr>
                <w:sz w:val="20"/>
                <w:szCs w:val="20"/>
                <w:color w:val="auto"/>
              </w:rPr>
            </w:pPr>
            <w:r>
              <w:rPr>
                <w:rFonts w:ascii="Arial" w:cs="Arial" w:eastAsia="Arial" w:hAnsi="Arial"/>
                <w:sz w:val="18"/>
                <w:szCs w:val="18"/>
                <w:color w:val="3F3F3F"/>
                <w:w w:val="97"/>
              </w:rPr>
              <w:t>4.4%</w:t>
            </w:r>
          </w:p>
        </w:tc>
      </w:tr>
      <w:tr>
        <w:trPr>
          <w:trHeight w:val="196"/>
        </w:trPr>
        <w:tc>
          <w:tcPr>
            <w:tcW w:w="2640" w:type="dxa"/>
            <w:vAlign w:val="bottom"/>
            <w:tcBorders>
              <w:bottom w:val="single" w:sz="8" w:color="BFBFBF"/>
            </w:tcBorders>
          </w:tcPr>
          <w:p>
            <w:pPr>
              <w:ind w:left="40"/>
              <w:spacing w:after="0" w:line="196" w:lineRule="exact"/>
              <w:rPr>
                <w:sz w:val="20"/>
                <w:szCs w:val="20"/>
                <w:color w:val="auto"/>
              </w:rPr>
            </w:pPr>
            <w:r>
              <w:rPr>
                <w:rFonts w:ascii="Arial" w:cs="Arial" w:eastAsia="Arial" w:hAnsi="Arial"/>
                <w:sz w:val="18"/>
                <w:szCs w:val="18"/>
                <w:color w:val="006098"/>
              </w:rPr>
              <w:t>Susan E. Burwig</w:t>
            </w:r>
          </w:p>
        </w:tc>
        <w:tc>
          <w:tcPr>
            <w:tcW w:w="3440" w:type="dxa"/>
            <w:vAlign w:val="bottom"/>
            <w:tcBorders>
              <w:bottom w:val="single" w:sz="8" w:color="BFBFBF"/>
            </w:tcBorders>
          </w:tcPr>
          <w:p>
            <w:pPr>
              <w:jc w:val="center"/>
              <w:ind w:left="550"/>
              <w:spacing w:after="0" w:line="196" w:lineRule="exact"/>
              <w:rPr>
                <w:sz w:val="20"/>
                <w:szCs w:val="20"/>
                <w:color w:val="auto"/>
              </w:rPr>
            </w:pPr>
            <w:r>
              <w:rPr>
                <w:rFonts w:ascii="Arial" w:cs="Arial" w:eastAsia="Arial" w:hAnsi="Arial"/>
                <w:sz w:val="18"/>
                <w:szCs w:val="18"/>
                <w:color w:val="3F3F3F"/>
              </w:rPr>
              <w:t>$475,000</w:t>
            </w:r>
          </w:p>
        </w:tc>
        <w:tc>
          <w:tcPr>
            <w:tcW w:w="2760" w:type="dxa"/>
            <w:vAlign w:val="bottom"/>
            <w:tcBorders>
              <w:bottom w:val="single" w:sz="8" w:color="BFBFBF"/>
            </w:tcBorders>
          </w:tcPr>
          <w:p>
            <w:pPr>
              <w:jc w:val="center"/>
              <w:spacing w:after="0" w:line="196" w:lineRule="exact"/>
              <w:rPr>
                <w:sz w:val="20"/>
                <w:szCs w:val="20"/>
                <w:color w:val="auto"/>
              </w:rPr>
            </w:pPr>
            <w:r>
              <w:rPr>
                <w:rFonts w:ascii="Arial" w:cs="Arial" w:eastAsia="Arial" w:hAnsi="Arial"/>
                <w:sz w:val="18"/>
                <w:szCs w:val="18"/>
                <w:color w:val="3F3F3F"/>
                <w:w w:val="98"/>
              </w:rPr>
              <w:t>$484,000</w:t>
            </w:r>
          </w:p>
        </w:tc>
        <w:tc>
          <w:tcPr>
            <w:tcW w:w="2180" w:type="dxa"/>
            <w:vAlign w:val="bottom"/>
            <w:tcBorders>
              <w:bottom w:val="single" w:sz="8" w:color="BFBFBF"/>
            </w:tcBorders>
          </w:tcPr>
          <w:p>
            <w:pPr>
              <w:jc w:val="center"/>
              <w:ind w:left="10"/>
              <w:spacing w:after="0" w:line="196" w:lineRule="exact"/>
              <w:rPr>
                <w:sz w:val="20"/>
                <w:szCs w:val="20"/>
                <w:color w:val="auto"/>
              </w:rPr>
            </w:pPr>
            <w:r>
              <w:rPr>
                <w:rFonts w:ascii="Arial" w:cs="Arial" w:eastAsia="Arial" w:hAnsi="Arial"/>
                <w:sz w:val="18"/>
                <w:szCs w:val="18"/>
                <w:color w:val="3F3F3F"/>
                <w:w w:val="97"/>
              </w:rPr>
              <w:t>1.9%</w:t>
            </w:r>
          </w:p>
        </w:tc>
      </w:tr>
      <w:tr>
        <w:trPr>
          <w:trHeight w:val="196"/>
        </w:trPr>
        <w:tc>
          <w:tcPr>
            <w:tcW w:w="2640" w:type="dxa"/>
            <w:vAlign w:val="bottom"/>
            <w:tcBorders>
              <w:bottom w:val="single" w:sz="8" w:color="BFBFBF"/>
            </w:tcBorders>
          </w:tcPr>
          <w:p>
            <w:pPr>
              <w:ind w:left="40"/>
              <w:spacing w:after="0" w:line="196" w:lineRule="exact"/>
              <w:rPr>
                <w:sz w:val="20"/>
                <w:szCs w:val="20"/>
                <w:color w:val="auto"/>
              </w:rPr>
            </w:pPr>
            <w:r>
              <w:rPr>
                <w:rFonts w:ascii="Arial" w:cs="Arial" w:eastAsia="Arial" w:hAnsi="Arial"/>
                <w:sz w:val="18"/>
                <w:szCs w:val="18"/>
                <w:color w:val="006098"/>
              </w:rPr>
              <w:t>Stephen P. Ewald</w:t>
            </w:r>
          </w:p>
        </w:tc>
        <w:tc>
          <w:tcPr>
            <w:tcW w:w="3440" w:type="dxa"/>
            <w:vAlign w:val="bottom"/>
            <w:tcBorders>
              <w:bottom w:val="single" w:sz="8" w:color="BFBFBF"/>
            </w:tcBorders>
          </w:tcPr>
          <w:p>
            <w:pPr>
              <w:jc w:val="center"/>
              <w:ind w:left="550"/>
              <w:spacing w:after="0" w:line="196" w:lineRule="exact"/>
              <w:rPr>
                <w:sz w:val="20"/>
                <w:szCs w:val="20"/>
                <w:color w:val="auto"/>
              </w:rPr>
            </w:pPr>
            <w:r>
              <w:rPr>
                <w:rFonts w:ascii="Arial" w:cs="Arial" w:eastAsia="Arial" w:hAnsi="Arial"/>
                <w:sz w:val="18"/>
                <w:szCs w:val="18"/>
                <w:color w:val="3F3F3F"/>
              </w:rPr>
              <w:t>$400,000</w:t>
            </w:r>
          </w:p>
        </w:tc>
        <w:tc>
          <w:tcPr>
            <w:tcW w:w="2760" w:type="dxa"/>
            <w:vAlign w:val="bottom"/>
            <w:tcBorders>
              <w:bottom w:val="single" w:sz="8" w:color="BFBFBF"/>
            </w:tcBorders>
          </w:tcPr>
          <w:p>
            <w:pPr>
              <w:jc w:val="center"/>
              <w:spacing w:after="0" w:line="196" w:lineRule="exact"/>
              <w:rPr>
                <w:sz w:val="20"/>
                <w:szCs w:val="20"/>
                <w:color w:val="auto"/>
              </w:rPr>
            </w:pPr>
            <w:r>
              <w:rPr>
                <w:rFonts w:ascii="Arial" w:cs="Arial" w:eastAsia="Arial" w:hAnsi="Arial"/>
                <w:sz w:val="18"/>
                <w:szCs w:val="18"/>
                <w:color w:val="3F3F3F"/>
                <w:w w:val="98"/>
              </w:rPr>
              <w:t>$443,000</w:t>
            </w:r>
          </w:p>
        </w:tc>
        <w:tc>
          <w:tcPr>
            <w:tcW w:w="2180" w:type="dxa"/>
            <w:vAlign w:val="bottom"/>
            <w:tcBorders>
              <w:bottom w:val="single" w:sz="8" w:color="BFBFBF"/>
            </w:tcBorders>
          </w:tcPr>
          <w:p>
            <w:pPr>
              <w:jc w:val="center"/>
              <w:ind w:left="10"/>
              <w:spacing w:after="0" w:line="196" w:lineRule="exact"/>
              <w:rPr>
                <w:sz w:val="20"/>
                <w:szCs w:val="20"/>
                <w:color w:val="auto"/>
              </w:rPr>
            </w:pPr>
            <w:r>
              <w:rPr>
                <w:rFonts w:ascii="Arial" w:cs="Arial" w:eastAsia="Arial" w:hAnsi="Arial"/>
                <w:sz w:val="18"/>
                <w:szCs w:val="18"/>
                <w:color w:val="3F3F3F"/>
              </w:rPr>
              <w:t>10.8%</w:t>
            </w:r>
          </w:p>
        </w:tc>
      </w:tr>
    </w:tbl>
    <w:p>
      <w:pPr>
        <w:spacing w:after="0" w:line="197"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3F3F3F"/>
        </w:rPr>
        <w:t>Effective March 1, 2022, as part of our annual base salary review and merit and performance increase process, the Compensation Committee increased Mr. Troendle’s base salary rate from $711,000 to $782,100, reflecting a 10% increase. Mr. Troendle’s current base salary positioning relative to his peers reflects his level of experience and proven track record as President and Chief Executive Officer. Also effective that same date, the Compensation Committee increased base salary rates for the other NEOs by 10% each as follows: Mr. Brady’s base salary increased from $340,000 to $374,000; Mr. Geiger’s base salary increased from $470,000 to $517,000;</w:t>
      </w:r>
    </w:p>
    <w:p>
      <w:pPr>
        <w:spacing w:after="0" w:line="4" w:lineRule="exact"/>
        <w:rPr>
          <w:sz w:val="20"/>
          <w:szCs w:val="20"/>
          <w:color w:val="auto"/>
        </w:rPr>
      </w:pPr>
    </w:p>
    <w:p>
      <w:pPr>
        <w:ind w:left="120" w:right="200"/>
        <w:spacing w:after="0" w:line="242" w:lineRule="auto"/>
        <w:rPr>
          <w:sz w:val="20"/>
          <w:szCs w:val="20"/>
          <w:color w:val="auto"/>
        </w:rPr>
      </w:pPr>
      <w:r>
        <w:rPr>
          <w:rFonts w:ascii="Arial" w:cs="Arial" w:eastAsia="Arial" w:hAnsi="Arial"/>
          <w:sz w:val="18"/>
          <w:szCs w:val="18"/>
          <w:color w:val="3F3F3F"/>
        </w:rPr>
        <w:t>Ms. Burwig’s base salary increased from $484,000 to $532,400; and Mr. Ewald’s base salary increased from $443,000 to $487,300. The Compensation Committee believes all of these salary increases were necessary to work towards the market 25th percentile for the compensation of the NEOs.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3F3F3F"/>
        </w:rPr>
        <w:t>Annual Bonus (Non-Equity Short-Term Incentive Compensation)</w:t>
      </w:r>
    </w:p>
    <w:p>
      <w:pPr>
        <w:spacing w:after="0" w:line="102"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3F3F3F"/>
        </w:rPr>
        <w:t>The Compensation Committee believes that short-term incentive compensation should be dependent upon meaningful annual or short-term performance measures.</w:t>
      </w:r>
    </w:p>
    <w:p>
      <w:pPr>
        <w:spacing w:after="0" w:line="154"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color w:val="3F3F3F"/>
        </w:rPr>
        <w:t>The general philosophy of the Compensation Committee is to work towards providing target bonus opportunities (expressed as a percentage of base salary) that are competitive with the market 25th percentile and to increase the performance orientation of our cash compensation program. We do</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F3F3F"/>
        </w:rPr>
        <w:t>32</w:t>
      </w:r>
    </w:p>
    <w:p>
      <w:pPr>
        <w:sectPr>
          <w:pgSz w:w="11900" w:h="16838" w:orient="portrait"/>
          <w:cols w:equalWidth="0" w:num="1">
            <w:col w:w="11140"/>
          </w:cols>
          <w:pgMar w:left="320" w:top="45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EXECUTIVE COMPENSATION</w:t>
      </w:r>
    </w:p>
    <w:p>
      <w:pPr>
        <w:spacing w:after="0" w:line="144"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3F3F3F"/>
        </w:rPr>
        <w:t>not provide for guaranteed bonus payouts. NEOs are generally entitled to receive bonus payouts in cash when they achieve specific performance goals and objectives. Bonus payouts are paid in arrears.</w:t>
      </w:r>
    </w:p>
    <w:p>
      <w:pPr>
        <w:spacing w:after="0" w:line="15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3F3F3F"/>
        </w:rPr>
        <w:t>In lieu of implementing a bonus plan tied exclusively to numerical performance metrics and calculations based on straight-line interpolations, the Compensation Committee exercised meaningful judgment and discretion regarding the design and administration of the short-term incentive compensation for the NEOs. The Compensation Committee estimated target cash bonuses for 2021 at 40% of base salary for all NEOs other than the CEO and 70% of base salary for the CEO. The Compensation Committee viewed 60% of the cash bonus as being based on the Company’s financial performance generally against guidance given in 2021. Specifically, meeting the financial guidance targets the Company provided in 2021 (as provided in February 2021 and increased in April, July and October 2021) or slightly exceeding them would merit 60% of a target cash bonus for the NEO; 40% of the target bonus was based on how that NEO performed against his/her individual performance goals and objectives. The personal objectives and bonus recommendations to the Compensation Committee for all NEOs other than the CEO were provided by the CEO, and the Compensation Committee determined the amount of the CEO’s cash bonus. Under this plan, depending upon the Company’s financial performance and his/her attaining individual objectives, each NEO other than the CEO could earn a maximum cash bonus equal to 70% of base salary or as little as zero, and the CEO could earn a maximum cash bonus equal to 100% of base salary or as little as zero.</w:t>
      </w:r>
    </w:p>
    <w:p>
      <w:pPr>
        <w:spacing w:after="0" w:line="183" w:lineRule="exact"/>
        <w:rPr>
          <w:sz w:val="20"/>
          <w:szCs w:val="20"/>
          <w:color w:val="auto"/>
        </w:rPr>
      </w:pPr>
    </w:p>
    <w:p>
      <w:pPr>
        <w:jc w:val="both"/>
        <w:ind w:left="120" w:right="80"/>
        <w:spacing w:after="0" w:line="247" w:lineRule="auto"/>
        <w:rPr>
          <w:sz w:val="20"/>
          <w:szCs w:val="20"/>
          <w:color w:val="auto"/>
        </w:rPr>
      </w:pPr>
      <w:r>
        <w:rPr>
          <w:rFonts w:ascii="Arial" w:cs="Arial" w:eastAsia="Arial" w:hAnsi="Arial"/>
          <w:sz w:val="18"/>
          <w:szCs w:val="18"/>
          <w:color w:val="3F3F3F"/>
        </w:rPr>
        <w:t>The Company exceeded its financial guidance (as provided in February 2021 and increased in April, July and October 2021) with respect to revenue, GAAP net income and diluted earnings per share (GAAP) and EBITDA. The Company’s 2021 guidance and financial results are described under “2021 Business and Financial Highlights” in the Executive Summary of this Compensation Discussion &amp; Analysis on page 27.</w:t>
      </w:r>
    </w:p>
    <w:p>
      <w:pPr>
        <w:spacing w:after="0" w:line="17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3F3F3F"/>
        </w:rPr>
        <w:t>Mr. Troendle earned 100% of his base salary as a cash bonus. Mr. Brady, Mr. Geiger, Ms. Burwig and Mr. Ewald each earned 70% of their respective base salaries as a cash bonus. This resulted in cash bonus payments as follows: Mr. Troendle $711,000; Mr. Brady $238,000; Mr. Geiger $329,000; Ms. Burwig $338,800; and Mr. Ewald $310,100.</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3F3F3F"/>
        </w:rPr>
        <w:t>2022 Short-Term Incentive Compensation</w:t>
      </w:r>
    </w:p>
    <w:p>
      <w:pPr>
        <w:spacing w:after="0" w:line="102"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3F3F3F"/>
        </w:rPr>
        <w:t>On March 8, 2022, the Compensation Committee completed its annual review of performance measures and targets and enhanced these performance measures and targets with respect to short-term incentive compensation (“STIC”) for the NEOs. The Compensation Committee has established that 75% of the 2022 STIC payment will be tied to the achievement of EBITDA (50%) and revenue (25%) targets. The remaining 25% of the 2022 STIC payment will be tied to individual and Company performance.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3F3F3F"/>
        </w:rPr>
        <w:t>Long-Term Equity Incentive Compensation</w:t>
      </w:r>
    </w:p>
    <w:p>
      <w:pPr>
        <w:spacing w:after="0" w:line="102" w:lineRule="exact"/>
        <w:rPr>
          <w:sz w:val="20"/>
          <w:szCs w:val="20"/>
          <w:color w:val="auto"/>
        </w:rPr>
      </w:pPr>
    </w:p>
    <w:p>
      <w:pPr>
        <w:ind w:left="120" w:right="800"/>
        <w:spacing w:after="0" w:line="271" w:lineRule="auto"/>
        <w:rPr>
          <w:sz w:val="20"/>
          <w:szCs w:val="20"/>
          <w:color w:val="auto"/>
        </w:rPr>
      </w:pPr>
      <w:r>
        <w:rPr>
          <w:rFonts w:ascii="Arial" w:cs="Arial" w:eastAsia="Arial" w:hAnsi="Arial"/>
          <w:sz w:val="18"/>
          <w:szCs w:val="18"/>
          <w:color w:val="3F3F3F"/>
        </w:rPr>
        <w:t>The Compensation Committee believes that long-term incentive compensation should be dependent upon meaningful long-term performance measures that provide linkage between stockholders and the NEOs.</w:t>
      </w:r>
    </w:p>
    <w:p>
      <w:pPr>
        <w:spacing w:after="0" w:line="154"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3F3F3F"/>
        </w:rPr>
        <w:t>The Compensation Committee grants equity awards to our NEOs under the 2016 Incentive Plan which was approved by stockholders on June 23, 2016. Our 2016 Incentive Plan affords the Compensation Committee flexibility to determine the specific award types and parameters that it believes are in the best long-term interests of the Company. We believe that long-term incentive awards provide the strongest alignment with stockholder interests. We also believe that properly structured awards are a valuable motivating incentive and strong retention tool. Believing that stock options presently serve to align the interests of our shareholders with those of our NEOs, the Compensation Committee has determined that awards of stock options are currently the most appropriate form of long-term incentive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3F3F3F"/>
        </w:rPr>
        <w:t>33</w:t>
      </w:r>
    </w:p>
    <w:p>
      <w:pPr>
        <w:sectPr>
          <w:pgSz w:w="11900" w:h="16838" w:orient="portrait"/>
          <w:cols w:equalWidth="0" w:num="1">
            <w:col w:w="11080"/>
          </w:cols>
          <w:pgMar w:left="320" w:top="455" w:right="49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EXECUTIVE COMPENSATION</w:t>
      </w:r>
    </w:p>
    <w:p>
      <w:pPr>
        <w:spacing w:after="0" w:line="144"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3F3F3F"/>
        </w:rPr>
        <w:t>compensation for the Company’s NEOs given the Company’s continued growth rates and increases in the Company’s share price. In other words, if the Company performs well, that performance should be reflected in the price of the Company’s shares which benefits both stockholders/shareholders and NEOs. Additionally, in February 2022, the Compensation Committee increased beneficial stock ownership guidelines for all NEOs from equal to one times their respective base cash compensation to equal to three times their respective base cash compensation, as described below. We believe that this recent modification to NEO stock ownership guidelines further strengthens the alignment of interests between our NEOs and stockholders.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Compensation Committee has the discretion to accelerate equity awards upon a change in control of the Company.</w:t>
      </w:r>
    </w:p>
    <w:p>
      <w:pPr>
        <w:spacing w:after="0" w:line="212"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3F3F3F"/>
        </w:rPr>
        <w:t>We do not provide for automatic awarding of equity awards. Grants are typically made by the Compensation Committee to NEOs on an annual basis after considering factors such as Company and individual performance, current equity ownership by individual, our total equity usage and dilution, and our available share pool. From time-to-time, the Compensation Committee may make equity awards to our NEOs outside of our annual grant cadence when the Compensation Committee believes it is in the best interests of the Company, reflects Company performance and further aligns the interests of our NEOs with those of our stockholders.</w:t>
      </w:r>
    </w:p>
    <w:p>
      <w:pPr>
        <w:spacing w:after="0" w:line="176"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3F3F3F"/>
        </w:rPr>
        <w:t>On February 15, 2022, the Compensation Committee awarded stock options to the NEOs as follows: Mr. Troendle – 93,174 stock options; Mr. Brady – 13,803 stock options; Ms. Burwig – 34,060 stock options; Mr. Geiger – 31,707 stock options; and Mr. Ewald – 23,349 stock options. The stock options for Mr. Troendle and Ms. Burwig vest on the second anniversary of the date of grant, subject to the individual’s continued employment with the Company or one of its subsidiaries, and have a term of seven and one-half years. The stock options for Mr. Brady, Mr. Geiger and Mr. Ewald vest on the fourth anniversary of the date of grant, subject to the individual’s continued employment with the Company or one of its subsidiaries, and have a term of five and one-half years.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3F3F3F"/>
        </w:rPr>
        <w:t>Stock Ownership Guidelines</w:t>
      </w:r>
    </w:p>
    <w:p>
      <w:pPr>
        <w:spacing w:after="0" w:line="10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3F3F3F"/>
        </w:rPr>
        <w:t>In February 2022, the Compensation Committee increased beneficial stock ownership guidelines for all NEOs to equal to three times their respective base cash compensation. The Compensation Committee has maintained beneficial stock ownership guidelines equal to one times base cash compensation for directors. For those NEOs and directors who currently do not beneficially own any or sufficient stock to meet that requirement, open market purchases are not required. Rather, as restricted stock awards / restricted stock units vest, 60% of the vested stock must be retained until the ownership requirement is met, and as options are exercised, 60% of the spread must be retained in the form of stock until the ownership target is met.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3F3F3F"/>
        </w:rPr>
        <w:t>Retirement Plans</w:t>
      </w:r>
    </w:p>
    <w:p>
      <w:pPr>
        <w:spacing w:after="0" w:line="102"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3F3F3F"/>
        </w:rPr>
        <w:t>We currently maintain a 401(k) retirement savings plan for our U.S. employees, including our NEOs, who satisfy certain eligibility requirements. Our NEOs are eligible to participate in the 401(k) plan on the same terms as other full-time U.S. employees. The U.S. Internal Revenue Code of 1986, as amended, or the Code, allows eligible employees to defer a portion of their compensation, within prescribed limits, on a pre-tax basis through contributions to the 401(k) plan. Currently, we match contributions made by participants in the 401(k) plan up to a specified percentage of the employee contributions, beginning in the calendar year following the first anniversary of employment. Matching contributions cliff-vest on the employee’s third anniversary with the Company. We believe that providing a vehicle for tax-deferred retirement savings though our 401(k) plan and making matching contributions that vest at a defined time add to the overall desirability of our executive compensation package and further motivate our employees, including our NEOs, in accordance with our compensation policies. We do not currently maintain any defined benefit pension plans or deferred compensation plans.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34</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EXECUTIVE COMPENSATION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3F3F3F"/>
        </w:rPr>
        <w:t>Employee Benefits and Perquisites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All of our full-time U.S. employees, including our NEOs, are eligible to participate in our health and welfare plans, including:</w:t>
      </w:r>
    </w:p>
    <w:p>
      <w:pPr>
        <w:spacing w:after="0" w:line="22" w:lineRule="exact"/>
        <w:rPr>
          <w:sz w:val="20"/>
          <w:szCs w:val="20"/>
          <w:color w:val="auto"/>
        </w:rPr>
      </w:pPr>
    </w:p>
    <w:p>
      <w:pPr>
        <w:ind w:left="980" w:hanging="432"/>
        <w:spacing w:after="0"/>
        <w:tabs>
          <w:tab w:leader="none" w:pos="980" w:val="left"/>
        </w:tabs>
        <w:numPr>
          <w:ilvl w:val="0"/>
          <w:numId w:val="17"/>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medical, dental and vision benefits;</w:t>
      </w:r>
    </w:p>
    <w:p>
      <w:pPr>
        <w:spacing w:after="0" w:line="103" w:lineRule="exact"/>
        <w:rPr>
          <w:rFonts w:ascii="Times New Roman" w:cs="Times New Roman" w:eastAsia="Times New Roman" w:hAnsi="Times New Roman"/>
          <w:sz w:val="29"/>
          <w:szCs w:val="29"/>
          <w:color w:val="3F3F3F"/>
          <w:vertAlign w:val="superscript"/>
        </w:rPr>
      </w:pPr>
    </w:p>
    <w:p>
      <w:pPr>
        <w:ind w:left="980" w:hanging="432"/>
        <w:spacing w:after="0" w:line="184" w:lineRule="auto"/>
        <w:tabs>
          <w:tab w:leader="none" w:pos="980" w:val="left"/>
        </w:tabs>
        <w:numPr>
          <w:ilvl w:val="0"/>
          <w:numId w:val="17"/>
        </w:numPr>
        <w:rPr>
          <w:rFonts w:ascii="Times New Roman" w:cs="Times New Roman" w:eastAsia="Times New Roman" w:hAnsi="Times New Roman"/>
          <w:sz w:val="25"/>
          <w:szCs w:val="25"/>
          <w:color w:val="3F3F3F"/>
          <w:vertAlign w:val="superscript"/>
        </w:rPr>
      </w:pPr>
      <w:r>
        <w:rPr>
          <w:rFonts w:ascii="Arial" w:cs="Arial" w:eastAsia="Arial" w:hAnsi="Arial"/>
          <w:sz w:val="16"/>
          <w:szCs w:val="16"/>
          <w:color w:val="3F3F3F"/>
        </w:rPr>
        <w:t>short-term and long-term disability insurance;</w:t>
      </w:r>
    </w:p>
    <w:p>
      <w:pPr>
        <w:spacing w:after="0" w:line="103" w:lineRule="exact"/>
        <w:rPr>
          <w:rFonts w:ascii="Times New Roman" w:cs="Times New Roman" w:eastAsia="Times New Roman" w:hAnsi="Times New Roman"/>
          <w:sz w:val="25"/>
          <w:szCs w:val="25"/>
          <w:color w:val="3F3F3F"/>
          <w:vertAlign w:val="superscript"/>
        </w:rPr>
      </w:pPr>
    </w:p>
    <w:p>
      <w:pPr>
        <w:ind w:left="980" w:hanging="432"/>
        <w:spacing w:after="0" w:line="184" w:lineRule="auto"/>
        <w:tabs>
          <w:tab w:leader="none" w:pos="980" w:val="left"/>
        </w:tabs>
        <w:numPr>
          <w:ilvl w:val="0"/>
          <w:numId w:val="17"/>
        </w:numPr>
        <w:rPr>
          <w:rFonts w:ascii="Times New Roman" w:cs="Times New Roman" w:eastAsia="Times New Roman" w:hAnsi="Times New Roman"/>
          <w:sz w:val="25"/>
          <w:szCs w:val="25"/>
          <w:color w:val="3F3F3F"/>
          <w:vertAlign w:val="superscript"/>
        </w:rPr>
      </w:pPr>
      <w:r>
        <w:rPr>
          <w:rFonts w:ascii="Arial" w:cs="Arial" w:eastAsia="Arial" w:hAnsi="Arial"/>
          <w:sz w:val="16"/>
          <w:szCs w:val="16"/>
          <w:color w:val="3F3F3F"/>
        </w:rPr>
        <w:t>life insurance benefits;</w:t>
      </w:r>
    </w:p>
    <w:p>
      <w:pPr>
        <w:spacing w:after="0" w:line="103" w:lineRule="exact"/>
        <w:rPr>
          <w:rFonts w:ascii="Times New Roman" w:cs="Times New Roman" w:eastAsia="Times New Roman" w:hAnsi="Times New Roman"/>
          <w:sz w:val="25"/>
          <w:szCs w:val="25"/>
          <w:color w:val="3F3F3F"/>
          <w:vertAlign w:val="superscript"/>
        </w:rPr>
      </w:pPr>
    </w:p>
    <w:p>
      <w:pPr>
        <w:ind w:left="980" w:hanging="432"/>
        <w:spacing w:after="0" w:line="184" w:lineRule="auto"/>
        <w:tabs>
          <w:tab w:leader="none" w:pos="980" w:val="left"/>
        </w:tabs>
        <w:numPr>
          <w:ilvl w:val="0"/>
          <w:numId w:val="17"/>
        </w:numPr>
        <w:rPr>
          <w:rFonts w:ascii="Times New Roman" w:cs="Times New Roman" w:eastAsia="Times New Roman" w:hAnsi="Times New Roman"/>
          <w:sz w:val="25"/>
          <w:szCs w:val="25"/>
          <w:color w:val="3F3F3F"/>
          <w:vertAlign w:val="superscript"/>
        </w:rPr>
      </w:pPr>
      <w:r>
        <w:rPr>
          <w:rFonts w:ascii="Arial" w:cs="Arial" w:eastAsia="Arial" w:hAnsi="Arial"/>
          <w:sz w:val="16"/>
          <w:szCs w:val="16"/>
          <w:color w:val="3F3F3F"/>
        </w:rPr>
        <w:t>critical illness insurance benefits; and</w:t>
      </w:r>
    </w:p>
    <w:p>
      <w:pPr>
        <w:spacing w:after="0" w:line="103" w:lineRule="exact"/>
        <w:rPr>
          <w:rFonts w:ascii="Times New Roman" w:cs="Times New Roman" w:eastAsia="Times New Roman" w:hAnsi="Times New Roman"/>
          <w:sz w:val="25"/>
          <w:szCs w:val="25"/>
          <w:color w:val="3F3F3F"/>
          <w:vertAlign w:val="superscript"/>
        </w:rPr>
      </w:pPr>
    </w:p>
    <w:p>
      <w:pPr>
        <w:ind w:left="980" w:hanging="432"/>
        <w:spacing w:after="0" w:line="184" w:lineRule="auto"/>
        <w:tabs>
          <w:tab w:leader="none" w:pos="980" w:val="left"/>
        </w:tabs>
        <w:numPr>
          <w:ilvl w:val="0"/>
          <w:numId w:val="17"/>
        </w:numPr>
        <w:rPr>
          <w:rFonts w:ascii="Times New Roman" w:cs="Times New Roman" w:eastAsia="Times New Roman" w:hAnsi="Times New Roman"/>
          <w:sz w:val="25"/>
          <w:szCs w:val="25"/>
          <w:color w:val="3F3F3F"/>
          <w:vertAlign w:val="superscript"/>
        </w:rPr>
      </w:pPr>
      <w:r>
        <w:rPr>
          <w:rFonts w:ascii="Arial" w:cs="Arial" w:eastAsia="Arial" w:hAnsi="Arial"/>
          <w:sz w:val="16"/>
          <w:szCs w:val="16"/>
          <w:color w:val="3F3F3F"/>
        </w:rPr>
        <w:t>accident insurance benefits.</w:t>
      </w:r>
    </w:p>
    <w:p>
      <w:pPr>
        <w:spacing w:after="0" w:line="180"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3F3F3F"/>
        </w:rPr>
        <w:t>We believe the benefits and perquisites described above are necessary and appropriate to provide a competitive compensation package to our NEOs.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3F3F3F"/>
        </w:rPr>
        <w:t>Aircraft Usage</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During the 2021 fiscal year, the Company provided some travel services for company executives through a company controlled by</w:t>
      </w:r>
    </w:p>
    <w:p>
      <w:pPr>
        <w:spacing w:after="0" w:line="14"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3F3F3F"/>
        </w:rPr>
        <w:t>Mr. Troendle (“private aviation charter”). The Company may contract directly with the private aviation charter for the use of its aircraft or indirectly through a third-party aircraft management and jet charter company. The travel services provided are primarily for business purposes, with certain personal travel paid for as part of the executives’ compensation arrangements and allow our executive officers to safely and efficiently travel. Company provided aircraft allows for the safety and privacy of our executive officers and allows the executive officers to be more productive than if commercial flights were utilized, as the aircraft provides a conducive and more confidential business environment without the scheduling constraints imposed by commercial airline services.</w:t>
      </w:r>
    </w:p>
    <w:p>
      <w:pPr>
        <w:spacing w:after="0" w:line="18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3F3F3F"/>
        </w:rPr>
        <w:t>Depending on availability, family members of executive officers are permitted to accompany the executive officers on the aircraft when it is already going to a specific destination for a business purpose. Because the aircraft is chartered based on flight hours regardless of the passenger load, the aggregate incremental cost to the Company for any additional personal use by passengers is de minimis.</w:t>
      </w:r>
    </w:p>
    <w:p>
      <w:pPr>
        <w:spacing w:after="0" w:line="16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3F3F3F"/>
        </w:rPr>
        <w:t>In addition, executive officers periodically use Company provided aircraft for multi-leg hybrid flights in which at least one leg consists of personal use. The aggregate incremental cost to the Company of such personal usage in 2021 is shown in the Summary Compensation Table below. Any personal passenger(s) on board would result in imputed income to the executive officers using the IRS Standard Industry Fare Level calculation. The Company does not provide gross-ups with respect to any income taxes incurred by the executive officers in connection with the personal use of aircraft.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3F3F3F"/>
        </w:rPr>
        <w:t>No Tax Gross-Ups</w:t>
      </w:r>
    </w:p>
    <w:p>
      <w:pPr>
        <w:spacing w:after="0" w:line="10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3F3F3F"/>
        </w:rPr>
        <w:t>We do not make gross-up payments to cover our NEOs’ personal income taxes that may pertain to any of the compensation or perquisites paid or provided by our Company.</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3F3F3F"/>
        </w:rPr>
        <w:t>No Pledging or Hedging Medpace Securities</w:t>
      </w:r>
    </w:p>
    <w:p>
      <w:pPr>
        <w:spacing w:after="0" w:line="102"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3F3F3F"/>
        </w:rPr>
        <w:t>The Medpace Holdings, Inc. Insider Trading Compliance Policy prohibits margin purchases of Medpace securities. Pledging the Company’s securities as collateral to secure loans is prohibited by this policy. This prohibition means, among other things, that Medpace employees cannot hold the Company’s securities in a “margin account” (which would allow them to borrow against their holdings to buy securities). The policy also prohibits all hedging transactions involving Medpace’s securities, including, without limitation, zero-cost collars and forward sale contracts.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35</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EXECUTIVE COMPENSATION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098"/>
        </w:rPr>
        <w:t>Definition of Non-GAAP Financial Measure</w:t>
      </w:r>
    </w:p>
    <w:p>
      <w:pPr>
        <w:spacing w:after="0" w:line="102" w:lineRule="exact"/>
        <w:rPr>
          <w:sz w:val="20"/>
          <w:szCs w:val="20"/>
          <w:color w:val="auto"/>
        </w:rPr>
      </w:pPr>
    </w:p>
    <w:p>
      <w:pPr>
        <w:ind w:left="120" w:right="900"/>
        <w:spacing w:after="0" w:line="271" w:lineRule="auto"/>
        <w:rPr>
          <w:sz w:val="20"/>
          <w:szCs w:val="20"/>
          <w:color w:val="auto"/>
        </w:rPr>
      </w:pPr>
      <w:r>
        <w:rPr>
          <w:rFonts w:ascii="Arial" w:cs="Arial" w:eastAsia="Arial" w:hAnsi="Arial"/>
          <w:sz w:val="18"/>
          <w:szCs w:val="18"/>
          <w:color w:val="3F3F3F"/>
        </w:rPr>
        <w:t>With respect to the references in this CD&amp;A to EBITDA, this is a non-GAAP financial measure used to supplement our financial statements, which are based on GAAP.</w:t>
      </w:r>
    </w:p>
    <w:p>
      <w:pPr>
        <w:spacing w:after="0" w:line="154" w:lineRule="exact"/>
        <w:rPr>
          <w:sz w:val="20"/>
          <w:szCs w:val="20"/>
          <w:color w:val="auto"/>
        </w:rPr>
      </w:pPr>
    </w:p>
    <w:p>
      <w:pPr>
        <w:ind w:left="120" w:right="900"/>
        <w:spacing w:after="0" w:line="271" w:lineRule="auto"/>
        <w:rPr>
          <w:sz w:val="20"/>
          <w:szCs w:val="20"/>
          <w:color w:val="auto"/>
        </w:rPr>
      </w:pPr>
      <w:r>
        <w:rPr>
          <w:rFonts w:ascii="Arial" w:cs="Arial" w:eastAsia="Arial" w:hAnsi="Arial"/>
          <w:sz w:val="18"/>
          <w:szCs w:val="18"/>
          <w:color w:val="3F3F3F"/>
        </w:rPr>
        <w:t>“EBITDA” is calculated as net income attributable to Medpace Holdings, Inc. before income tax expense, interest expense, net, depreciation, and amortization.</w:t>
      </w:r>
    </w:p>
    <w:p>
      <w:pPr>
        <w:spacing w:after="0" w:line="154" w:lineRule="exact"/>
        <w:rPr>
          <w:sz w:val="20"/>
          <w:szCs w:val="20"/>
          <w:color w:val="auto"/>
        </w:rPr>
      </w:pPr>
    </w:p>
    <w:p>
      <w:pPr>
        <w:ind w:left="120" w:right="360"/>
        <w:spacing w:after="0" w:line="275" w:lineRule="auto"/>
        <w:rPr>
          <w:sz w:val="20"/>
          <w:szCs w:val="20"/>
          <w:color w:val="auto"/>
        </w:rPr>
      </w:pPr>
      <w:r>
        <w:rPr>
          <w:rFonts w:ascii="Arial" w:cs="Arial" w:eastAsia="Arial" w:hAnsi="Arial"/>
          <w:sz w:val="17"/>
          <w:szCs w:val="17"/>
          <w:color w:val="3F3F3F"/>
        </w:rPr>
        <w:t>Reconciliations of our non-GAAP measures to comparable GAAP measures are provided with the schedules to each of our quarterly earnings releases. The most recent non-GAAP reconciliations and definitions were furnished as an exhibit to our Form 8-K filed on February 14, 2022 (in the schedules to our most recent earnings release for the three and twelve months ended December 31, 2021).</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6098"/>
        </w:rPr>
        <w:t>Compensation Risk Assessment</w:t>
      </w:r>
    </w:p>
    <w:p>
      <w:pPr>
        <w:spacing w:after="0" w:line="10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3F3F3F"/>
        </w:rPr>
        <w:t>Our management and the Compensation Committee review our compensation practices and policies with regard to risk management. We have reviewed our programs and determined that there are no practices or policies that are likely to lead to excessive risk-taking or have a material adverse effect on the Company. Further, we identified the following practices that serve to mitigate risk:</w:t>
      </w:r>
    </w:p>
    <w:p>
      <w:pPr>
        <w:ind w:left="980" w:hanging="432"/>
        <w:spacing w:after="0" w:line="225" w:lineRule="auto"/>
        <w:tabs>
          <w:tab w:leader="none" w:pos="980" w:val="left"/>
        </w:tabs>
        <w:numPr>
          <w:ilvl w:val="0"/>
          <w:numId w:val="18"/>
        </w:numPr>
        <w:rPr>
          <w:rFonts w:ascii="Times New Roman" w:cs="Times New Roman" w:eastAsia="Times New Roman" w:hAnsi="Times New Roman"/>
          <w:sz w:val="29"/>
          <w:szCs w:val="29"/>
          <w:color w:val="3F3F3F"/>
          <w:vertAlign w:val="superscript"/>
        </w:rPr>
      </w:pPr>
      <w:r>
        <w:rPr>
          <w:rFonts w:ascii="Arial" w:cs="Arial" w:eastAsia="Arial" w:hAnsi="Arial"/>
          <w:sz w:val="18"/>
          <w:szCs w:val="18"/>
          <w:color w:val="3F3F3F"/>
        </w:rPr>
        <w:t>High level of executive equity ownership to prevent short-term risk taking;</w:t>
      </w:r>
    </w:p>
    <w:p>
      <w:pPr>
        <w:spacing w:after="0" w:line="103" w:lineRule="exact"/>
        <w:rPr>
          <w:rFonts w:ascii="Times New Roman" w:cs="Times New Roman" w:eastAsia="Times New Roman" w:hAnsi="Times New Roman"/>
          <w:sz w:val="29"/>
          <w:szCs w:val="29"/>
          <w:color w:val="3F3F3F"/>
          <w:vertAlign w:val="superscript"/>
        </w:rPr>
      </w:pPr>
    </w:p>
    <w:p>
      <w:pPr>
        <w:ind w:left="980" w:hanging="432"/>
        <w:spacing w:after="0" w:line="184" w:lineRule="auto"/>
        <w:tabs>
          <w:tab w:leader="none" w:pos="980" w:val="left"/>
        </w:tabs>
        <w:numPr>
          <w:ilvl w:val="0"/>
          <w:numId w:val="18"/>
        </w:numPr>
        <w:rPr>
          <w:rFonts w:ascii="Times New Roman" w:cs="Times New Roman" w:eastAsia="Times New Roman" w:hAnsi="Times New Roman"/>
          <w:sz w:val="25"/>
          <w:szCs w:val="25"/>
          <w:color w:val="3F3F3F"/>
          <w:vertAlign w:val="superscript"/>
        </w:rPr>
      </w:pPr>
      <w:r>
        <w:rPr>
          <w:rFonts w:ascii="Arial" w:cs="Arial" w:eastAsia="Arial" w:hAnsi="Arial"/>
          <w:sz w:val="16"/>
          <w:szCs w:val="16"/>
          <w:color w:val="3F3F3F"/>
        </w:rPr>
        <w:t>Balance between goals and objectives of short- and long-term incentive compensation plans;</w:t>
      </w:r>
    </w:p>
    <w:p>
      <w:pPr>
        <w:spacing w:after="0" w:line="103" w:lineRule="exact"/>
        <w:rPr>
          <w:rFonts w:ascii="Times New Roman" w:cs="Times New Roman" w:eastAsia="Times New Roman" w:hAnsi="Times New Roman"/>
          <w:sz w:val="25"/>
          <w:szCs w:val="25"/>
          <w:color w:val="3F3F3F"/>
          <w:vertAlign w:val="superscript"/>
        </w:rPr>
      </w:pPr>
    </w:p>
    <w:p>
      <w:pPr>
        <w:ind w:left="980" w:hanging="432"/>
        <w:spacing w:after="0" w:line="184" w:lineRule="auto"/>
        <w:tabs>
          <w:tab w:leader="none" w:pos="980" w:val="left"/>
        </w:tabs>
        <w:numPr>
          <w:ilvl w:val="0"/>
          <w:numId w:val="18"/>
        </w:numPr>
        <w:rPr>
          <w:rFonts w:ascii="Times New Roman" w:cs="Times New Roman" w:eastAsia="Times New Roman" w:hAnsi="Times New Roman"/>
          <w:sz w:val="25"/>
          <w:szCs w:val="25"/>
          <w:color w:val="3F3F3F"/>
          <w:vertAlign w:val="superscript"/>
        </w:rPr>
      </w:pPr>
      <w:r>
        <w:rPr>
          <w:rFonts w:ascii="Arial" w:cs="Arial" w:eastAsia="Arial" w:hAnsi="Arial"/>
          <w:sz w:val="16"/>
          <w:szCs w:val="16"/>
          <w:color w:val="3F3F3F"/>
        </w:rPr>
        <w:t>Proper administrative and oversight controls; and</w:t>
      </w:r>
    </w:p>
    <w:p>
      <w:pPr>
        <w:spacing w:after="0" w:line="103" w:lineRule="exact"/>
        <w:rPr>
          <w:rFonts w:ascii="Times New Roman" w:cs="Times New Roman" w:eastAsia="Times New Roman" w:hAnsi="Times New Roman"/>
          <w:sz w:val="25"/>
          <w:szCs w:val="25"/>
          <w:color w:val="3F3F3F"/>
          <w:vertAlign w:val="superscript"/>
        </w:rPr>
      </w:pPr>
    </w:p>
    <w:p>
      <w:pPr>
        <w:ind w:left="980" w:hanging="432"/>
        <w:spacing w:after="0" w:line="184" w:lineRule="auto"/>
        <w:tabs>
          <w:tab w:leader="none" w:pos="980" w:val="left"/>
        </w:tabs>
        <w:numPr>
          <w:ilvl w:val="0"/>
          <w:numId w:val="18"/>
        </w:numPr>
        <w:rPr>
          <w:rFonts w:ascii="Times New Roman" w:cs="Times New Roman" w:eastAsia="Times New Roman" w:hAnsi="Times New Roman"/>
          <w:sz w:val="25"/>
          <w:szCs w:val="25"/>
          <w:color w:val="3F3F3F"/>
          <w:vertAlign w:val="superscript"/>
        </w:rPr>
      </w:pPr>
      <w:r>
        <w:rPr>
          <w:rFonts w:ascii="Arial" w:cs="Arial" w:eastAsia="Arial" w:hAnsi="Arial"/>
          <w:sz w:val="16"/>
          <w:szCs w:val="16"/>
          <w:color w:val="3F3F3F"/>
        </w:rPr>
        <w:t>Key compensation governance attributes, as discussed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006098"/>
        </w:rPr>
        <w:t>COMPENSATION COMMITTEE REPORT</w:t>
      </w:r>
    </w:p>
    <w:p>
      <w:pPr>
        <w:spacing w:after="0" w:line="104"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3F3F3F"/>
        </w:rPr>
        <w:t>We, the Compensation Committee of the Board of Directors, met with management to review and discuss the Compensation Discussion and Analysis set forth above, and based upon the review and discussions, we recommended to the Board that the Compensation Discussion and Analysis be included in this report.</w:t>
      </w:r>
    </w:p>
    <w:p>
      <w:pPr>
        <w:spacing w:after="0" w:line="19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3F3F3F"/>
        </w:rPr>
        <w:t>Medpace Holdings, Inc.</w:t>
      </w:r>
    </w:p>
    <w:p>
      <w:pPr>
        <w:spacing w:after="0" w:line="4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3F3F3F"/>
        </w:rPr>
        <w:t>Compensation Committee</w:t>
      </w:r>
    </w:p>
    <w:p>
      <w:pPr>
        <w:spacing w:after="0" w:line="154" w:lineRule="exact"/>
        <w:rPr>
          <w:sz w:val="20"/>
          <w:szCs w:val="20"/>
          <w:color w:val="auto"/>
        </w:rPr>
      </w:pPr>
    </w:p>
    <w:p>
      <w:pPr>
        <w:ind w:left="6740"/>
        <w:spacing w:after="0"/>
        <w:rPr>
          <w:sz w:val="20"/>
          <w:szCs w:val="20"/>
          <w:color w:val="auto"/>
        </w:rPr>
      </w:pPr>
      <w:r>
        <w:rPr>
          <w:rFonts w:ascii="Arial" w:cs="Arial" w:eastAsia="Arial" w:hAnsi="Arial"/>
          <w:sz w:val="18"/>
          <w:szCs w:val="18"/>
          <w:color w:val="3F3F3F"/>
        </w:rPr>
        <w:t>Fred B. Davenport, Jr. (Chair)</w:t>
      </w:r>
    </w:p>
    <w:p>
      <w:pPr>
        <w:spacing w:after="0" w:line="171" w:lineRule="exact"/>
        <w:rPr>
          <w:sz w:val="20"/>
          <w:szCs w:val="20"/>
          <w:color w:val="auto"/>
        </w:rPr>
      </w:pPr>
    </w:p>
    <w:p>
      <w:pPr>
        <w:ind w:left="6740"/>
        <w:spacing w:after="0"/>
        <w:rPr>
          <w:sz w:val="20"/>
          <w:szCs w:val="20"/>
          <w:color w:val="auto"/>
        </w:rPr>
      </w:pPr>
      <w:r>
        <w:rPr>
          <w:rFonts w:ascii="Arial" w:cs="Arial" w:eastAsia="Arial" w:hAnsi="Arial"/>
          <w:sz w:val="18"/>
          <w:szCs w:val="18"/>
          <w:color w:val="3F3F3F"/>
        </w:rPr>
        <w:t>Robert O. Kraft</w:t>
      </w:r>
    </w:p>
    <w:p>
      <w:pPr>
        <w:spacing w:after="0" w:line="171" w:lineRule="exact"/>
        <w:rPr>
          <w:sz w:val="20"/>
          <w:szCs w:val="20"/>
          <w:color w:val="auto"/>
        </w:rPr>
      </w:pPr>
    </w:p>
    <w:p>
      <w:pPr>
        <w:ind w:left="6740"/>
        <w:spacing w:after="0"/>
        <w:rPr>
          <w:sz w:val="20"/>
          <w:szCs w:val="20"/>
          <w:color w:val="auto"/>
        </w:rPr>
      </w:pPr>
      <w:r>
        <w:rPr>
          <w:rFonts w:ascii="Arial" w:cs="Arial" w:eastAsia="Arial" w:hAnsi="Arial"/>
          <w:sz w:val="18"/>
          <w:szCs w:val="18"/>
          <w:color w:val="3F3F3F"/>
        </w:rPr>
        <w:t>Cornelius P. McCarthy III</w:t>
      </w:r>
    </w:p>
    <w:p>
      <w:pPr>
        <w:spacing w:after="0" w:line="212"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3F3F3F"/>
        </w:rPr>
        <w:t>This Compensation Committee Report shall not be deemed to be “soliciting material,” or to be “filed” with the Securities and Exchange Commission or subject to Regulation 14A or 14C, or to the liabilities of Section 18 of the Securities Exchange Act of 1934, except to the extent that Medpace specifically requests that the information be treated as soliciting material or specifically incorporates it by reference into a document filed under the Securities Act of 1933 or the Securities Exchange Act of 1934.</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F3F3F"/>
        </w:rPr>
        <w:t>36</w:t>
      </w:r>
    </w:p>
    <w:p>
      <w:pPr>
        <w:sectPr>
          <w:pgSz w:w="11900" w:h="16838" w:orient="portrait"/>
          <w:cols w:equalWidth="0" w:num="1">
            <w:col w:w="11100"/>
          </w:cols>
          <w:pgMar w:left="320" w:top="455" w:right="4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EXECUTIVE COMPENSATION</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SUMMARY COMPENSATION TABLE</w:t>
      </w:r>
    </w:p>
    <w:p>
      <w:pPr>
        <w:spacing w:after="0" w:line="104"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3F3F3F"/>
        </w:rPr>
        <w:t>The following table sets forth the portion of compensation paid to the NEOs that is attributable to services performed during the fiscal years ended December 31, 2021, 2020 and 2019.</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6098"/>
                <w:w w:val="95"/>
              </w:rPr>
              <w:t>CHANGE IN</w:t>
            </w:r>
          </w:p>
        </w:tc>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PENSION VALUE</w:t>
            </w:r>
          </w:p>
        </w:tc>
        <w:tc>
          <w:tcPr>
            <w:tcW w:w="1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006098"/>
                <w:w w:val="97"/>
              </w:rPr>
              <w:t>NON-EQUITY</w:t>
            </w: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2"/>
              </w:rPr>
              <w:t>AND</w:t>
            </w:r>
          </w:p>
        </w:tc>
        <w:tc>
          <w:tcPr>
            <w:tcW w:w="1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006098"/>
                <w:w w:val="96"/>
              </w:rPr>
              <w:t>STOCK</w:t>
            </w: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006098"/>
                <w:w w:val="96"/>
              </w:rPr>
              <w:t>OPTION</w:t>
            </w:r>
          </w:p>
        </w:tc>
        <w:tc>
          <w:tcPr>
            <w:tcW w:w="1440" w:type="dxa"/>
            <w:vAlign w:val="bottom"/>
            <w:vMerge w:val="continue"/>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NONQUALIFIED</w:t>
            </w: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006098"/>
                <w:w w:val="96"/>
              </w:rPr>
              <w:t>ALL OTHER</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vMerge w:val="restart"/>
          </w:tcPr>
          <w:p>
            <w:pPr>
              <w:spacing w:after="0"/>
              <w:rPr>
                <w:sz w:val="20"/>
                <w:szCs w:val="20"/>
                <w:color w:val="auto"/>
              </w:rPr>
            </w:pPr>
            <w:r>
              <w:rPr>
                <w:rFonts w:ascii="Arial" w:cs="Arial" w:eastAsia="Arial" w:hAnsi="Arial"/>
                <w:sz w:val="13"/>
                <w:szCs w:val="13"/>
                <w:b w:val="1"/>
                <w:bCs w:val="1"/>
                <w:color w:val="006098"/>
              </w:rPr>
              <w:t>NAME AND</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b w:val="1"/>
                <w:bCs w:val="1"/>
                <w:color w:val="006098"/>
              </w:rPr>
              <w:t>BONUS</w:t>
            </w:r>
          </w:p>
        </w:tc>
        <w:tc>
          <w:tcPr>
            <w:tcW w:w="9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INCENTIVE</w:t>
            </w: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DEFERRED</w:t>
            </w:r>
          </w:p>
        </w:tc>
        <w:tc>
          <w:tcPr>
            <w:tcW w:w="14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vMerge w:val="restart"/>
          </w:tcPr>
          <w:p>
            <w:pPr>
              <w:ind w:left="120"/>
              <w:spacing w:after="0"/>
              <w:rPr>
                <w:sz w:val="20"/>
                <w:szCs w:val="20"/>
                <w:color w:val="auto"/>
              </w:rPr>
            </w:pPr>
            <w:r>
              <w:rPr>
                <w:rFonts w:ascii="Arial" w:cs="Arial" w:eastAsia="Arial" w:hAnsi="Arial"/>
                <w:sz w:val="13"/>
                <w:szCs w:val="13"/>
                <w:b w:val="1"/>
                <w:bCs w:val="1"/>
                <w:color w:val="006098"/>
              </w:rPr>
              <w:t>SALARY</w:t>
            </w:r>
          </w:p>
        </w:tc>
        <w:tc>
          <w:tcPr>
            <w:tcW w:w="680" w:type="dxa"/>
            <w:vAlign w:val="bottom"/>
            <w:vMerge w:val="continue"/>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5"/>
              </w:rPr>
              <w:t>AWARDS</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2"/>
              </w:rPr>
              <w:t>AWARDS</w:t>
            </w:r>
          </w:p>
        </w:tc>
        <w:tc>
          <w:tcPr>
            <w:tcW w:w="14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5"/>
              </w:rPr>
              <w:t>PLAN</w:t>
            </w: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COMPENSATION</w:t>
            </w:r>
          </w:p>
        </w:tc>
        <w:tc>
          <w:tcPr>
            <w:tcW w:w="14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COMPENSATION</w:t>
            </w:r>
          </w:p>
        </w:tc>
        <w:tc>
          <w:tcPr>
            <w:tcW w:w="980" w:type="dxa"/>
            <w:vAlign w:val="bottom"/>
            <w:vMerge w:val="restart"/>
          </w:tcPr>
          <w:p>
            <w:pPr>
              <w:ind w:left="320"/>
              <w:spacing w:after="0"/>
              <w:rPr>
                <w:sz w:val="20"/>
                <w:szCs w:val="20"/>
                <w:color w:val="auto"/>
              </w:rPr>
            </w:pPr>
            <w:r>
              <w:rPr>
                <w:rFonts w:ascii="Arial" w:cs="Arial" w:eastAsia="Arial" w:hAnsi="Arial"/>
                <w:sz w:val="13"/>
                <w:szCs w:val="13"/>
                <w:b w:val="1"/>
                <w:bCs w:val="1"/>
                <w:color w:val="006098"/>
              </w:rPr>
              <w:t>TOTAL</w:t>
            </w:r>
          </w:p>
        </w:tc>
        <w:tc>
          <w:tcPr>
            <w:tcW w:w="0" w:type="dxa"/>
            <w:vAlign w:val="bottom"/>
          </w:tcPr>
          <w:p>
            <w:pPr>
              <w:spacing w:after="0"/>
              <w:rPr>
                <w:sz w:val="1"/>
                <w:szCs w:val="1"/>
                <w:color w:val="auto"/>
              </w:rPr>
            </w:pPr>
          </w:p>
        </w:tc>
      </w:tr>
      <w:tr>
        <w:trPr>
          <w:trHeight w:val="135"/>
        </w:trPr>
        <w:tc>
          <w:tcPr>
            <w:tcW w:w="1640" w:type="dxa"/>
            <w:vAlign w:val="bottom"/>
          </w:tcPr>
          <w:p>
            <w:pPr>
              <w:spacing w:after="0" w:line="135" w:lineRule="exact"/>
              <w:rPr>
                <w:sz w:val="20"/>
                <w:szCs w:val="20"/>
                <w:color w:val="auto"/>
              </w:rPr>
            </w:pPr>
            <w:r>
              <w:rPr>
                <w:rFonts w:ascii="Arial" w:cs="Arial" w:eastAsia="Arial" w:hAnsi="Arial"/>
                <w:sz w:val="13"/>
                <w:szCs w:val="13"/>
                <w:b w:val="1"/>
                <w:bCs w:val="1"/>
                <w:color w:val="006098"/>
              </w:rPr>
              <w:t>PRINCIPAL</w:t>
            </w:r>
          </w:p>
        </w:tc>
        <w:tc>
          <w:tcPr>
            <w:tcW w:w="5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6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006098"/>
              </w:rPr>
              <w:t>(1)</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rPr>
              <w:t>(2)</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rPr>
              <w:t>(3)</w:t>
            </w:r>
          </w:p>
        </w:tc>
        <w:tc>
          <w:tcPr>
            <w:tcW w:w="14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COMPENSATION</w:t>
            </w: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EARNINGS</w:t>
            </w:r>
          </w:p>
        </w:tc>
        <w:tc>
          <w:tcPr>
            <w:tcW w:w="14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rPr>
              <w:t>(4)</w:t>
            </w: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640" w:type="dxa"/>
            <w:vAlign w:val="bottom"/>
            <w:tcBorders>
              <w:bottom w:val="single" w:sz="8" w:color="83BA90"/>
            </w:tcBorders>
          </w:tcPr>
          <w:p>
            <w:pPr>
              <w:spacing w:after="0"/>
              <w:rPr>
                <w:sz w:val="20"/>
                <w:szCs w:val="20"/>
                <w:color w:val="auto"/>
              </w:rPr>
            </w:pPr>
            <w:r>
              <w:rPr>
                <w:rFonts w:ascii="Arial" w:cs="Arial" w:eastAsia="Arial" w:hAnsi="Arial"/>
                <w:sz w:val="13"/>
                <w:szCs w:val="13"/>
                <w:b w:val="1"/>
                <w:bCs w:val="1"/>
                <w:color w:val="006098"/>
              </w:rPr>
              <w:t>POSITION</w:t>
            </w:r>
          </w:p>
        </w:tc>
        <w:tc>
          <w:tcPr>
            <w:tcW w:w="58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w w:val="99"/>
              </w:rPr>
              <w:t>YEAR</w:t>
            </w:r>
          </w:p>
        </w:tc>
        <w:tc>
          <w:tcPr>
            <w:tcW w:w="880" w:type="dxa"/>
            <w:vAlign w:val="bottom"/>
            <w:tcBorders>
              <w:bottom w:val="single" w:sz="8" w:color="83BA90"/>
            </w:tcBorders>
          </w:tcPr>
          <w:p>
            <w:pPr>
              <w:jc w:val="center"/>
              <w:ind w:right="57"/>
              <w:spacing w:after="0"/>
              <w:rPr>
                <w:sz w:val="20"/>
                <w:szCs w:val="20"/>
                <w:color w:val="auto"/>
              </w:rPr>
            </w:pPr>
            <w:r>
              <w:rPr>
                <w:rFonts w:ascii="Arial" w:cs="Arial" w:eastAsia="Arial" w:hAnsi="Arial"/>
                <w:sz w:val="13"/>
                <w:szCs w:val="13"/>
                <w:b w:val="1"/>
                <w:bCs w:val="1"/>
                <w:color w:val="006098"/>
              </w:rPr>
              <w:t>($)</w:t>
            </w:r>
          </w:p>
        </w:tc>
        <w:tc>
          <w:tcPr>
            <w:tcW w:w="680" w:type="dxa"/>
            <w:vAlign w:val="bottom"/>
            <w:tcBorders>
              <w:bottom w:val="single" w:sz="8" w:color="83BA90"/>
            </w:tcBorders>
          </w:tcPr>
          <w:p>
            <w:pPr>
              <w:jc w:val="center"/>
              <w:ind w:right="57"/>
              <w:spacing w:after="0"/>
              <w:rPr>
                <w:sz w:val="20"/>
                <w:szCs w:val="20"/>
                <w:color w:val="auto"/>
              </w:rPr>
            </w:pPr>
            <w:r>
              <w:rPr>
                <w:rFonts w:ascii="Arial" w:cs="Arial" w:eastAsia="Arial" w:hAnsi="Arial"/>
                <w:sz w:val="13"/>
                <w:szCs w:val="13"/>
                <w:b w:val="1"/>
                <w:bCs w:val="1"/>
                <w:color w:val="006098"/>
              </w:rPr>
              <w:t>($)</w:t>
            </w:r>
          </w:p>
        </w:tc>
        <w:tc>
          <w:tcPr>
            <w:tcW w:w="92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rPr>
              <w:t>($)</w:t>
            </w:r>
          </w:p>
        </w:tc>
        <w:tc>
          <w:tcPr>
            <w:tcW w:w="98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rPr>
              <w:t>($)</w:t>
            </w:r>
          </w:p>
        </w:tc>
        <w:tc>
          <w:tcPr>
            <w:tcW w:w="144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rPr>
              <w:t>($)</w:t>
            </w:r>
          </w:p>
        </w:tc>
        <w:tc>
          <w:tcPr>
            <w:tcW w:w="148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rPr>
              <w:t>($)</w:t>
            </w:r>
          </w:p>
        </w:tc>
        <w:tc>
          <w:tcPr>
            <w:tcW w:w="144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rPr>
              <w:t>($)</w:t>
            </w:r>
          </w:p>
        </w:tc>
        <w:tc>
          <w:tcPr>
            <w:tcW w:w="98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rPr>
              <w:t>($)</w:t>
            </w:r>
          </w:p>
        </w:tc>
        <w:tc>
          <w:tcPr>
            <w:tcW w:w="0" w:type="dxa"/>
            <w:vAlign w:val="bottom"/>
          </w:tcPr>
          <w:p>
            <w:pPr>
              <w:spacing w:after="0"/>
              <w:rPr>
                <w:sz w:val="1"/>
                <w:szCs w:val="1"/>
                <w:color w:val="auto"/>
              </w:rPr>
            </w:pPr>
          </w:p>
        </w:tc>
      </w:tr>
      <w:tr>
        <w:trPr>
          <w:trHeight w:val="223"/>
        </w:trPr>
        <w:tc>
          <w:tcPr>
            <w:tcW w:w="3100" w:type="dxa"/>
            <w:vAlign w:val="bottom"/>
            <w:gridSpan w:val="3"/>
          </w:tcPr>
          <w:p>
            <w:pPr>
              <w:spacing w:after="0"/>
              <w:rPr>
                <w:sz w:val="20"/>
                <w:szCs w:val="20"/>
                <w:color w:val="auto"/>
              </w:rPr>
            </w:pPr>
            <w:r>
              <w:rPr>
                <w:rFonts w:ascii="Arial" w:cs="Arial" w:eastAsia="Arial" w:hAnsi="Arial"/>
                <w:sz w:val="13"/>
                <w:szCs w:val="13"/>
                <w:color w:val="006098"/>
              </w:rPr>
              <w:t xml:space="preserve">August J. Troendle, </w:t>
            </w:r>
            <w:r>
              <w:rPr>
                <w:rFonts w:ascii="Arial" w:cs="Arial" w:eastAsia="Arial" w:hAnsi="Arial"/>
                <w:sz w:val="13"/>
                <w:szCs w:val="13"/>
                <w:i w:val="1"/>
                <w:iCs w:val="1"/>
                <w:color w:val="3F3F3F"/>
              </w:rPr>
              <w:t>Chief Executive Officer</w:t>
            </w: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58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6"/>
              </w:rPr>
              <w:t>2021</w:t>
            </w:r>
          </w:p>
        </w:tc>
        <w:tc>
          <w:tcPr>
            <w:tcW w:w="880" w:type="dxa"/>
            <w:vAlign w:val="bottom"/>
            <w:tcBorders>
              <w:top w:val="single" w:sz="8" w:color="BFBFBF"/>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$696,667</w:t>
            </w:r>
          </w:p>
        </w:tc>
        <w:tc>
          <w:tcPr>
            <w:tcW w:w="680" w:type="dxa"/>
            <w:vAlign w:val="bottom"/>
            <w:tcBorders>
              <w:top w:val="single" w:sz="8" w:color="BFBFBF"/>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$711,000</w:t>
            </w:r>
          </w:p>
        </w:tc>
        <w:tc>
          <w:tcPr>
            <w:tcW w:w="92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98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5"/>
              </w:rPr>
              <w:t>$4,409,925</w:t>
            </w:r>
          </w:p>
        </w:tc>
        <w:tc>
          <w:tcPr>
            <w:tcW w:w="144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8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4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5"/>
              </w:rPr>
              <w:t>$129,831</w:t>
            </w:r>
          </w:p>
        </w:tc>
        <w:tc>
          <w:tcPr>
            <w:tcW w:w="98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8"/>
              </w:rPr>
              <w:t>$5,947,423</w:t>
            </w: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5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6"/>
              </w:rPr>
              <w:t>2020</w:t>
            </w:r>
          </w:p>
        </w:tc>
        <w:tc>
          <w:tcPr>
            <w:tcW w:w="880" w:type="dxa"/>
            <w:vAlign w:val="bottom"/>
            <w:tcBorders>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$607,542</w:t>
            </w:r>
          </w:p>
        </w:tc>
        <w:tc>
          <w:tcPr>
            <w:tcW w:w="680" w:type="dxa"/>
            <w:vAlign w:val="bottom"/>
            <w:tcBorders>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$500,000</w:t>
            </w:r>
          </w:p>
        </w:tc>
        <w:tc>
          <w:tcPr>
            <w:tcW w:w="92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9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5"/>
              </w:rPr>
              <w:t>$3,004,695</w:t>
            </w:r>
          </w:p>
        </w:tc>
        <w:tc>
          <w:tcPr>
            <w:tcW w:w="144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4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3"/>
              </w:rPr>
              <w:t>$24,573</w:t>
            </w:r>
          </w:p>
        </w:tc>
        <w:tc>
          <w:tcPr>
            <w:tcW w:w="9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8"/>
              </w:rPr>
              <w:t>$4,136,810</w:t>
            </w:r>
          </w:p>
        </w:tc>
        <w:tc>
          <w:tcPr>
            <w:tcW w:w="0" w:type="dxa"/>
            <w:vAlign w:val="bottom"/>
          </w:tcPr>
          <w:p>
            <w:pPr>
              <w:spacing w:after="0"/>
              <w:rPr>
                <w:sz w:val="1"/>
                <w:szCs w:val="1"/>
                <w:color w:val="auto"/>
              </w:rPr>
            </w:pPr>
          </w:p>
        </w:tc>
      </w:tr>
      <w:tr>
        <w:trPr>
          <w:trHeight w:val="128"/>
        </w:trPr>
        <w:tc>
          <w:tcPr>
            <w:tcW w:w="1640" w:type="dxa"/>
            <w:vAlign w:val="bottom"/>
            <w:tcBorders>
              <w:bottom w:val="single" w:sz="8" w:color="BFBFBF"/>
            </w:tcBorders>
          </w:tcPr>
          <w:p>
            <w:pPr>
              <w:spacing w:after="0"/>
              <w:rPr>
                <w:sz w:val="11"/>
                <w:szCs w:val="11"/>
                <w:color w:val="auto"/>
              </w:rPr>
            </w:pPr>
          </w:p>
        </w:tc>
        <w:tc>
          <w:tcPr>
            <w:tcW w:w="5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6"/>
              </w:rPr>
              <w:t>2019</w:t>
            </w:r>
          </w:p>
        </w:tc>
        <w:tc>
          <w:tcPr>
            <w:tcW w:w="880" w:type="dxa"/>
            <w:vAlign w:val="bottom"/>
            <w:tcBorders>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$503,583</w:t>
            </w:r>
          </w:p>
        </w:tc>
        <w:tc>
          <w:tcPr>
            <w:tcW w:w="680" w:type="dxa"/>
            <w:vAlign w:val="bottom"/>
            <w:tcBorders>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1"/>
              </w:rPr>
              <w:t>—</w:t>
            </w:r>
          </w:p>
        </w:tc>
        <w:tc>
          <w:tcPr>
            <w:tcW w:w="92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8"/>
              </w:rPr>
              <w:t>$1,163,914</w:t>
            </w:r>
          </w:p>
        </w:tc>
        <w:tc>
          <w:tcPr>
            <w:tcW w:w="9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5"/>
              </w:rPr>
              <w:t>$5,956,360</w:t>
            </w:r>
          </w:p>
        </w:tc>
        <w:tc>
          <w:tcPr>
            <w:tcW w:w="144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4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3"/>
              </w:rPr>
              <w:t>$88,978</w:t>
            </w:r>
          </w:p>
        </w:tc>
        <w:tc>
          <w:tcPr>
            <w:tcW w:w="9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8"/>
              </w:rPr>
              <w:t>$7,712,835</w:t>
            </w:r>
          </w:p>
        </w:tc>
        <w:tc>
          <w:tcPr>
            <w:tcW w:w="0" w:type="dxa"/>
            <w:vAlign w:val="bottom"/>
          </w:tcPr>
          <w:p>
            <w:pPr>
              <w:spacing w:after="0"/>
              <w:rPr>
                <w:sz w:val="1"/>
                <w:szCs w:val="1"/>
                <w:color w:val="auto"/>
              </w:rPr>
            </w:pPr>
          </w:p>
        </w:tc>
      </w:tr>
      <w:tr>
        <w:trPr>
          <w:trHeight w:val="223"/>
        </w:trPr>
        <w:tc>
          <w:tcPr>
            <w:tcW w:w="3100" w:type="dxa"/>
            <w:vAlign w:val="bottom"/>
            <w:gridSpan w:val="3"/>
          </w:tcPr>
          <w:p>
            <w:pPr>
              <w:spacing w:after="0"/>
              <w:rPr>
                <w:sz w:val="20"/>
                <w:szCs w:val="20"/>
                <w:color w:val="auto"/>
              </w:rPr>
            </w:pPr>
            <w:r>
              <w:rPr>
                <w:rFonts w:ascii="Arial" w:cs="Arial" w:eastAsia="Arial" w:hAnsi="Arial"/>
                <w:sz w:val="13"/>
                <w:szCs w:val="13"/>
                <w:color w:val="006098"/>
                <w:w w:val="99"/>
              </w:rPr>
              <w:t xml:space="preserve">Kevin M. Brady, </w:t>
            </w:r>
            <w:r>
              <w:rPr>
                <w:rFonts w:ascii="Arial" w:cs="Arial" w:eastAsia="Arial" w:hAnsi="Arial"/>
                <w:sz w:val="13"/>
                <w:szCs w:val="13"/>
                <w:i w:val="1"/>
                <w:iCs w:val="1"/>
                <w:color w:val="3F3F3F"/>
                <w:w w:val="99"/>
              </w:rPr>
              <w:t>Chief Financial Officer and Treasurer</w:t>
            </w: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640" w:type="dxa"/>
            <w:vAlign w:val="bottom"/>
            <w:tcBorders>
              <w:bottom w:val="single" w:sz="8" w:color="BFBFBF"/>
            </w:tcBorders>
          </w:tcPr>
          <w:p>
            <w:pPr>
              <w:spacing w:after="0"/>
              <w:rPr>
                <w:sz w:val="11"/>
                <w:szCs w:val="11"/>
                <w:color w:val="auto"/>
              </w:rPr>
            </w:pPr>
          </w:p>
        </w:tc>
        <w:tc>
          <w:tcPr>
            <w:tcW w:w="58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6"/>
              </w:rPr>
              <w:t>2021</w:t>
            </w:r>
          </w:p>
        </w:tc>
        <w:tc>
          <w:tcPr>
            <w:tcW w:w="880" w:type="dxa"/>
            <w:vAlign w:val="bottom"/>
            <w:tcBorders>
              <w:top w:val="single" w:sz="8" w:color="BFBFBF"/>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$299,417</w:t>
            </w:r>
          </w:p>
        </w:tc>
        <w:tc>
          <w:tcPr>
            <w:tcW w:w="680" w:type="dxa"/>
            <w:vAlign w:val="bottom"/>
            <w:tcBorders>
              <w:top w:val="single" w:sz="8" w:color="BFBFBF"/>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$238,000</w:t>
            </w:r>
          </w:p>
        </w:tc>
        <w:tc>
          <w:tcPr>
            <w:tcW w:w="92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98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5"/>
              </w:rPr>
              <w:t>$653,296</w:t>
            </w:r>
          </w:p>
        </w:tc>
        <w:tc>
          <w:tcPr>
            <w:tcW w:w="144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8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4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rPr>
              <w:t>$9,750</w:t>
            </w:r>
          </w:p>
        </w:tc>
        <w:tc>
          <w:tcPr>
            <w:tcW w:w="98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8"/>
              </w:rPr>
              <w:t>$1,200,463</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3"/>
                <w:szCs w:val="13"/>
                <w:color w:val="006098"/>
              </w:rPr>
              <w:t xml:space="preserve">Jesse J. Geiger, </w:t>
            </w:r>
            <w:r>
              <w:rPr>
                <w:rFonts w:ascii="Arial" w:cs="Arial" w:eastAsia="Arial" w:hAnsi="Arial"/>
                <w:sz w:val="13"/>
                <w:szCs w:val="13"/>
                <w:i w:val="1"/>
                <w:iCs w:val="1"/>
                <w:color w:val="3F3F3F"/>
              </w:rPr>
              <w:t>President</w:t>
            </w:r>
          </w:p>
        </w:tc>
        <w:tc>
          <w:tcPr>
            <w:tcW w:w="580" w:type="dxa"/>
            <w:vAlign w:val="bottom"/>
            <w:tcBorders>
              <w:bottom w:val="single" w:sz="8" w:color="BFBFBF"/>
            </w:tcBorders>
          </w:tcPr>
          <w:p>
            <w:pPr>
              <w:spacing w:after="0"/>
              <w:rPr>
                <w:sz w:val="19"/>
                <w:szCs w:val="19"/>
                <w:color w:val="auto"/>
              </w:rPr>
            </w:pPr>
          </w:p>
        </w:tc>
        <w:tc>
          <w:tcPr>
            <w:tcW w:w="880" w:type="dxa"/>
            <w:vAlign w:val="bottom"/>
            <w:tcBorders>
              <w:bottom w:val="single" w:sz="8" w:color="BFBFBF"/>
            </w:tcBorders>
          </w:tcPr>
          <w:p>
            <w:pPr>
              <w:spacing w:after="0"/>
              <w:rPr>
                <w:sz w:val="19"/>
                <w:szCs w:val="19"/>
                <w:color w:val="auto"/>
              </w:rPr>
            </w:pPr>
          </w:p>
        </w:tc>
        <w:tc>
          <w:tcPr>
            <w:tcW w:w="680" w:type="dxa"/>
            <w:vAlign w:val="bottom"/>
            <w:tcBorders>
              <w:bottom w:val="single" w:sz="8" w:color="BFBFBF"/>
            </w:tcBorders>
          </w:tcPr>
          <w:p>
            <w:pPr>
              <w:spacing w:after="0"/>
              <w:rPr>
                <w:sz w:val="19"/>
                <w:szCs w:val="19"/>
                <w:color w:val="auto"/>
              </w:rPr>
            </w:pPr>
          </w:p>
        </w:tc>
        <w:tc>
          <w:tcPr>
            <w:tcW w:w="920" w:type="dxa"/>
            <w:vAlign w:val="bottom"/>
            <w:tcBorders>
              <w:bottom w:val="single" w:sz="8" w:color="BFBFBF"/>
            </w:tcBorders>
          </w:tcPr>
          <w:p>
            <w:pPr>
              <w:spacing w:after="0"/>
              <w:rPr>
                <w:sz w:val="19"/>
                <w:szCs w:val="19"/>
                <w:color w:val="auto"/>
              </w:rPr>
            </w:pPr>
          </w:p>
        </w:tc>
        <w:tc>
          <w:tcPr>
            <w:tcW w:w="980" w:type="dxa"/>
            <w:vAlign w:val="bottom"/>
            <w:tcBorders>
              <w:bottom w:val="single" w:sz="8" w:color="BFBFBF"/>
            </w:tcBorders>
          </w:tcPr>
          <w:p>
            <w:pPr>
              <w:spacing w:after="0"/>
              <w:rPr>
                <w:sz w:val="19"/>
                <w:szCs w:val="19"/>
                <w:color w:val="auto"/>
              </w:rPr>
            </w:pPr>
          </w:p>
        </w:tc>
        <w:tc>
          <w:tcPr>
            <w:tcW w:w="1440" w:type="dxa"/>
            <w:vAlign w:val="bottom"/>
            <w:tcBorders>
              <w:bottom w:val="single" w:sz="8" w:color="BFBFBF"/>
            </w:tcBorders>
          </w:tcPr>
          <w:p>
            <w:pPr>
              <w:spacing w:after="0"/>
              <w:rPr>
                <w:sz w:val="19"/>
                <w:szCs w:val="19"/>
                <w:color w:val="auto"/>
              </w:rPr>
            </w:pPr>
          </w:p>
        </w:tc>
        <w:tc>
          <w:tcPr>
            <w:tcW w:w="1480" w:type="dxa"/>
            <w:vAlign w:val="bottom"/>
            <w:tcBorders>
              <w:bottom w:val="single" w:sz="8" w:color="BFBFBF"/>
            </w:tcBorders>
          </w:tcPr>
          <w:p>
            <w:pPr>
              <w:spacing w:after="0"/>
              <w:rPr>
                <w:sz w:val="19"/>
                <w:szCs w:val="19"/>
                <w:color w:val="auto"/>
              </w:rPr>
            </w:pPr>
          </w:p>
        </w:tc>
        <w:tc>
          <w:tcPr>
            <w:tcW w:w="1440" w:type="dxa"/>
            <w:vAlign w:val="bottom"/>
            <w:tcBorders>
              <w:bottom w:val="single" w:sz="8" w:color="BFBFBF"/>
            </w:tcBorders>
          </w:tcPr>
          <w:p>
            <w:pPr>
              <w:spacing w:after="0"/>
              <w:rPr>
                <w:sz w:val="19"/>
                <w:szCs w:val="19"/>
                <w:color w:val="auto"/>
              </w:rPr>
            </w:pPr>
          </w:p>
        </w:tc>
        <w:tc>
          <w:tcPr>
            <w:tcW w:w="980" w:type="dxa"/>
            <w:vAlign w:val="bottom"/>
            <w:tcBorders>
              <w:bottom w:val="single" w:sz="8" w:color="BFBFBF"/>
            </w:tcBorders>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5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6"/>
              </w:rPr>
              <w:t>2021</w:t>
            </w:r>
          </w:p>
        </w:tc>
        <w:tc>
          <w:tcPr>
            <w:tcW w:w="880" w:type="dxa"/>
            <w:vAlign w:val="bottom"/>
            <w:tcBorders>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$466,667</w:t>
            </w:r>
          </w:p>
        </w:tc>
        <w:tc>
          <w:tcPr>
            <w:tcW w:w="680" w:type="dxa"/>
            <w:vAlign w:val="bottom"/>
            <w:tcBorders>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$329,000</w:t>
            </w:r>
          </w:p>
        </w:tc>
        <w:tc>
          <w:tcPr>
            <w:tcW w:w="92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9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5"/>
              </w:rPr>
              <w:t>$1,500,692</w:t>
            </w:r>
          </w:p>
        </w:tc>
        <w:tc>
          <w:tcPr>
            <w:tcW w:w="144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4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rPr>
              <w:t>$9,750</w:t>
            </w:r>
          </w:p>
        </w:tc>
        <w:tc>
          <w:tcPr>
            <w:tcW w:w="9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8"/>
              </w:rPr>
              <w:t>$2,306,109</w:t>
            </w: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5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6"/>
              </w:rPr>
              <w:t>2020</w:t>
            </w:r>
          </w:p>
        </w:tc>
        <w:tc>
          <w:tcPr>
            <w:tcW w:w="880" w:type="dxa"/>
            <w:vAlign w:val="bottom"/>
            <w:tcBorders>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$443,442</w:t>
            </w:r>
          </w:p>
        </w:tc>
        <w:tc>
          <w:tcPr>
            <w:tcW w:w="680" w:type="dxa"/>
            <w:vAlign w:val="bottom"/>
            <w:tcBorders>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$225,000</w:t>
            </w:r>
          </w:p>
        </w:tc>
        <w:tc>
          <w:tcPr>
            <w:tcW w:w="92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9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5"/>
              </w:rPr>
              <w:t>$1,201,878</w:t>
            </w:r>
          </w:p>
        </w:tc>
        <w:tc>
          <w:tcPr>
            <w:tcW w:w="144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4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rPr>
              <w:t>$9,750</w:t>
            </w:r>
          </w:p>
        </w:tc>
        <w:tc>
          <w:tcPr>
            <w:tcW w:w="9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8"/>
              </w:rPr>
              <w:t>$1,880,070</w:t>
            </w:r>
          </w:p>
        </w:tc>
        <w:tc>
          <w:tcPr>
            <w:tcW w:w="0" w:type="dxa"/>
            <w:vAlign w:val="bottom"/>
          </w:tcPr>
          <w:p>
            <w:pPr>
              <w:spacing w:after="0"/>
              <w:rPr>
                <w:sz w:val="1"/>
                <w:szCs w:val="1"/>
                <w:color w:val="auto"/>
              </w:rPr>
            </w:pPr>
          </w:p>
        </w:tc>
      </w:tr>
      <w:tr>
        <w:trPr>
          <w:trHeight w:val="128"/>
        </w:trPr>
        <w:tc>
          <w:tcPr>
            <w:tcW w:w="1640" w:type="dxa"/>
            <w:vAlign w:val="bottom"/>
            <w:tcBorders>
              <w:bottom w:val="single" w:sz="8" w:color="BFBFBF"/>
            </w:tcBorders>
          </w:tcPr>
          <w:p>
            <w:pPr>
              <w:spacing w:after="0"/>
              <w:rPr>
                <w:sz w:val="11"/>
                <w:szCs w:val="11"/>
                <w:color w:val="auto"/>
              </w:rPr>
            </w:pPr>
          </w:p>
        </w:tc>
        <w:tc>
          <w:tcPr>
            <w:tcW w:w="5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6"/>
              </w:rPr>
              <w:t>2019</w:t>
            </w:r>
          </w:p>
        </w:tc>
        <w:tc>
          <w:tcPr>
            <w:tcW w:w="880" w:type="dxa"/>
            <w:vAlign w:val="bottom"/>
            <w:tcBorders>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$409,475</w:t>
            </w:r>
          </w:p>
        </w:tc>
        <w:tc>
          <w:tcPr>
            <w:tcW w:w="680" w:type="dxa"/>
            <w:vAlign w:val="bottom"/>
            <w:tcBorders>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1"/>
              </w:rPr>
              <w:t>—</w:t>
            </w:r>
          </w:p>
        </w:tc>
        <w:tc>
          <w:tcPr>
            <w:tcW w:w="92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5"/>
              </w:rPr>
              <w:t>$573,997</w:t>
            </w:r>
          </w:p>
        </w:tc>
        <w:tc>
          <w:tcPr>
            <w:tcW w:w="9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5"/>
              </w:rPr>
              <w:t>$890,910</w:t>
            </w:r>
          </w:p>
        </w:tc>
        <w:tc>
          <w:tcPr>
            <w:tcW w:w="144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4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rPr>
              <w:t>$9,500</w:t>
            </w:r>
          </w:p>
        </w:tc>
        <w:tc>
          <w:tcPr>
            <w:tcW w:w="9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8"/>
              </w:rPr>
              <w:t>$1,883,882</w:t>
            </w:r>
          </w:p>
        </w:tc>
        <w:tc>
          <w:tcPr>
            <w:tcW w:w="0" w:type="dxa"/>
            <w:vAlign w:val="bottom"/>
          </w:tcPr>
          <w:p>
            <w:pPr>
              <w:spacing w:after="0"/>
              <w:rPr>
                <w:sz w:val="1"/>
                <w:szCs w:val="1"/>
                <w:color w:val="auto"/>
              </w:rPr>
            </w:pPr>
          </w:p>
        </w:tc>
      </w:tr>
      <w:tr>
        <w:trPr>
          <w:trHeight w:val="223"/>
        </w:trPr>
        <w:tc>
          <w:tcPr>
            <w:tcW w:w="3100" w:type="dxa"/>
            <w:vAlign w:val="bottom"/>
            <w:gridSpan w:val="3"/>
          </w:tcPr>
          <w:p>
            <w:pPr>
              <w:spacing w:after="0"/>
              <w:rPr>
                <w:sz w:val="20"/>
                <w:szCs w:val="20"/>
                <w:color w:val="auto"/>
              </w:rPr>
            </w:pPr>
            <w:r>
              <w:rPr>
                <w:rFonts w:ascii="Arial" w:cs="Arial" w:eastAsia="Arial" w:hAnsi="Arial"/>
                <w:sz w:val="13"/>
                <w:szCs w:val="13"/>
                <w:color w:val="006098"/>
                <w:w w:val="96"/>
              </w:rPr>
              <w:t xml:space="preserve">Susan E. Burwig, </w:t>
            </w:r>
            <w:r>
              <w:rPr>
                <w:rFonts w:ascii="Arial" w:cs="Arial" w:eastAsia="Arial" w:hAnsi="Arial"/>
                <w:sz w:val="13"/>
                <w:szCs w:val="13"/>
                <w:i w:val="1"/>
                <w:iCs w:val="1"/>
                <w:color w:val="3F3F3F"/>
                <w:w w:val="96"/>
              </w:rPr>
              <w:t>Executive Vice President, Operations</w:t>
            </w: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58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6"/>
              </w:rPr>
              <w:t>2021</w:t>
            </w:r>
          </w:p>
        </w:tc>
        <w:tc>
          <w:tcPr>
            <w:tcW w:w="880" w:type="dxa"/>
            <w:vAlign w:val="bottom"/>
            <w:tcBorders>
              <w:top w:val="single" w:sz="8" w:color="BFBFBF"/>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$482,500</w:t>
            </w:r>
          </w:p>
        </w:tc>
        <w:tc>
          <w:tcPr>
            <w:tcW w:w="680" w:type="dxa"/>
            <w:vAlign w:val="bottom"/>
            <w:tcBorders>
              <w:top w:val="single" w:sz="8" w:color="BFBFBF"/>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$338,800</w:t>
            </w:r>
          </w:p>
        </w:tc>
        <w:tc>
          <w:tcPr>
            <w:tcW w:w="92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98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5"/>
              </w:rPr>
              <w:t>$1,612,060</w:t>
            </w:r>
          </w:p>
        </w:tc>
        <w:tc>
          <w:tcPr>
            <w:tcW w:w="144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8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4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3"/>
              </w:rPr>
              <w:t>$88,986</w:t>
            </w:r>
          </w:p>
        </w:tc>
        <w:tc>
          <w:tcPr>
            <w:tcW w:w="98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8"/>
              </w:rPr>
              <w:t>$2,522,346</w:t>
            </w: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5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6"/>
              </w:rPr>
              <w:t>2020</w:t>
            </w:r>
          </w:p>
        </w:tc>
        <w:tc>
          <w:tcPr>
            <w:tcW w:w="880" w:type="dxa"/>
            <w:vAlign w:val="bottom"/>
            <w:tcBorders>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$466,017</w:t>
            </w:r>
          </w:p>
        </w:tc>
        <w:tc>
          <w:tcPr>
            <w:tcW w:w="680" w:type="dxa"/>
            <w:vAlign w:val="bottom"/>
            <w:tcBorders>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$237,500</w:t>
            </w:r>
          </w:p>
        </w:tc>
        <w:tc>
          <w:tcPr>
            <w:tcW w:w="92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9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5"/>
              </w:rPr>
              <w:t>$1,201,878</w:t>
            </w:r>
          </w:p>
        </w:tc>
        <w:tc>
          <w:tcPr>
            <w:tcW w:w="144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4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3"/>
              </w:rPr>
              <w:t>$46,729</w:t>
            </w:r>
          </w:p>
        </w:tc>
        <w:tc>
          <w:tcPr>
            <w:tcW w:w="9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8"/>
              </w:rPr>
              <w:t>$1,952,124</w:t>
            </w:r>
          </w:p>
        </w:tc>
        <w:tc>
          <w:tcPr>
            <w:tcW w:w="0" w:type="dxa"/>
            <w:vAlign w:val="bottom"/>
          </w:tcPr>
          <w:p>
            <w:pPr>
              <w:spacing w:after="0"/>
              <w:rPr>
                <w:sz w:val="1"/>
                <w:szCs w:val="1"/>
                <w:color w:val="auto"/>
              </w:rPr>
            </w:pPr>
          </w:p>
        </w:tc>
      </w:tr>
      <w:tr>
        <w:trPr>
          <w:trHeight w:val="129"/>
        </w:trPr>
        <w:tc>
          <w:tcPr>
            <w:tcW w:w="1640" w:type="dxa"/>
            <w:vAlign w:val="bottom"/>
            <w:tcBorders>
              <w:bottom w:val="single" w:sz="8" w:color="BFBFBF"/>
            </w:tcBorders>
          </w:tcPr>
          <w:p>
            <w:pPr>
              <w:spacing w:after="0"/>
              <w:rPr>
                <w:sz w:val="11"/>
                <w:szCs w:val="11"/>
                <w:color w:val="auto"/>
              </w:rPr>
            </w:pPr>
          </w:p>
        </w:tc>
        <w:tc>
          <w:tcPr>
            <w:tcW w:w="5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6"/>
              </w:rPr>
              <w:t>2019</w:t>
            </w:r>
          </w:p>
        </w:tc>
        <w:tc>
          <w:tcPr>
            <w:tcW w:w="880" w:type="dxa"/>
            <w:vAlign w:val="bottom"/>
            <w:tcBorders>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$419,099</w:t>
            </w:r>
          </w:p>
        </w:tc>
        <w:tc>
          <w:tcPr>
            <w:tcW w:w="680" w:type="dxa"/>
            <w:vAlign w:val="bottom"/>
            <w:tcBorders>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$150,000</w:t>
            </w:r>
          </w:p>
        </w:tc>
        <w:tc>
          <w:tcPr>
            <w:tcW w:w="92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5"/>
              </w:rPr>
              <w:t>$700,003</w:t>
            </w:r>
          </w:p>
        </w:tc>
        <w:tc>
          <w:tcPr>
            <w:tcW w:w="9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5"/>
              </w:rPr>
              <w:t>$1,096,239</w:t>
            </w:r>
          </w:p>
        </w:tc>
        <w:tc>
          <w:tcPr>
            <w:tcW w:w="144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4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3"/>
              </w:rPr>
              <w:t>$64,120</w:t>
            </w:r>
          </w:p>
        </w:tc>
        <w:tc>
          <w:tcPr>
            <w:tcW w:w="9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8"/>
              </w:rPr>
              <w:t>$2,429,461</w:t>
            </w:r>
          </w:p>
        </w:tc>
        <w:tc>
          <w:tcPr>
            <w:tcW w:w="0" w:type="dxa"/>
            <w:vAlign w:val="bottom"/>
          </w:tcPr>
          <w:p>
            <w:pPr>
              <w:spacing w:after="0"/>
              <w:rPr>
                <w:sz w:val="1"/>
                <w:szCs w:val="1"/>
                <w:color w:val="auto"/>
              </w:rPr>
            </w:pPr>
          </w:p>
        </w:tc>
      </w:tr>
      <w:tr>
        <w:trPr>
          <w:trHeight w:val="223"/>
        </w:trPr>
        <w:tc>
          <w:tcPr>
            <w:tcW w:w="3780" w:type="dxa"/>
            <w:vAlign w:val="bottom"/>
            <w:gridSpan w:val="4"/>
          </w:tcPr>
          <w:p>
            <w:pPr>
              <w:spacing w:after="0"/>
              <w:rPr>
                <w:sz w:val="20"/>
                <w:szCs w:val="20"/>
                <w:color w:val="auto"/>
              </w:rPr>
            </w:pPr>
            <w:r>
              <w:rPr>
                <w:rFonts w:ascii="Arial" w:cs="Arial" w:eastAsia="Arial" w:hAnsi="Arial"/>
                <w:sz w:val="13"/>
                <w:szCs w:val="13"/>
                <w:color w:val="006098"/>
              </w:rPr>
              <w:t xml:space="preserve">Stephen P. Ewald, </w:t>
            </w:r>
            <w:r>
              <w:rPr>
                <w:rFonts w:ascii="Arial" w:cs="Arial" w:eastAsia="Arial" w:hAnsi="Arial"/>
                <w:sz w:val="13"/>
                <w:szCs w:val="13"/>
                <w:i w:val="1"/>
                <w:iCs w:val="1"/>
                <w:color w:val="3F3F3F"/>
              </w:rPr>
              <w:t>General Counsel and Corporate Secretary</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58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6"/>
              </w:rPr>
              <w:t>2021</w:t>
            </w:r>
          </w:p>
        </w:tc>
        <w:tc>
          <w:tcPr>
            <w:tcW w:w="880" w:type="dxa"/>
            <w:vAlign w:val="bottom"/>
            <w:tcBorders>
              <w:top w:val="single" w:sz="8" w:color="BFBFBF"/>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$435,833</w:t>
            </w:r>
          </w:p>
        </w:tc>
        <w:tc>
          <w:tcPr>
            <w:tcW w:w="680" w:type="dxa"/>
            <w:vAlign w:val="bottom"/>
            <w:tcBorders>
              <w:top w:val="single" w:sz="8" w:color="BFBFBF"/>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$310,100</w:t>
            </w:r>
          </w:p>
        </w:tc>
        <w:tc>
          <w:tcPr>
            <w:tcW w:w="92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98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5"/>
              </w:rPr>
              <w:t>$1,105,108</w:t>
            </w:r>
          </w:p>
        </w:tc>
        <w:tc>
          <w:tcPr>
            <w:tcW w:w="144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8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4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rPr>
              <w:t>$8,050</w:t>
            </w:r>
          </w:p>
        </w:tc>
        <w:tc>
          <w:tcPr>
            <w:tcW w:w="980" w:type="dxa"/>
            <w:vAlign w:val="bottom"/>
            <w:tcBorders>
              <w:top w:val="single" w:sz="8" w:color="BFBFBF"/>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8"/>
              </w:rPr>
              <w:t>$1,859,091</w:t>
            </w: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5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6"/>
              </w:rPr>
              <w:t>2020</w:t>
            </w:r>
          </w:p>
        </w:tc>
        <w:tc>
          <w:tcPr>
            <w:tcW w:w="880" w:type="dxa"/>
            <w:vAlign w:val="bottom"/>
            <w:tcBorders>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$383,725</w:t>
            </w:r>
          </w:p>
        </w:tc>
        <w:tc>
          <w:tcPr>
            <w:tcW w:w="680" w:type="dxa"/>
            <w:vAlign w:val="bottom"/>
            <w:tcBorders>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$200,000</w:t>
            </w:r>
          </w:p>
        </w:tc>
        <w:tc>
          <w:tcPr>
            <w:tcW w:w="92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9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5"/>
              </w:rPr>
              <w:t>$951,461</w:t>
            </w:r>
          </w:p>
        </w:tc>
        <w:tc>
          <w:tcPr>
            <w:tcW w:w="144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4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rPr>
              <w:t>$3,837</w:t>
            </w:r>
          </w:p>
        </w:tc>
        <w:tc>
          <w:tcPr>
            <w:tcW w:w="9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8"/>
              </w:rPr>
              <w:t>$1,539,023</w:t>
            </w:r>
          </w:p>
        </w:tc>
        <w:tc>
          <w:tcPr>
            <w:tcW w:w="0" w:type="dxa"/>
            <w:vAlign w:val="bottom"/>
          </w:tcPr>
          <w:p>
            <w:pPr>
              <w:spacing w:after="0"/>
              <w:rPr>
                <w:sz w:val="1"/>
                <w:szCs w:val="1"/>
                <w:color w:val="auto"/>
              </w:rPr>
            </w:pPr>
          </w:p>
        </w:tc>
      </w:tr>
      <w:tr>
        <w:trPr>
          <w:trHeight w:val="129"/>
        </w:trPr>
        <w:tc>
          <w:tcPr>
            <w:tcW w:w="1640" w:type="dxa"/>
            <w:vAlign w:val="bottom"/>
            <w:tcBorders>
              <w:bottom w:val="single" w:sz="8" w:color="BFBFBF"/>
            </w:tcBorders>
          </w:tcPr>
          <w:p>
            <w:pPr>
              <w:spacing w:after="0"/>
              <w:rPr>
                <w:sz w:val="11"/>
                <w:szCs w:val="11"/>
                <w:color w:val="auto"/>
              </w:rPr>
            </w:pPr>
          </w:p>
        </w:tc>
        <w:tc>
          <w:tcPr>
            <w:tcW w:w="5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6"/>
              </w:rPr>
              <w:t>2019</w:t>
            </w:r>
          </w:p>
        </w:tc>
        <w:tc>
          <w:tcPr>
            <w:tcW w:w="880" w:type="dxa"/>
            <w:vAlign w:val="bottom"/>
            <w:tcBorders>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$299,791</w:t>
            </w:r>
          </w:p>
        </w:tc>
        <w:tc>
          <w:tcPr>
            <w:tcW w:w="680" w:type="dxa"/>
            <w:vAlign w:val="bottom"/>
            <w:tcBorders>
              <w:bottom w:val="single" w:sz="8" w:color="BFBFBF"/>
            </w:tcBorders>
          </w:tcPr>
          <w:p>
            <w:pPr>
              <w:jc w:val="center"/>
              <w:ind w:right="57"/>
              <w:spacing w:after="0" w:line="129" w:lineRule="exact"/>
              <w:rPr>
                <w:sz w:val="20"/>
                <w:szCs w:val="20"/>
                <w:color w:val="auto"/>
              </w:rPr>
            </w:pPr>
            <w:r>
              <w:rPr>
                <w:rFonts w:ascii="Arial" w:cs="Arial" w:eastAsia="Arial" w:hAnsi="Arial"/>
                <w:sz w:val="13"/>
                <w:szCs w:val="13"/>
                <w:color w:val="3F3F3F"/>
                <w:w w:val="95"/>
              </w:rPr>
              <w:t>$110,000</w:t>
            </w:r>
          </w:p>
        </w:tc>
        <w:tc>
          <w:tcPr>
            <w:tcW w:w="92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5"/>
              </w:rPr>
              <w:t>$300,040</w:t>
            </w:r>
          </w:p>
        </w:tc>
        <w:tc>
          <w:tcPr>
            <w:tcW w:w="9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5"/>
              </w:rPr>
              <w:t>$537,743</w:t>
            </w:r>
          </w:p>
        </w:tc>
        <w:tc>
          <w:tcPr>
            <w:tcW w:w="144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1"/>
              </w:rPr>
              <w:t>—</w:t>
            </w:r>
          </w:p>
        </w:tc>
        <w:tc>
          <w:tcPr>
            <w:tcW w:w="144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rPr>
              <w:t>$5,998</w:t>
            </w:r>
          </w:p>
        </w:tc>
        <w:tc>
          <w:tcPr>
            <w:tcW w:w="980" w:type="dxa"/>
            <w:vAlign w:val="bottom"/>
            <w:tcBorders>
              <w:bottom w:val="single" w:sz="8" w:color="BFBFBF"/>
            </w:tcBorders>
          </w:tcPr>
          <w:p>
            <w:pPr>
              <w:jc w:val="center"/>
              <w:spacing w:after="0" w:line="129" w:lineRule="exact"/>
              <w:rPr>
                <w:sz w:val="20"/>
                <w:szCs w:val="20"/>
                <w:color w:val="auto"/>
              </w:rPr>
            </w:pPr>
            <w:r>
              <w:rPr>
                <w:rFonts w:ascii="Arial" w:cs="Arial" w:eastAsia="Arial" w:hAnsi="Arial"/>
                <w:sz w:val="13"/>
                <w:szCs w:val="13"/>
                <w:color w:val="3F3F3F"/>
                <w:w w:val="98"/>
              </w:rPr>
              <w:t>$1,253,572</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1000" w:right="440" w:hanging="884"/>
        <w:spacing w:after="0" w:line="271" w:lineRule="auto"/>
        <w:tabs>
          <w:tab w:leader="none" w:pos="1000" w:val="left"/>
        </w:tabs>
        <w:numPr>
          <w:ilvl w:val="0"/>
          <w:numId w:val="19"/>
        </w:numPr>
        <w:rPr>
          <w:rFonts w:ascii="Arial" w:cs="Arial" w:eastAsia="Arial" w:hAnsi="Arial"/>
          <w:sz w:val="18"/>
          <w:szCs w:val="18"/>
          <w:color w:val="3F3F3F"/>
        </w:rPr>
      </w:pPr>
      <w:r>
        <w:rPr>
          <w:rFonts w:ascii="Arial" w:cs="Arial" w:eastAsia="Arial" w:hAnsi="Arial"/>
          <w:sz w:val="18"/>
          <w:szCs w:val="18"/>
          <w:color w:val="3F3F3F"/>
        </w:rPr>
        <w:t>The amounts shown in the table represent annual cash bonuses. Effective August 1, 2021, Mr. Brady was appointed Chief Financial Officer. His compensation information for 2020 and 2019 is not required to be disclosed for those years.</w:t>
      </w:r>
    </w:p>
    <w:p>
      <w:pPr>
        <w:spacing w:after="0" w:line="59" w:lineRule="exact"/>
        <w:rPr>
          <w:rFonts w:ascii="Arial" w:cs="Arial" w:eastAsia="Arial" w:hAnsi="Arial"/>
          <w:sz w:val="18"/>
          <w:szCs w:val="18"/>
          <w:color w:val="3F3F3F"/>
        </w:rPr>
      </w:pPr>
    </w:p>
    <w:p>
      <w:pPr>
        <w:ind w:left="1000" w:right="220" w:hanging="884"/>
        <w:spacing w:after="0" w:line="255" w:lineRule="auto"/>
        <w:tabs>
          <w:tab w:leader="none" w:pos="1000" w:val="left"/>
        </w:tabs>
        <w:numPr>
          <w:ilvl w:val="0"/>
          <w:numId w:val="19"/>
        </w:numPr>
        <w:rPr>
          <w:rFonts w:ascii="Arial" w:cs="Arial" w:eastAsia="Arial" w:hAnsi="Arial"/>
          <w:sz w:val="17"/>
          <w:szCs w:val="17"/>
          <w:color w:val="3F3F3F"/>
        </w:rPr>
      </w:pPr>
      <w:r>
        <w:rPr>
          <w:rFonts w:ascii="Arial" w:cs="Arial" w:eastAsia="Arial" w:hAnsi="Arial"/>
          <w:sz w:val="17"/>
          <w:szCs w:val="17"/>
          <w:color w:val="3F3F3F"/>
        </w:rPr>
        <w:t>For 2019, the Compensation Committee determined that the CEO and CFO would receive their bonuses in the form of equity awards in lieu of cash. Included in the above 2019 total stock awards are 1,823 shares of restricted stock that Mr. Troendle received and 822 restricted stock units that Mr. Geiger received as part of their respective bonuses. As described in note</w:t>
      </w:r>
    </w:p>
    <w:p>
      <w:pPr>
        <w:spacing w:after="0" w:line="2" w:lineRule="exact"/>
        <w:rPr>
          <w:rFonts w:ascii="Arial" w:cs="Arial" w:eastAsia="Arial" w:hAnsi="Arial"/>
          <w:sz w:val="17"/>
          <w:szCs w:val="17"/>
          <w:color w:val="3F3F3F"/>
        </w:rPr>
      </w:pPr>
    </w:p>
    <w:p>
      <w:pPr>
        <w:jc w:val="both"/>
        <w:ind w:left="1000" w:right="200"/>
        <w:spacing w:after="0" w:line="242" w:lineRule="auto"/>
        <w:rPr>
          <w:rFonts w:ascii="Arial" w:cs="Arial" w:eastAsia="Arial" w:hAnsi="Arial"/>
          <w:sz w:val="17"/>
          <w:szCs w:val="17"/>
          <w:color w:val="3F3F3F"/>
        </w:rPr>
      </w:pPr>
      <w:r>
        <w:rPr>
          <w:rFonts w:ascii="Arial" w:cs="Arial" w:eastAsia="Arial" w:hAnsi="Arial"/>
          <w:sz w:val="18"/>
          <w:szCs w:val="18"/>
          <w:color w:val="3F3F3F"/>
        </w:rPr>
        <w:t>(3) below, they each also received stock options as part of their respective bonuses. All restricted stock awards and restricted stock unit awards granted to any NEOs have been valued based on the market price of the Company’s common stock on the date of grant as quoted on the NASDAQ Global Select Market.</w:t>
      </w:r>
    </w:p>
    <w:p>
      <w:pPr>
        <w:spacing w:after="0" w:line="84" w:lineRule="exact"/>
        <w:rPr>
          <w:rFonts w:ascii="Arial" w:cs="Arial" w:eastAsia="Arial" w:hAnsi="Arial"/>
          <w:sz w:val="17"/>
          <w:szCs w:val="17"/>
          <w:color w:val="3F3F3F"/>
        </w:rPr>
      </w:pPr>
    </w:p>
    <w:p>
      <w:pPr>
        <w:ind w:left="1000" w:right="20" w:hanging="884"/>
        <w:spacing w:after="0"/>
        <w:tabs>
          <w:tab w:leader="none" w:pos="1000" w:val="left"/>
        </w:tabs>
        <w:numPr>
          <w:ilvl w:val="0"/>
          <w:numId w:val="19"/>
        </w:numPr>
        <w:rPr>
          <w:rFonts w:ascii="Arial" w:cs="Arial" w:eastAsia="Arial" w:hAnsi="Arial"/>
          <w:sz w:val="18"/>
          <w:szCs w:val="18"/>
          <w:color w:val="3F3F3F"/>
        </w:rPr>
      </w:pPr>
      <w:r>
        <w:rPr>
          <w:rFonts w:ascii="Arial" w:cs="Arial" w:eastAsia="Arial" w:hAnsi="Arial"/>
          <w:sz w:val="18"/>
          <w:szCs w:val="18"/>
          <w:color w:val="3F3F3F"/>
        </w:rPr>
        <w:t>For 2019, the Compensation Committee determined that the CEO and CFO would receive their bonuses in the form of equity awards in lieu of cash. Included in the above 2019 total stock option awards are 11,936 stock options that Mr. Troendle received and 5,384 stock options that Mr. Geiger received as part of their respective bonuses. As described in note (2) above, Mr. Troendle also received restricted stock awards and Mr. Geiger also received restricted stock unit awards as part of their respective bonuses. For 2020, the Compensation Committee granted awards of stock options to NEOs on April 27, 2021, which was after the date of the filing of the proxy statement for the 2021 Annual Meeting of Stockholders. Mr. Troendle received 57,570 stock options, Mr. Geiger received 23,028 stock options, Ms. Burwig received 23,028 stock options and Mr. Ewald received 18,230 stock options. The</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F3F3F"/>
        </w:rPr>
        <w:t>37</w:t>
      </w:r>
    </w:p>
    <w:p>
      <w:pPr>
        <w:sectPr>
          <w:pgSz w:w="11900" w:h="16838" w:orient="portrait"/>
          <w:cols w:equalWidth="0" w:num="1">
            <w:col w:w="11140"/>
          </w:cols>
          <w:pgMar w:left="32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EXECUTIVE COMPENSATION</w:t>
      </w:r>
    </w:p>
    <w:p>
      <w:pPr>
        <w:spacing w:after="0" w:line="144" w:lineRule="exact"/>
        <w:rPr>
          <w:sz w:val="20"/>
          <w:szCs w:val="20"/>
          <w:color w:val="auto"/>
        </w:rPr>
      </w:pPr>
    </w:p>
    <w:p>
      <w:pPr>
        <w:ind w:left="1000" w:right="40"/>
        <w:spacing w:after="0" w:line="244" w:lineRule="auto"/>
        <w:rPr>
          <w:sz w:val="20"/>
          <w:szCs w:val="20"/>
          <w:color w:val="auto"/>
        </w:rPr>
      </w:pPr>
      <w:r>
        <w:rPr>
          <w:rFonts w:ascii="Arial" w:cs="Arial" w:eastAsia="Arial" w:hAnsi="Arial"/>
          <w:sz w:val="18"/>
          <w:szCs w:val="18"/>
          <w:color w:val="3F3F3F"/>
        </w:rPr>
        <w:t>value of these options has been added to this column for 2020. All stock option awards granted to any NEOs have been valued based on the fair value of the option awards using the Black-Scholes-Merton option pricing model. We provide information regarding the assumptions used to calculate the value of all option awards made to executive officers in 2021 in our Annual Report on Form 10-K for 2021 under the section captioned “Stock Based Compensation” in Management’s Discussion and Analysis of Financial Condition and Results of Operations and Note 9 to our consolidated financial statements.</w:t>
      </w:r>
    </w:p>
    <w:p>
      <w:pPr>
        <w:spacing w:after="0" w:line="82" w:lineRule="exact"/>
        <w:rPr>
          <w:sz w:val="20"/>
          <w:szCs w:val="20"/>
          <w:color w:val="auto"/>
        </w:rPr>
      </w:pPr>
    </w:p>
    <w:p>
      <w:pPr>
        <w:ind w:left="1000" w:right="260" w:hanging="884"/>
        <w:spacing w:after="0" w:line="259" w:lineRule="auto"/>
        <w:tabs>
          <w:tab w:leader="none" w:pos="1000" w:val="left"/>
        </w:tabs>
        <w:numPr>
          <w:ilvl w:val="0"/>
          <w:numId w:val="20"/>
        </w:numPr>
        <w:rPr>
          <w:rFonts w:ascii="Arial" w:cs="Arial" w:eastAsia="Arial" w:hAnsi="Arial"/>
          <w:sz w:val="17"/>
          <w:szCs w:val="17"/>
          <w:color w:val="3F3F3F"/>
        </w:rPr>
      </w:pPr>
      <w:r>
        <w:rPr>
          <w:rFonts w:ascii="Arial" w:cs="Arial" w:eastAsia="Arial" w:hAnsi="Arial"/>
          <w:sz w:val="17"/>
          <w:szCs w:val="17"/>
          <w:color w:val="3F3F3F"/>
        </w:rPr>
        <w:t>The amount shown in this column in 2021 for Mr. Brady, Mr. Geiger, and Mr. Ewald consists exclusively of fully vested 401(k) matching contributions paid to his respective account by the Company. The amounts shown in this column in 2021 for</w:t>
      </w:r>
    </w:p>
    <w:p>
      <w:pPr>
        <w:spacing w:after="0" w:line="1" w:lineRule="exact"/>
        <w:rPr>
          <w:rFonts w:ascii="Arial" w:cs="Arial" w:eastAsia="Arial" w:hAnsi="Arial"/>
          <w:sz w:val="17"/>
          <w:szCs w:val="17"/>
          <w:color w:val="3F3F3F"/>
        </w:rPr>
      </w:pPr>
    </w:p>
    <w:p>
      <w:pPr>
        <w:ind w:left="1000" w:right="20"/>
        <w:spacing w:after="0" w:line="237" w:lineRule="auto"/>
        <w:rPr>
          <w:rFonts w:ascii="Arial" w:cs="Arial" w:eastAsia="Arial" w:hAnsi="Arial"/>
          <w:sz w:val="17"/>
          <w:szCs w:val="17"/>
          <w:color w:val="3F3F3F"/>
        </w:rPr>
      </w:pPr>
      <w:r>
        <w:rPr>
          <w:rFonts w:ascii="Arial" w:cs="Arial" w:eastAsia="Arial" w:hAnsi="Arial"/>
          <w:sz w:val="18"/>
          <w:szCs w:val="18"/>
          <w:color w:val="3F3F3F"/>
        </w:rPr>
        <w:t>Mr. Troendle and Ms. Burwig consist of fully vested 401(k) matching contributions of $11,600 each paid to their respective accounts by the Company and incremental costs of $118,231 and $77,386, respectively, attributable to personal usage of Company provided aircraft paid for by the Company on their behalf. For multi-leg hybrid flights in which at least one leg consists of personal use, the incremental cost of personal use is calculated based on the difference between the actual cost of the personal and business legs of the flight and the hypothetical cost that would have been incurred if only the business legs of the flight occurred, using costs provided by the chartered jet service provider. Pursuant to Company policy, for personal use of Company provided aircraft in which both Mr. Troendle and Ms. Burwig are present, incremental cost is allocated to Mr. Troendle for purposes of the Summary Compensation Table unless the incremental cost specifically relates to Ms. Burwig.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Grants of Plan-Based Awards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following table summarizes the awards granted to each of the NEOs during the fiscal year ended December 31, 2021.</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3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006098"/>
                <w:w w:val="97"/>
              </w:rPr>
              <w:t>Estimated Future Payouts</w:t>
            </w:r>
          </w:p>
        </w:tc>
        <w:tc>
          <w:tcPr>
            <w:tcW w:w="1520" w:type="dxa"/>
            <w:vAlign w:val="bottom"/>
            <w:gridSpan w:val="2"/>
          </w:tcPr>
          <w:p>
            <w:pPr>
              <w:jc w:val="center"/>
              <w:ind w:left="357"/>
              <w:spacing w:after="0"/>
              <w:rPr>
                <w:sz w:val="20"/>
                <w:szCs w:val="20"/>
                <w:color w:val="auto"/>
              </w:rPr>
            </w:pPr>
            <w:r>
              <w:rPr>
                <w:rFonts w:ascii="Arial" w:cs="Arial" w:eastAsia="Arial" w:hAnsi="Arial"/>
                <w:sz w:val="13"/>
                <w:szCs w:val="13"/>
                <w:b w:val="1"/>
                <w:bCs w:val="1"/>
                <w:color w:val="006098"/>
                <w:w w:val="96"/>
              </w:rPr>
              <w:t>Estimated Future</w:t>
            </w:r>
          </w:p>
        </w:tc>
        <w:tc>
          <w:tcPr>
            <w:tcW w:w="3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006098"/>
                <w:w w:val="94"/>
              </w:rPr>
              <w:t>All other</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006098"/>
                <w:w w:val="94"/>
              </w:rPr>
              <w:t>All other</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006098"/>
                <w:w w:val="97"/>
              </w:rPr>
              <w:t>Exercise</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006098"/>
                <w:w w:val="96"/>
              </w:rPr>
              <w:t>Grant Date</w:t>
            </w: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jc w:val="center"/>
              <w:ind w:right="257"/>
              <w:spacing w:after="0" w:line="135" w:lineRule="exact"/>
              <w:rPr>
                <w:sz w:val="20"/>
                <w:szCs w:val="20"/>
                <w:color w:val="auto"/>
              </w:rPr>
            </w:pPr>
            <w:r>
              <w:rPr>
                <w:rFonts w:ascii="Arial" w:cs="Arial" w:eastAsia="Arial" w:hAnsi="Arial"/>
                <w:sz w:val="13"/>
                <w:szCs w:val="13"/>
                <w:b w:val="1"/>
                <w:bCs w:val="1"/>
                <w:color w:val="006098"/>
                <w:w w:val="95"/>
              </w:rPr>
              <w:t>Under</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2"/>
          </w:tcPr>
          <w:p>
            <w:pPr>
              <w:jc w:val="center"/>
              <w:ind w:left="357"/>
              <w:spacing w:after="0" w:line="135" w:lineRule="exact"/>
              <w:rPr>
                <w:sz w:val="20"/>
                <w:szCs w:val="20"/>
                <w:color w:val="auto"/>
              </w:rPr>
            </w:pPr>
            <w:r>
              <w:rPr>
                <w:rFonts w:ascii="Arial" w:cs="Arial" w:eastAsia="Arial" w:hAnsi="Arial"/>
                <w:sz w:val="13"/>
                <w:szCs w:val="13"/>
                <w:b w:val="1"/>
                <w:bCs w:val="1"/>
                <w:color w:val="006098"/>
                <w:w w:val="98"/>
              </w:rPr>
              <w:t>Payouts Under</w:t>
            </w:r>
          </w:p>
        </w:tc>
        <w:tc>
          <w:tcPr>
            <w:tcW w:w="3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5"/>
              </w:rPr>
              <w:t>Stock</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5"/>
              </w:rPr>
              <w:t>Option</w:t>
            </w:r>
          </w:p>
        </w:tc>
        <w:tc>
          <w:tcPr>
            <w:tcW w:w="7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30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006098"/>
                <w:w w:val="97"/>
              </w:rPr>
              <w:t>Non-Equity Incentive Plan</w:t>
            </w:r>
          </w:p>
        </w:tc>
        <w:tc>
          <w:tcPr>
            <w:tcW w:w="1840" w:type="dxa"/>
            <w:vAlign w:val="bottom"/>
            <w:gridSpan w:val="3"/>
          </w:tcPr>
          <w:p>
            <w:pPr>
              <w:jc w:val="center"/>
              <w:ind w:left="37"/>
              <w:spacing w:after="0" w:line="135" w:lineRule="exact"/>
              <w:rPr>
                <w:sz w:val="20"/>
                <w:szCs w:val="20"/>
                <w:color w:val="auto"/>
              </w:rPr>
            </w:pPr>
            <w:r>
              <w:rPr>
                <w:rFonts w:ascii="Arial" w:cs="Arial" w:eastAsia="Arial" w:hAnsi="Arial"/>
                <w:sz w:val="13"/>
                <w:szCs w:val="13"/>
                <w:b w:val="1"/>
                <w:bCs w:val="1"/>
                <w:color w:val="006098"/>
                <w:w w:val="96"/>
              </w:rPr>
              <w:t>Equity Incentive Plan</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Awards: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Awards:</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or Base</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Fair Value</w:t>
            </w: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Borders>
              <w:bottom w:val="single" w:sz="8" w:color="83BA90"/>
            </w:tcBorders>
          </w:tcPr>
          <w:p>
            <w:pPr>
              <w:spacing w:after="0"/>
              <w:rPr>
                <w:sz w:val="12"/>
                <w:szCs w:val="12"/>
                <w:color w:val="auto"/>
              </w:rPr>
            </w:pPr>
          </w:p>
        </w:tc>
        <w:tc>
          <w:tcPr>
            <w:tcW w:w="800" w:type="dxa"/>
            <w:vAlign w:val="bottom"/>
            <w:tcBorders>
              <w:bottom w:val="single" w:sz="8" w:color="83BA90"/>
            </w:tcBorders>
          </w:tcPr>
          <w:p>
            <w:pPr>
              <w:jc w:val="center"/>
              <w:ind w:right="257"/>
              <w:spacing w:after="0" w:line="135" w:lineRule="exact"/>
              <w:rPr>
                <w:sz w:val="20"/>
                <w:szCs w:val="20"/>
                <w:color w:val="auto"/>
              </w:rPr>
            </w:pPr>
            <w:r>
              <w:rPr>
                <w:rFonts w:ascii="Arial" w:cs="Arial" w:eastAsia="Arial" w:hAnsi="Arial"/>
                <w:sz w:val="13"/>
                <w:szCs w:val="13"/>
                <w:b w:val="1"/>
                <w:bCs w:val="1"/>
                <w:color w:val="006098"/>
                <w:w w:val="93"/>
              </w:rPr>
              <w:t>Awards</w:t>
            </w:r>
          </w:p>
        </w:tc>
        <w:tc>
          <w:tcPr>
            <w:tcW w:w="440" w:type="dxa"/>
            <w:vAlign w:val="bottom"/>
            <w:tcBorders>
              <w:bottom w:val="single" w:sz="8" w:color="83BA90"/>
            </w:tcBorders>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Borders>
              <w:bottom w:val="single" w:sz="8" w:color="83BA90"/>
            </w:tcBorders>
            <w:gridSpan w:val="2"/>
          </w:tcPr>
          <w:p>
            <w:pPr>
              <w:jc w:val="center"/>
              <w:ind w:left="357"/>
              <w:spacing w:after="0" w:line="135" w:lineRule="exact"/>
              <w:rPr>
                <w:sz w:val="20"/>
                <w:szCs w:val="20"/>
                <w:color w:val="auto"/>
              </w:rPr>
            </w:pPr>
            <w:r>
              <w:rPr>
                <w:rFonts w:ascii="Arial" w:cs="Arial" w:eastAsia="Arial" w:hAnsi="Arial"/>
                <w:sz w:val="13"/>
                <w:szCs w:val="13"/>
                <w:b w:val="1"/>
                <w:bCs w:val="1"/>
                <w:color w:val="006098"/>
                <w:w w:val="97"/>
              </w:rPr>
              <w:t>Awards</w:t>
            </w:r>
          </w:p>
        </w:tc>
        <w:tc>
          <w:tcPr>
            <w:tcW w:w="320" w:type="dxa"/>
            <w:vAlign w:val="bottom"/>
            <w:tcBorders>
              <w:bottom w:val="single" w:sz="8" w:color="83BA90"/>
            </w:tcBorders>
          </w:tcPr>
          <w:p>
            <w:pPr>
              <w:spacing w:after="0"/>
              <w:rPr>
                <w:sz w:val="12"/>
                <w:szCs w:val="12"/>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5"/>
              </w:rPr>
              <w:t>Number of</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5"/>
              </w:rPr>
              <w:t>Number of</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Price of</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of Stock</w:t>
            </w:r>
          </w:p>
        </w:tc>
        <w:tc>
          <w:tcPr>
            <w:tcW w:w="0" w:type="dxa"/>
            <w:vAlign w:val="bottom"/>
          </w:tcPr>
          <w:p>
            <w:pPr>
              <w:spacing w:after="0"/>
              <w:rPr>
                <w:sz w:val="1"/>
                <w:szCs w:val="1"/>
                <w:color w:val="auto"/>
              </w:rPr>
            </w:pPr>
          </w:p>
        </w:tc>
      </w:tr>
      <w:tr>
        <w:trPr>
          <w:trHeight w:val="108"/>
        </w:trPr>
        <w:tc>
          <w:tcPr>
            <w:tcW w:w="2140" w:type="dxa"/>
            <w:vAlign w:val="bottom"/>
          </w:tcPr>
          <w:p>
            <w:pPr>
              <w:spacing w:after="0"/>
              <w:rPr>
                <w:sz w:val="9"/>
                <w:szCs w:val="9"/>
                <w:color w:val="auto"/>
              </w:rPr>
            </w:pPr>
          </w:p>
        </w:tc>
        <w:tc>
          <w:tcPr>
            <w:tcW w:w="1280" w:type="dxa"/>
            <w:vAlign w:val="bottom"/>
            <w:vMerge w:val="restart"/>
          </w:tcPr>
          <w:p>
            <w:pPr>
              <w:jc w:val="center"/>
              <w:ind w:left="517"/>
              <w:spacing w:after="0"/>
              <w:rPr>
                <w:sz w:val="20"/>
                <w:szCs w:val="20"/>
                <w:color w:val="auto"/>
              </w:rPr>
            </w:pPr>
            <w:r>
              <w:rPr>
                <w:rFonts w:ascii="Arial" w:cs="Arial" w:eastAsia="Arial" w:hAnsi="Arial"/>
                <w:sz w:val="13"/>
                <w:szCs w:val="13"/>
                <w:b w:val="1"/>
                <w:bCs w:val="1"/>
                <w:color w:val="006098"/>
                <w:w w:val="97"/>
              </w:rPr>
              <w:t>Grant</w:t>
            </w:r>
          </w:p>
        </w:tc>
        <w:tc>
          <w:tcPr>
            <w:tcW w:w="860" w:type="dxa"/>
            <w:vAlign w:val="bottom"/>
            <w:vMerge w:val="restart"/>
          </w:tcPr>
          <w:p>
            <w:pPr>
              <w:jc w:val="center"/>
              <w:ind w:left="137"/>
              <w:spacing w:after="0"/>
              <w:rPr>
                <w:sz w:val="20"/>
                <w:szCs w:val="20"/>
                <w:color w:val="auto"/>
              </w:rPr>
            </w:pPr>
            <w:r>
              <w:rPr>
                <w:rFonts w:ascii="Arial" w:cs="Arial" w:eastAsia="Arial" w:hAnsi="Arial"/>
                <w:sz w:val="13"/>
                <w:szCs w:val="13"/>
                <w:b w:val="1"/>
                <w:bCs w:val="1"/>
                <w:color w:val="006098"/>
                <w:w w:val="98"/>
              </w:rPr>
              <w:t>Threshold</w:t>
            </w:r>
          </w:p>
        </w:tc>
        <w:tc>
          <w:tcPr>
            <w:tcW w:w="800" w:type="dxa"/>
            <w:vAlign w:val="bottom"/>
            <w:vMerge w:val="restart"/>
          </w:tcPr>
          <w:p>
            <w:pPr>
              <w:jc w:val="center"/>
              <w:ind w:left="77"/>
              <w:spacing w:after="0"/>
              <w:rPr>
                <w:sz w:val="20"/>
                <w:szCs w:val="20"/>
                <w:color w:val="auto"/>
              </w:rPr>
            </w:pPr>
            <w:r>
              <w:rPr>
                <w:rFonts w:ascii="Arial" w:cs="Arial" w:eastAsia="Arial" w:hAnsi="Arial"/>
                <w:sz w:val="13"/>
                <w:szCs w:val="13"/>
                <w:b w:val="1"/>
                <w:bCs w:val="1"/>
                <w:color w:val="006098"/>
                <w:w w:val="95"/>
              </w:rPr>
              <w:t>Target</w:t>
            </w: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006098"/>
                <w:w w:val="94"/>
              </w:rPr>
              <w:t>Max</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006098"/>
                <w:w w:val="95"/>
              </w:rPr>
              <w:t>Threshold</w:t>
            </w: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006098"/>
                <w:w w:val="95"/>
              </w:rPr>
              <w:t>Target</w:t>
            </w:r>
          </w:p>
        </w:tc>
        <w:tc>
          <w:tcPr>
            <w:tcW w:w="320" w:type="dxa"/>
            <w:vAlign w:val="bottom"/>
            <w:vMerge w:val="restart"/>
          </w:tcPr>
          <w:p>
            <w:pPr>
              <w:jc w:val="center"/>
              <w:spacing w:after="0"/>
              <w:rPr>
                <w:sz w:val="20"/>
                <w:szCs w:val="20"/>
                <w:color w:val="auto"/>
              </w:rPr>
            </w:pPr>
            <w:r>
              <w:rPr>
                <w:rFonts w:ascii="Arial" w:cs="Arial" w:eastAsia="Arial" w:hAnsi="Arial"/>
                <w:sz w:val="13"/>
                <w:szCs w:val="13"/>
                <w:b w:val="1"/>
                <w:bCs w:val="1"/>
                <w:color w:val="006098"/>
                <w:w w:val="94"/>
              </w:rPr>
              <w:t>Max</w:t>
            </w:r>
          </w:p>
        </w:tc>
        <w:tc>
          <w:tcPr>
            <w:tcW w:w="920" w:type="dxa"/>
            <w:vAlign w:val="bottom"/>
          </w:tcPr>
          <w:p>
            <w:pPr>
              <w:jc w:val="center"/>
              <w:spacing w:after="0" w:line="108" w:lineRule="exact"/>
              <w:rPr>
                <w:sz w:val="20"/>
                <w:szCs w:val="20"/>
                <w:color w:val="auto"/>
              </w:rPr>
            </w:pPr>
            <w:r>
              <w:rPr>
                <w:rFonts w:ascii="Arial" w:cs="Arial" w:eastAsia="Arial" w:hAnsi="Arial"/>
                <w:sz w:val="12"/>
                <w:szCs w:val="12"/>
                <w:b w:val="1"/>
                <w:bCs w:val="1"/>
                <w:color w:val="006098"/>
              </w:rPr>
              <w:t>Shares of</w:t>
            </w:r>
          </w:p>
        </w:tc>
        <w:tc>
          <w:tcPr>
            <w:tcW w:w="920" w:type="dxa"/>
            <w:vAlign w:val="bottom"/>
          </w:tcPr>
          <w:p>
            <w:pPr>
              <w:jc w:val="center"/>
              <w:spacing w:after="0" w:line="108" w:lineRule="exact"/>
              <w:rPr>
                <w:sz w:val="20"/>
                <w:szCs w:val="20"/>
                <w:color w:val="auto"/>
              </w:rPr>
            </w:pPr>
            <w:r>
              <w:rPr>
                <w:rFonts w:ascii="Arial" w:cs="Arial" w:eastAsia="Arial" w:hAnsi="Arial"/>
                <w:sz w:val="12"/>
                <w:szCs w:val="12"/>
                <w:b w:val="1"/>
                <w:bCs w:val="1"/>
                <w:color w:val="006098"/>
              </w:rPr>
              <w:t>Securities</w:t>
            </w:r>
          </w:p>
        </w:tc>
        <w:tc>
          <w:tcPr>
            <w:tcW w:w="760" w:type="dxa"/>
            <w:vAlign w:val="bottom"/>
          </w:tcPr>
          <w:p>
            <w:pPr>
              <w:jc w:val="center"/>
              <w:spacing w:after="0" w:line="108" w:lineRule="exact"/>
              <w:rPr>
                <w:sz w:val="20"/>
                <w:szCs w:val="20"/>
                <w:color w:val="auto"/>
              </w:rPr>
            </w:pPr>
            <w:r>
              <w:rPr>
                <w:rFonts w:ascii="Arial" w:cs="Arial" w:eastAsia="Arial" w:hAnsi="Arial"/>
                <w:sz w:val="12"/>
                <w:szCs w:val="12"/>
                <w:b w:val="1"/>
                <w:bCs w:val="1"/>
                <w:color w:val="006098"/>
              </w:rPr>
              <w:t>Option</w:t>
            </w:r>
          </w:p>
        </w:tc>
        <w:tc>
          <w:tcPr>
            <w:tcW w:w="860" w:type="dxa"/>
            <w:vAlign w:val="bottom"/>
          </w:tcPr>
          <w:p>
            <w:pPr>
              <w:jc w:val="center"/>
              <w:spacing w:after="0" w:line="108" w:lineRule="exact"/>
              <w:rPr>
                <w:sz w:val="20"/>
                <w:szCs w:val="20"/>
                <w:color w:val="auto"/>
              </w:rPr>
            </w:pPr>
            <w:r>
              <w:rPr>
                <w:rFonts w:ascii="Arial" w:cs="Arial" w:eastAsia="Arial" w:hAnsi="Arial"/>
                <w:sz w:val="12"/>
                <w:szCs w:val="12"/>
                <w:b w:val="1"/>
                <w:bCs w:val="1"/>
                <w:color w:val="006098"/>
              </w:rPr>
              <w:t>and</w:t>
            </w:r>
          </w:p>
        </w:tc>
        <w:tc>
          <w:tcPr>
            <w:tcW w:w="0" w:type="dxa"/>
            <w:vAlign w:val="bottom"/>
          </w:tcPr>
          <w:p>
            <w:pPr>
              <w:spacing w:after="0"/>
              <w:rPr>
                <w:sz w:val="1"/>
                <w:szCs w:val="1"/>
                <w:color w:val="auto"/>
              </w:rPr>
            </w:pPr>
          </w:p>
        </w:tc>
      </w:tr>
      <w:tr>
        <w:trPr>
          <w:trHeight w:val="135"/>
        </w:trPr>
        <w:tc>
          <w:tcPr>
            <w:tcW w:w="2140" w:type="dxa"/>
            <w:vAlign w:val="bottom"/>
            <w:vMerge w:val="restart"/>
          </w:tcPr>
          <w:p>
            <w:pPr>
              <w:ind w:left="1140"/>
              <w:spacing w:after="0"/>
              <w:rPr>
                <w:sz w:val="20"/>
                <w:szCs w:val="20"/>
                <w:color w:val="auto"/>
              </w:rPr>
            </w:pPr>
            <w:r>
              <w:rPr>
                <w:rFonts w:ascii="Arial" w:cs="Arial" w:eastAsia="Arial" w:hAnsi="Arial"/>
                <w:sz w:val="13"/>
                <w:szCs w:val="13"/>
                <w:b w:val="1"/>
                <w:bCs w:val="1"/>
                <w:color w:val="006098"/>
              </w:rPr>
              <w:t>Name</w:t>
            </w:r>
          </w:p>
        </w:tc>
        <w:tc>
          <w:tcPr>
            <w:tcW w:w="12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Stock or</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Underlying</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3"/>
              </w:rPr>
              <w:t>Awards</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5"/>
              </w:rPr>
              <w:t>Option</w:t>
            </w:r>
          </w:p>
        </w:tc>
        <w:tc>
          <w:tcPr>
            <w:tcW w:w="0" w:type="dxa"/>
            <w:vAlign w:val="bottom"/>
          </w:tcPr>
          <w:p>
            <w:pPr>
              <w:spacing w:after="0"/>
              <w:rPr>
                <w:sz w:val="1"/>
                <w:szCs w:val="1"/>
                <w:color w:val="auto"/>
              </w:rPr>
            </w:pPr>
          </w:p>
        </w:tc>
      </w:tr>
      <w:tr>
        <w:trPr>
          <w:trHeight w:val="135"/>
        </w:trPr>
        <w:tc>
          <w:tcPr>
            <w:tcW w:w="2140" w:type="dxa"/>
            <w:vAlign w:val="bottom"/>
            <w:vMerge w:val="continue"/>
          </w:tcPr>
          <w:p>
            <w:pPr>
              <w:spacing w:after="0"/>
              <w:rPr>
                <w:sz w:val="11"/>
                <w:szCs w:val="11"/>
                <w:color w:val="auto"/>
              </w:rPr>
            </w:pPr>
          </w:p>
        </w:tc>
        <w:tc>
          <w:tcPr>
            <w:tcW w:w="1280" w:type="dxa"/>
            <w:vAlign w:val="bottom"/>
          </w:tcPr>
          <w:p>
            <w:pPr>
              <w:jc w:val="center"/>
              <w:ind w:left="537"/>
              <w:spacing w:after="0" w:line="135" w:lineRule="exact"/>
              <w:rPr>
                <w:sz w:val="20"/>
                <w:szCs w:val="20"/>
                <w:color w:val="auto"/>
              </w:rPr>
            </w:pPr>
            <w:r>
              <w:rPr>
                <w:rFonts w:ascii="Arial" w:cs="Arial" w:eastAsia="Arial" w:hAnsi="Arial"/>
                <w:sz w:val="13"/>
                <w:szCs w:val="13"/>
                <w:b w:val="1"/>
                <w:bCs w:val="1"/>
                <w:color w:val="006098"/>
                <w:w w:val="99"/>
              </w:rPr>
              <w:t>Date</w:t>
            </w:r>
          </w:p>
        </w:tc>
        <w:tc>
          <w:tcPr>
            <w:tcW w:w="86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006098"/>
                <w:w w:val="87"/>
              </w:rPr>
              <w:t>($)</w:t>
            </w:r>
          </w:p>
        </w:tc>
        <w:tc>
          <w:tcPr>
            <w:tcW w:w="800" w:type="dxa"/>
            <w:vAlign w:val="bottom"/>
          </w:tcPr>
          <w:p>
            <w:pPr>
              <w:jc w:val="center"/>
              <w:ind w:left="97"/>
              <w:spacing w:after="0" w:line="135" w:lineRule="exact"/>
              <w:rPr>
                <w:sz w:val="20"/>
                <w:szCs w:val="20"/>
                <w:color w:val="auto"/>
              </w:rPr>
            </w:pPr>
            <w:r>
              <w:rPr>
                <w:rFonts w:ascii="Arial" w:cs="Arial" w:eastAsia="Arial" w:hAnsi="Arial"/>
                <w:sz w:val="13"/>
                <w:szCs w:val="13"/>
                <w:b w:val="1"/>
                <w:bCs w:val="1"/>
                <w:color w:val="006098"/>
              </w:rPr>
              <w:t>($)</w:t>
            </w:r>
          </w:p>
        </w:tc>
        <w:tc>
          <w:tcPr>
            <w:tcW w:w="4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rPr>
              <w:t>($)</w:t>
            </w:r>
          </w:p>
        </w:tc>
        <w:tc>
          <w:tcPr>
            <w:tcW w:w="2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rPr>
              <w:t>(#)</w:t>
            </w: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87"/>
              </w:rPr>
              <w:t>(#)</w:t>
            </w:r>
          </w:p>
        </w:tc>
        <w:tc>
          <w:tcPr>
            <w:tcW w:w="3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rPr>
              <w:t>(#)</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Units (#)</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Options (#)</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9"/>
              </w:rPr>
              <w:t>($/Sh)</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Awards</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83BA90"/>
            </w:tcBorders>
          </w:tcPr>
          <w:p>
            <w:pPr>
              <w:ind w:left="1240"/>
              <w:spacing w:after="0"/>
              <w:rPr>
                <w:sz w:val="20"/>
                <w:szCs w:val="20"/>
                <w:color w:val="auto"/>
              </w:rPr>
            </w:pPr>
            <w:r>
              <w:rPr>
                <w:rFonts w:ascii="Arial" w:cs="Arial" w:eastAsia="Arial" w:hAnsi="Arial"/>
                <w:sz w:val="13"/>
                <w:szCs w:val="13"/>
                <w:b w:val="1"/>
                <w:bCs w:val="1"/>
                <w:color w:val="006098"/>
              </w:rPr>
              <w:t>(a)</w:t>
            </w:r>
          </w:p>
        </w:tc>
        <w:tc>
          <w:tcPr>
            <w:tcW w:w="1280" w:type="dxa"/>
            <w:vAlign w:val="bottom"/>
            <w:tcBorders>
              <w:bottom w:val="single" w:sz="8" w:color="83BA90"/>
            </w:tcBorders>
          </w:tcPr>
          <w:p>
            <w:pPr>
              <w:jc w:val="center"/>
              <w:ind w:left="537"/>
              <w:spacing w:after="0"/>
              <w:rPr>
                <w:sz w:val="20"/>
                <w:szCs w:val="20"/>
                <w:color w:val="auto"/>
              </w:rPr>
            </w:pPr>
            <w:r>
              <w:rPr>
                <w:rFonts w:ascii="Arial" w:cs="Arial" w:eastAsia="Arial" w:hAnsi="Arial"/>
                <w:sz w:val="13"/>
                <w:szCs w:val="13"/>
                <w:b w:val="1"/>
                <w:bCs w:val="1"/>
                <w:color w:val="006098"/>
                <w:w w:val="98"/>
              </w:rPr>
              <w:t>(b)(1)</w:t>
            </w:r>
          </w:p>
        </w:tc>
        <w:tc>
          <w:tcPr>
            <w:tcW w:w="860" w:type="dxa"/>
            <w:vAlign w:val="bottom"/>
            <w:tcBorders>
              <w:bottom w:val="single" w:sz="8" w:color="83BA90"/>
            </w:tcBorders>
          </w:tcPr>
          <w:p>
            <w:pPr>
              <w:jc w:val="center"/>
              <w:ind w:left="137"/>
              <w:spacing w:after="0"/>
              <w:rPr>
                <w:sz w:val="20"/>
                <w:szCs w:val="20"/>
                <w:color w:val="auto"/>
              </w:rPr>
            </w:pPr>
            <w:r>
              <w:rPr>
                <w:rFonts w:ascii="Arial" w:cs="Arial" w:eastAsia="Arial" w:hAnsi="Arial"/>
                <w:sz w:val="13"/>
                <w:szCs w:val="13"/>
                <w:b w:val="1"/>
                <w:bCs w:val="1"/>
                <w:color w:val="006098"/>
                <w:w w:val="87"/>
              </w:rPr>
              <w:t>(c)</w:t>
            </w:r>
          </w:p>
        </w:tc>
        <w:tc>
          <w:tcPr>
            <w:tcW w:w="800" w:type="dxa"/>
            <w:vAlign w:val="bottom"/>
            <w:tcBorders>
              <w:bottom w:val="single" w:sz="8" w:color="83BA90"/>
            </w:tcBorders>
          </w:tcPr>
          <w:p>
            <w:pPr>
              <w:jc w:val="center"/>
              <w:ind w:left="97"/>
              <w:spacing w:after="0"/>
              <w:rPr>
                <w:sz w:val="20"/>
                <w:szCs w:val="20"/>
                <w:color w:val="auto"/>
              </w:rPr>
            </w:pPr>
            <w:r>
              <w:rPr>
                <w:rFonts w:ascii="Arial" w:cs="Arial" w:eastAsia="Arial" w:hAnsi="Arial"/>
                <w:sz w:val="13"/>
                <w:szCs w:val="13"/>
                <w:b w:val="1"/>
                <w:bCs w:val="1"/>
                <w:color w:val="006098"/>
                <w:w w:val="96"/>
              </w:rPr>
              <w:t>(d)</w:t>
            </w:r>
          </w:p>
        </w:tc>
        <w:tc>
          <w:tcPr>
            <w:tcW w:w="640" w:type="dxa"/>
            <w:vAlign w:val="bottom"/>
            <w:tcBorders>
              <w:bottom w:val="single" w:sz="8" w:color="83BA90"/>
            </w:tcBorders>
            <w:gridSpan w:val="2"/>
          </w:tcPr>
          <w:p>
            <w:pPr>
              <w:jc w:val="center"/>
              <w:ind w:right="160"/>
              <w:spacing w:after="0"/>
              <w:rPr>
                <w:sz w:val="20"/>
                <w:szCs w:val="20"/>
                <w:color w:val="auto"/>
              </w:rPr>
            </w:pPr>
            <w:r>
              <w:rPr>
                <w:rFonts w:ascii="Arial" w:cs="Arial" w:eastAsia="Arial" w:hAnsi="Arial"/>
                <w:sz w:val="13"/>
                <w:szCs w:val="13"/>
                <w:b w:val="1"/>
                <w:bCs w:val="1"/>
                <w:color w:val="006098"/>
              </w:rPr>
              <w:t>(e)</w:t>
            </w:r>
          </w:p>
        </w:tc>
        <w:tc>
          <w:tcPr>
            <w:tcW w:w="90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w w:val="92"/>
              </w:rPr>
              <w:t>(f)</w:t>
            </w:r>
          </w:p>
        </w:tc>
        <w:tc>
          <w:tcPr>
            <w:tcW w:w="62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w w:val="96"/>
              </w:rPr>
              <w:t>(g)</w:t>
            </w:r>
          </w:p>
        </w:tc>
        <w:tc>
          <w:tcPr>
            <w:tcW w:w="32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w w:val="96"/>
              </w:rPr>
              <w:t>(h)</w:t>
            </w:r>
          </w:p>
        </w:tc>
        <w:tc>
          <w:tcPr>
            <w:tcW w:w="92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w w:val="97"/>
              </w:rPr>
              <w:t>(i)</w:t>
            </w:r>
          </w:p>
        </w:tc>
        <w:tc>
          <w:tcPr>
            <w:tcW w:w="92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w w:val="97"/>
              </w:rPr>
              <w:t>(j)</w:t>
            </w:r>
          </w:p>
        </w:tc>
        <w:tc>
          <w:tcPr>
            <w:tcW w:w="76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rPr>
              <w:t>(k)</w:t>
            </w:r>
          </w:p>
        </w:tc>
        <w:tc>
          <w:tcPr>
            <w:tcW w:w="86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w w:val="97"/>
              </w:rPr>
              <w:t>(l)</w:t>
            </w:r>
          </w:p>
        </w:tc>
        <w:tc>
          <w:tcPr>
            <w:tcW w:w="0" w:type="dxa"/>
            <w:vAlign w:val="bottom"/>
          </w:tcPr>
          <w:p>
            <w:pPr>
              <w:spacing w:after="0"/>
              <w:rPr>
                <w:sz w:val="1"/>
                <w:szCs w:val="1"/>
                <w:color w:val="auto"/>
              </w:rPr>
            </w:pPr>
          </w:p>
        </w:tc>
      </w:tr>
      <w:tr>
        <w:trPr>
          <w:trHeight w:val="159"/>
        </w:trPr>
        <w:tc>
          <w:tcPr>
            <w:tcW w:w="2140" w:type="dxa"/>
            <w:vAlign w:val="bottom"/>
          </w:tcPr>
          <w:p>
            <w:pPr>
              <w:spacing w:after="0"/>
              <w:rPr>
                <w:sz w:val="20"/>
                <w:szCs w:val="20"/>
                <w:color w:val="auto"/>
              </w:rPr>
            </w:pPr>
            <w:r>
              <w:rPr>
                <w:rFonts w:ascii="Arial" w:cs="Arial" w:eastAsia="Arial" w:hAnsi="Arial"/>
                <w:sz w:val="13"/>
                <w:szCs w:val="13"/>
                <w:color w:val="006098"/>
              </w:rPr>
              <w:t>August J. Troendle</w:t>
            </w:r>
          </w:p>
        </w:tc>
        <w:tc>
          <w:tcPr>
            <w:tcW w:w="1280" w:type="dxa"/>
            <w:vAlign w:val="bottom"/>
            <w:vMerge w:val="restart"/>
          </w:tcPr>
          <w:p>
            <w:pPr>
              <w:jc w:val="center"/>
              <w:ind w:left="537"/>
              <w:spacing w:after="0"/>
              <w:rPr>
                <w:sz w:val="20"/>
                <w:szCs w:val="20"/>
                <w:color w:val="auto"/>
              </w:rPr>
            </w:pPr>
            <w:r>
              <w:rPr>
                <w:rFonts w:ascii="Arial" w:cs="Arial" w:eastAsia="Arial" w:hAnsi="Arial"/>
                <w:sz w:val="13"/>
                <w:szCs w:val="13"/>
                <w:color w:val="3F3F3F"/>
                <w:w w:val="96"/>
              </w:rPr>
              <w:t>4/27/2021</w:t>
            </w:r>
          </w:p>
        </w:tc>
        <w:tc>
          <w:tcPr>
            <w:tcW w:w="860" w:type="dxa"/>
            <w:vAlign w:val="bottom"/>
            <w:vMerge w:val="restart"/>
          </w:tcPr>
          <w:p>
            <w:pPr>
              <w:jc w:val="center"/>
              <w:ind w:left="137"/>
              <w:spacing w:after="0"/>
              <w:rPr>
                <w:sz w:val="20"/>
                <w:szCs w:val="20"/>
                <w:color w:val="auto"/>
              </w:rPr>
            </w:pPr>
            <w:r>
              <w:rPr>
                <w:rFonts w:ascii="Arial" w:cs="Arial" w:eastAsia="Arial" w:hAnsi="Arial"/>
                <w:sz w:val="13"/>
                <w:szCs w:val="13"/>
                <w:color w:val="3F3F3F"/>
              </w:rPr>
              <w:t>—</w:t>
            </w:r>
          </w:p>
        </w:tc>
        <w:tc>
          <w:tcPr>
            <w:tcW w:w="800" w:type="dxa"/>
            <w:vAlign w:val="bottom"/>
            <w:vMerge w:val="restart"/>
          </w:tcPr>
          <w:p>
            <w:pPr>
              <w:jc w:val="center"/>
              <w:ind w:left="97"/>
              <w:spacing w:after="0"/>
              <w:rPr>
                <w:sz w:val="20"/>
                <w:szCs w:val="20"/>
                <w:color w:val="auto"/>
              </w:rPr>
            </w:pPr>
            <w:r>
              <w:rPr>
                <w:rFonts w:ascii="Arial" w:cs="Arial" w:eastAsia="Arial" w:hAnsi="Arial"/>
                <w:sz w:val="13"/>
                <w:szCs w:val="13"/>
                <w:color w:val="3F3F3F"/>
                <w:w w:val="91"/>
              </w:rPr>
              <w:t>—</w:t>
            </w: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3"/>
                <w:szCs w:val="13"/>
                <w:color w:val="3F3F3F"/>
                <w:w w:val="91"/>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3F3F3F"/>
                <w:w w:val="91"/>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3F3F3F"/>
              </w:rPr>
              <w:t>—</w:t>
            </w:r>
          </w:p>
        </w:tc>
        <w:tc>
          <w:tcPr>
            <w:tcW w:w="320" w:type="dxa"/>
            <w:vAlign w:val="bottom"/>
            <w:vMerge w:val="restart"/>
          </w:tcPr>
          <w:p>
            <w:pPr>
              <w:jc w:val="center"/>
              <w:spacing w:after="0"/>
              <w:rPr>
                <w:sz w:val="20"/>
                <w:szCs w:val="20"/>
                <w:color w:val="auto"/>
              </w:rPr>
            </w:pPr>
            <w:r>
              <w:rPr>
                <w:rFonts w:ascii="Arial" w:cs="Arial" w:eastAsia="Arial" w:hAnsi="Arial"/>
                <w:sz w:val="13"/>
                <w:szCs w:val="13"/>
                <w:color w:val="3F3F3F"/>
                <w:w w:val="91"/>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3F3F3F"/>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3F3F3F"/>
                <w:w w:val="95"/>
              </w:rPr>
              <w:t>57,570</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3F3F3F"/>
                <w:w w:val="97"/>
              </w:rPr>
              <w:t>$166.73</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3F3F3F"/>
                <w:w w:val="95"/>
              </w:rPr>
              <w:t>$3,004,695</w:t>
            </w:r>
          </w:p>
        </w:tc>
        <w:tc>
          <w:tcPr>
            <w:tcW w:w="0" w:type="dxa"/>
            <w:vAlign w:val="bottom"/>
          </w:tcPr>
          <w:p>
            <w:pPr>
              <w:spacing w:after="0"/>
              <w:rPr>
                <w:sz w:val="1"/>
                <w:szCs w:val="1"/>
                <w:color w:val="auto"/>
              </w:rPr>
            </w:pPr>
          </w:p>
        </w:tc>
      </w:tr>
      <w:tr>
        <w:trPr>
          <w:trHeight w:val="90"/>
        </w:trPr>
        <w:tc>
          <w:tcPr>
            <w:tcW w:w="21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140" w:type="dxa"/>
            <w:vAlign w:val="bottom"/>
            <w:tcBorders>
              <w:bottom w:val="single" w:sz="8" w:color="BFBFBF"/>
            </w:tcBorders>
          </w:tcPr>
          <w:p>
            <w:pPr>
              <w:spacing w:after="0"/>
              <w:rPr>
                <w:sz w:val="8"/>
                <w:szCs w:val="8"/>
                <w:color w:val="auto"/>
              </w:rPr>
            </w:pPr>
          </w:p>
        </w:tc>
        <w:tc>
          <w:tcPr>
            <w:tcW w:w="1280" w:type="dxa"/>
            <w:vAlign w:val="bottom"/>
            <w:tcBorders>
              <w:bottom w:val="single" w:sz="8" w:color="BFBFBF"/>
            </w:tcBorders>
          </w:tcPr>
          <w:p>
            <w:pPr>
              <w:spacing w:after="0"/>
              <w:rPr>
                <w:sz w:val="8"/>
                <w:szCs w:val="8"/>
                <w:color w:val="auto"/>
              </w:rPr>
            </w:pPr>
          </w:p>
        </w:tc>
        <w:tc>
          <w:tcPr>
            <w:tcW w:w="860" w:type="dxa"/>
            <w:vAlign w:val="bottom"/>
            <w:tcBorders>
              <w:bottom w:val="single" w:sz="8" w:color="BFBFBF"/>
            </w:tcBorders>
          </w:tcPr>
          <w:p>
            <w:pPr>
              <w:spacing w:after="0"/>
              <w:rPr>
                <w:sz w:val="8"/>
                <w:szCs w:val="8"/>
                <w:color w:val="auto"/>
              </w:rPr>
            </w:pPr>
          </w:p>
        </w:tc>
        <w:tc>
          <w:tcPr>
            <w:tcW w:w="800" w:type="dxa"/>
            <w:vAlign w:val="bottom"/>
            <w:tcBorders>
              <w:bottom w:val="single" w:sz="8" w:color="BFBFBF"/>
            </w:tcBorders>
          </w:tcPr>
          <w:p>
            <w:pPr>
              <w:spacing w:after="0"/>
              <w:rPr>
                <w:sz w:val="8"/>
                <w:szCs w:val="8"/>
                <w:color w:val="auto"/>
              </w:rPr>
            </w:pPr>
          </w:p>
        </w:tc>
        <w:tc>
          <w:tcPr>
            <w:tcW w:w="440" w:type="dxa"/>
            <w:vAlign w:val="bottom"/>
            <w:tcBorders>
              <w:bottom w:val="single" w:sz="8" w:color="BFBFBF"/>
            </w:tcBorders>
          </w:tcPr>
          <w:p>
            <w:pPr>
              <w:spacing w:after="0"/>
              <w:rPr>
                <w:sz w:val="8"/>
                <w:szCs w:val="8"/>
                <w:color w:val="auto"/>
              </w:rPr>
            </w:pPr>
          </w:p>
        </w:tc>
        <w:tc>
          <w:tcPr>
            <w:tcW w:w="200" w:type="dxa"/>
            <w:vAlign w:val="bottom"/>
            <w:tcBorders>
              <w:bottom w:val="single" w:sz="8" w:color="BFBFBF"/>
            </w:tcBorders>
          </w:tcPr>
          <w:p>
            <w:pPr>
              <w:spacing w:after="0"/>
              <w:rPr>
                <w:sz w:val="8"/>
                <w:szCs w:val="8"/>
                <w:color w:val="auto"/>
              </w:rPr>
            </w:pPr>
          </w:p>
        </w:tc>
        <w:tc>
          <w:tcPr>
            <w:tcW w:w="900" w:type="dxa"/>
            <w:vAlign w:val="bottom"/>
            <w:tcBorders>
              <w:bottom w:val="single" w:sz="8" w:color="BFBFBF"/>
            </w:tcBorders>
          </w:tcPr>
          <w:p>
            <w:pPr>
              <w:spacing w:after="0"/>
              <w:rPr>
                <w:sz w:val="8"/>
                <w:szCs w:val="8"/>
                <w:color w:val="auto"/>
              </w:rPr>
            </w:pPr>
          </w:p>
        </w:tc>
        <w:tc>
          <w:tcPr>
            <w:tcW w:w="620" w:type="dxa"/>
            <w:vAlign w:val="bottom"/>
            <w:tcBorders>
              <w:bottom w:val="single" w:sz="8" w:color="BFBFBF"/>
            </w:tcBorders>
          </w:tcPr>
          <w:p>
            <w:pPr>
              <w:spacing w:after="0"/>
              <w:rPr>
                <w:sz w:val="8"/>
                <w:szCs w:val="8"/>
                <w:color w:val="auto"/>
              </w:rPr>
            </w:pPr>
          </w:p>
        </w:tc>
        <w:tc>
          <w:tcPr>
            <w:tcW w:w="320" w:type="dxa"/>
            <w:vAlign w:val="bottom"/>
            <w:tcBorders>
              <w:bottom w:val="single" w:sz="8" w:color="BFBFBF"/>
            </w:tcBorders>
          </w:tcPr>
          <w:p>
            <w:pPr>
              <w:spacing w:after="0"/>
              <w:rPr>
                <w:sz w:val="8"/>
                <w:szCs w:val="8"/>
                <w:color w:val="auto"/>
              </w:rPr>
            </w:pPr>
          </w:p>
        </w:tc>
        <w:tc>
          <w:tcPr>
            <w:tcW w:w="920" w:type="dxa"/>
            <w:vAlign w:val="bottom"/>
            <w:tcBorders>
              <w:bottom w:val="single" w:sz="8" w:color="BFBFBF"/>
            </w:tcBorders>
          </w:tcPr>
          <w:p>
            <w:pPr>
              <w:spacing w:after="0"/>
              <w:rPr>
                <w:sz w:val="8"/>
                <w:szCs w:val="8"/>
                <w:color w:val="auto"/>
              </w:rPr>
            </w:pPr>
          </w:p>
        </w:tc>
        <w:tc>
          <w:tcPr>
            <w:tcW w:w="920" w:type="dxa"/>
            <w:vAlign w:val="bottom"/>
            <w:tcBorders>
              <w:bottom w:val="single" w:sz="8" w:color="BFBFBF"/>
            </w:tcBorders>
          </w:tcPr>
          <w:p>
            <w:pPr>
              <w:spacing w:after="0"/>
              <w:rPr>
                <w:sz w:val="8"/>
                <w:szCs w:val="8"/>
                <w:color w:val="auto"/>
              </w:rPr>
            </w:pPr>
          </w:p>
        </w:tc>
        <w:tc>
          <w:tcPr>
            <w:tcW w:w="760" w:type="dxa"/>
            <w:vAlign w:val="bottom"/>
            <w:tcBorders>
              <w:bottom w:val="single" w:sz="8" w:color="BFBFBF"/>
            </w:tcBorders>
          </w:tcPr>
          <w:p>
            <w:pPr>
              <w:spacing w:after="0"/>
              <w:rPr>
                <w:sz w:val="8"/>
                <w:szCs w:val="8"/>
                <w:color w:val="auto"/>
              </w:rPr>
            </w:pPr>
          </w:p>
        </w:tc>
        <w:tc>
          <w:tcPr>
            <w:tcW w:w="86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2140" w:type="dxa"/>
            <w:vAlign w:val="bottom"/>
          </w:tcPr>
          <w:p>
            <w:pPr>
              <w:spacing w:after="0"/>
              <w:rPr>
                <w:sz w:val="20"/>
                <w:szCs w:val="20"/>
                <w:color w:val="auto"/>
              </w:rPr>
            </w:pPr>
            <w:r>
              <w:rPr>
                <w:rFonts w:ascii="Arial" w:cs="Arial" w:eastAsia="Arial" w:hAnsi="Arial"/>
                <w:sz w:val="13"/>
                <w:szCs w:val="13"/>
                <w:color w:val="006098"/>
              </w:rPr>
              <w:t>Kevin M. Brady</w:t>
            </w:r>
          </w:p>
        </w:tc>
        <w:tc>
          <w:tcPr>
            <w:tcW w:w="1280" w:type="dxa"/>
            <w:vAlign w:val="bottom"/>
            <w:vMerge w:val="restart"/>
          </w:tcPr>
          <w:p>
            <w:pPr>
              <w:jc w:val="center"/>
              <w:ind w:left="537"/>
              <w:spacing w:after="0"/>
              <w:rPr>
                <w:sz w:val="20"/>
                <w:szCs w:val="20"/>
                <w:color w:val="auto"/>
              </w:rPr>
            </w:pPr>
            <w:r>
              <w:rPr>
                <w:rFonts w:ascii="Arial" w:cs="Arial" w:eastAsia="Arial" w:hAnsi="Arial"/>
                <w:sz w:val="13"/>
                <w:szCs w:val="13"/>
                <w:color w:val="3F3F3F"/>
                <w:w w:val="96"/>
              </w:rPr>
              <w:t>4/27/2021</w:t>
            </w:r>
          </w:p>
        </w:tc>
        <w:tc>
          <w:tcPr>
            <w:tcW w:w="860" w:type="dxa"/>
            <w:vAlign w:val="bottom"/>
            <w:vMerge w:val="restart"/>
          </w:tcPr>
          <w:p>
            <w:pPr>
              <w:jc w:val="center"/>
              <w:ind w:left="137"/>
              <w:spacing w:after="0"/>
              <w:rPr>
                <w:sz w:val="20"/>
                <w:szCs w:val="20"/>
                <w:color w:val="auto"/>
              </w:rPr>
            </w:pPr>
            <w:r>
              <w:rPr>
                <w:rFonts w:ascii="Arial" w:cs="Arial" w:eastAsia="Arial" w:hAnsi="Arial"/>
                <w:sz w:val="13"/>
                <w:szCs w:val="13"/>
                <w:color w:val="3F3F3F"/>
              </w:rPr>
              <w:t>—</w:t>
            </w:r>
          </w:p>
        </w:tc>
        <w:tc>
          <w:tcPr>
            <w:tcW w:w="800" w:type="dxa"/>
            <w:vAlign w:val="bottom"/>
            <w:vMerge w:val="restart"/>
          </w:tcPr>
          <w:p>
            <w:pPr>
              <w:jc w:val="center"/>
              <w:ind w:left="97"/>
              <w:spacing w:after="0"/>
              <w:rPr>
                <w:sz w:val="20"/>
                <w:szCs w:val="20"/>
                <w:color w:val="auto"/>
              </w:rPr>
            </w:pPr>
            <w:r>
              <w:rPr>
                <w:rFonts w:ascii="Arial" w:cs="Arial" w:eastAsia="Arial" w:hAnsi="Arial"/>
                <w:sz w:val="13"/>
                <w:szCs w:val="13"/>
                <w:color w:val="3F3F3F"/>
                <w:w w:val="91"/>
              </w:rPr>
              <w:t>—</w:t>
            </w: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3"/>
                <w:szCs w:val="13"/>
                <w:color w:val="3F3F3F"/>
                <w:w w:val="91"/>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3F3F3F"/>
                <w:w w:val="91"/>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3F3F3F"/>
              </w:rPr>
              <w:t>—</w:t>
            </w:r>
          </w:p>
        </w:tc>
        <w:tc>
          <w:tcPr>
            <w:tcW w:w="320" w:type="dxa"/>
            <w:vAlign w:val="bottom"/>
            <w:vMerge w:val="restart"/>
          </w:tcPr>
          <w:p>
            <w:pPr>
              <w:jc w:val="center"/>
              <w:spacing w:after="0"/>
              <w:rPr>
                <w:sz w:val="20"/>
                <w:szCs w:val="20"/>
                <w:color w:val="auto"/>
              </w:rPr>
            </w:pPr>
            <w:r>
              <w:rPr>
                <w:rFonts w:ascii="Arial" w:cs="Arial" w:eastAsia="Arial" w:hAnsi="Arial"/>
                <w:sz w:val="13"/>
                <w:szCs w:val="13"/>
                <w:color w:val="3F3F3F"/>
                <w:w w:val="91"/>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3F3F3F"/>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3F3F3F"/>
                <w:w w:val="98"/>
              </w:rPr>
              <w:t>3,000</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3F3F3F"/>
                <w:w w:val="97"/>
              </w:rPr>
              <w:t>$166.73</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3F3F3F"/>
                <w:w w:val="95"/>
              </w:rPr>
              <w:t>$156,576</w:t>
            </w:r>
          </w:p>
        </w:tc>
        <w:tc>
          <w:tcPr>
            <w:tcW w:w="0" w:type="dxa"/>
            <w:vAlign w:val="bottom"/>
          </w:tcPr>
          <w:p>
            <w:pPr>
              <w:spacing w:after="0"/>
              <w:rPr>
                <w:sz w:val="1"/>
                <w:szCs w:val="1"/>
                <w:color w:val="auto"/>
              </w:rPr>
            </w:pPr>
          </w:p>
        </w:tc>
      </w:tr>
      <w:tr>
        <w:trPr>
          <w:trHeight w:val="90"/>
        </w:trPr>
        <w:tc>
          <w:tcPr>
            <w:tcW w:w="21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140" w:type="dxa"/>
            <w:vAlign w:val="bottom"/>
            <w:tcBorders>
              <w:bottom w:val="single" w:sz="8" w:color="BFBFBF"/>
            </w:tcBorders>
          </w:tcPr>
          <w:p>
            <w:pPr>
              <w:spacing w:after="0"/>
              <w:rPr>
                <w:sz w:val="8"/>
                <w:szCs w:val="8"/>
                <w:color w:val="auto"/>
              </w:rPr>
            </w:pPr>
          </w:p>
        </w:tc>
        <w:tc>
          <w:tcPr>
            <w:tcW w:w="1280" w:type="dxa"/>
            <w:vAlign w:val="bottom"/>
            <w:tcBorders>
              <w:bottom w:val="single" w:sz="8" w:color="BFBFBF"/>
            </w:tcBorders>
          </w:tcPr>
          <w:p>
            <w:pPr>
              <w:spacing w:after="0"/>
              <w:rPr>
                <w:sz w:val="8"/>
                <w:szCs w:val="8"/>
                <w:color w:val="auto"/>
              </w:rPr>
            </w:pPr>
          </w:p>
        </w:tc>
        <w:tc>
          <w:tcPr>
            <w:tcW w:w="860" w:type="dxa"/>
            <w:vAlign w:val="bottom"/>
            <w:tcBorders>
              <w:bottom w:val="single" w:sz="8" w:color="BFBFBF"/>
            </w:tcBorders>
          </w:tcPr>
          <w:p>
            <w:pPr>
              <w:spacing w:after="0"/>
              <w:rPr>
                <w:sz w:val="8"/>
                <w:szCs w:val="8"/>
                <w:color w:val="auto"/>
              </w:rPr>
            </w:pPr>
          </w:p>
        </w:tc>
        <w:tc>
          <w:tcPr>
            <w:tcW w:w="800" w:type="dxa"/>
            <w:vAlign w:val="bottom"/>
            <w:tcBorders>
              <w:bottom w:val="single" w:sz="8" w:color="BFBFBF"/>
            </w:tcBorders>
          </w:tcPr>
          <w:p>
            <w:pPr>
              <w:spacing w:after="0"/>
              <w:rPr>
                <w:sz w:val="8"/>
                <w:szCs w:val="8"/>
                <w:color w:val="auto"/>
              </w:rPr>
            </w:pPr>
          </w:p>
        </w:tc>
        <w:tc>
          <w:tcPr>
            <w:tcW w:w="440" w:type="dxa"/>
            <w:vAlign w:val="bottom"/>
            <w:tcBorders>
              <w:bottom w:val="single" w:sz="8" w:color="BFBFBF"/>
            </w:tcBorders>
          </w:tcPr>
          <w:p>
            <w:pPr>
              <w:spacing w:after="0"/>
              <w:rPr>
                <w:sz w:val="8"/>
                <w:szCs w:val="8"/>
                <w:color w:val="auto"/>
              </w:rPr>
            </w:pPr>
          </w:p>
        </w:tc>
        <w:tc>
          <w:tcPr>
            <w:tcW w:w="200" w:type="dxa"/>
            <w:vAlign w:val="bottom"/>
            <w:tcBorders>
              <w:bottom w:val="single" w:sz="8" w:color="BFBFBF"/>
            </w:tcBorders>
          </w:tcPr>
          <w:p>
            <w:pPr>
              <w:spacing w:after="0"/>
              <w:rPr>
                <w:sz w:val="8"/>
                <w:szCs w:val="8"/>
                <w:color w:val="auto"/>
              </w:rPr>
            </w:pPr>
          </w:p>
        </w:tc>
        <w:tc>
          <w:tcPr>
            <w:tcW w:w="900" w:type="dxa"/>
            <w:vAlign w:val="bottom"/>
            <w:tcBorders>
              <w:bottom w:val="single" w:sz="8" w:color="BFBFBF"/>
            </w:tcBorders>
          </w:tcPr>
          <w:p>
            <w:pPr>
              <w:spacing w:after="0"/>
              <w:rPr>
                <w:sz w:val="8"/>
                <w:szCs w:val="8"/>
                <w:color w:val="auto"/>
              </w:rPr>
            </w:pPr>
          </w:p>
        </w:tc>
        <w:tc>
          <w:tcPr>
            <w:tcW w:w="620" w:type="dxa"/>
            <w:vAlign w:val="bottom"/>
            <w:tcBorders>
              <w:bottom w:val="single" w:sz="8" w:color="BFBFBF"/>
            </w:tcBorders>
          </w:tcPr>
          <w:p>
            <w:pPr>
              <w:spacing w:after="0"/>
              <w:rPr>
                <w:sz w:val="8"/>
                <w:szCs w:val="8"/>
                <w:color w:val="auto"/>
              </w:rPr>
            </w:pPr>
          </w:p>
        </w:tc>
        <w:tc>
          <w:tcPr>
            <w:tcW w:w="320" w:type="dxa"/>
            <w:vAlign w:val="bottom"/>
            <w:tcBorders>
              <w:bottom w:val="single" w:sz="8" w:color="BFBFBF"/>
            </w:tcBorders>
          </w:tcPr>
          <w:p>
            <w:pPr>
              <w:spacing w:after="0"/>
              <w:rPr>
                <w:sz w:val="8"/>
                <w:szCs w:val="8"/>
                <w:color w:val="auto"/>
              </w:rPr>
            </w:pPr>
          </w:p>
        </w:tc>
        <w:tc>
          <w:tcPr>
            <w:tcW w:w="920" w:type="dxa"/>
            <w:vAlign w:val="bottom"/>
            <w:tcBorders>
              <w:bottom w:val="single" w:sz="8" w:color="BFBFBF"/>
            </w:tcBorders>
          </w:tcPr>
          <w:p>
            <w:pPr>
              <w:spacing w:after="0"/>
              <w:rPr>
                <w:sz w:val="8"/>
                <w:szCs w:val="8"/>
                <w:color w:val="auto"/>
              </w:rPr>
            </w:pPr>
          </w:p>
        </w:tc>
        <w:tc>
          <w:tcPr>
            <w:tcW w:w="920" w:type="dxa"/>
            <w:vAlign w:val="bottom"/>
            <w:tcBorders>
              <w:bottom w:val="single" w:sz="8" w:color="BFBFBF"/>
            </w:tcBorders>
          </w:tcPr>
          <w:p>
            <w:pPr>
              <w:spacing w:after="0"/>
              <w:rPr>
                <w:sz w:val="8"/>
                <w:szCs w:val="8"/>
                <w:color w:val="auto"/>
              </w:rPr>
            </w:pPr>
          </w:p>
        </w:tc>
        <w:tc>
          <w:tcPr>
            <w:tcW w:w="760" w:type="dxa"/>
            <w:vAlign w:val="bottom"/>
            <w:tcBorders>
              <w:bottom w:val="single" w:sz="8" w:color="BFBFBF"/>
            </w:tcBorders>
          </w:tcPr>
          <w:p>
            <w:pPr>
              <w:spacing w:after="0"/>
              <w:rPr>
                <w:sz w:val="8"/>
                <w:szCs w:val="8"/>
                <w:color w:val="auto"/>
              </w:rPr>
            </w:pPr>
          </w:p>
        </w:tc>
        <w:tc>
          <w:tcPr>
            <w:tcW w:w="86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2140" w:type="dxa"/>
            <w:vAlign w:val="bottom"/>
          </w:tcPr>
          <w:p>
            <w:pPr>
              <w:spacing w:after="0"/>
              <w:rPr>
                <w:sz w:val="20"/>
                <w:szCs w:val="20"/>
                <w:color w:val="auto"/>
              </w:rPr>
            </w:pPr>
            <w:r>
              <w:rPr>
                <w:rFonts w:ascii="Arial" w:cs="Arial" w:eastAsia="Arial" w:hAnsi="Arial"/>
                <w:sz w:val="13"/>
                <w:szCs w:val="13"/>
                <w:color w:val="006098"/>
              </w:rPr>
              <w:t>Jesse J. Geiger</w:t>
            </w:r>
          </w:p>
        </w:tc>
        <w:tc>
          <w:tcPr>
            <w:tcW w:w="1280" w:type="dxa"/>
            <w:vAlign w:val="bottom"/>
            <w:vMerge w:val="restart"/>
          </w:tcPr>
          <w:p>
            <w:pPr>
              <w:jc w:val="center"/>
              <w:ind w:left="537"/>
              <w:spacing w:after="0"/>
              <w:rPr>
                <w:sz w:val="20"/>
                <w:szCs w:val="20"/>
                <w:color w:val="auto"/>
              </w:rPr>
            </w:pPr>
            <w:r>
              <w:rPr>
                <w:rFonts w:ascii="Arial" w:cs="Arial" w:eastAsia="Arial" w:hAnsi="Arial"/>
                <w:sz w:val="13"/>
                <w:szCs w:val="13"/>
                <w:color w:val="3F3F3F"/>
                <w:w w:val="96"/>
              </w:rPr>
              <w:t>4/27/2021</w:t>
            </w:r>
          </w:p>
        </w:tc>
        <w:tc>
          <w:tcPr>
            <w:tcW w:w="860" w:type="dxa"/>
            <w:vAlign w:val="bottom"/>
            <w:vMerge w:val="restart"/>
          </w:tcPr>
          <w:p>
            <w:pPr>
              <w:jc w:val="center"/>
              <w:ind w:left="137"/>
              <w:spacing w:after="0"/>
              <w:rPr>
                <w:sz w:val="20"/>
                <w:szCs w:val="20"/>
                <w:color w:val="auto"/>
              </w:rPr>
            </w:pPr>
            <w:r>
              <w:rPr>
                <w:rFonts w:ascii="Arial" w:cs="Arial" w:eastAsia="Arial" w:hAnsi="Arial"/>
                <w:sz w:val="13"/>
                <w:szCs w:val="13"/>
                <w:color w:val="3F3F3F"/>
              </w:rPr>
              <w:t>—</w:t>
            </w:r>
          </w:p>
        </w:tc>
        <w:tc>
          <w:tcPr>
            <w:tcW w:w="800" w:type="dxa"/>
            <w:vAlign w:val="bottom"/>
            <w:vMerge w:val="restart"/>
          </w:tcPr>
          <w:p>
            <w:pPr>
              <w:jc w:val="center"/>
              <w:ind w:left="97"/>
              <w:spacing w:after="0"/>
              <w:rPr>
                <w:sz w:val="20"/>
                <w:szCs w:val="20"/>
                <w:color w:val="auto"/>
              </w:rPr>
            </w:pPr>
            <w:r>
              <w:rPr>
                <w:rFonts w:ascii="Arial" w:cs="Arial" w:eastAsia="Arial" w:hAnsi="Arial"/>
                <w:sz w:val="13"/>
                <w:szCs w:val="13"/>
                <w:color w:val="3F3F3F"/>
                <w:w w:val="91"/>
              </w:rPr>
              <w:t>—</w:t>
            </w: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3"/>
                <w:szCs w:val="13"/>
                <w:color w:val="3F3F3F"/>
                <w:w w:val="91"/>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3F3F3F"/>
                <w:w w:val="91"/>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3F3F3F"/>
              </w:rPr>
              <w:t>—</w:t>
            </w:r>
          </w:p>
        </w:tc>
        <w:tc>
          <w:tcPr>
            <w:tcW w:w="320" w:type="dxa"/>
            <w:vAlign w:val="bottom"/>
            <w:vMerge w:val="restart"/>
          </w:tcPr>
          <w:p>
            <w:pPr>
              <w:jc w:val="center"/>
              <w:spacing w:after="0"/>
              <w:rPr>
                <w:sz w:val="20"/>
                <w:szCs w:val="20"/>
                <w:color w:val="auto"/>
              </w:rPr>
            </w:pPr>
            <w:r>
              <w:rPr>
                <w:rFonts w:ascii="Arial" w:cs="Arial" w:eastAsia="Arial" w:hAnsi="Arial"/>
                <w:sz w:val="13"/>
                <w:szCs w:val="13"/>
                <w:color w:val="3F3F3F"/>
                <w:w w:val="91"/>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3F3F3F"/>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3F3F3F"/>
                <w:w w:val="95"/>
              </w:rPr>
              <w:t>23,028</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3F3F3F"/>
                <w:w w:val="97"/>
              </w:rPr>
              <w:t>$166.73</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3F3F3F"/>
                <w:w w:val="95"/>
              </w:rPr>
              <w:t>$1,201,878</w:t>
            </w:r>
          </w:p>
        </w:tc>
        <w:tc>
          <w:tcPr>
            <w:tcW w:w="0" w:type="dxa"/>
            <w:vAlign w:val="bottom"/>
          </w:tcPr>
          <w:p>
            <w:pPr>
              <w:spacing w:after="0"/>
              <w:rPr>
                <w:sz w:val="1"/>
                <w:szCs w:val="1"/>
                <w:color w:val="auto"/>
              </w:rPr>
            </w:pPr>
          </w:p>
        </w:tc>
      </w:tr>
      <w:tr>
        <w:trPr>
          <w:trHeight w:val="90"/>
        </w:trPr>
        <w:tc>
          <w:tcPr>
            <w:tcW w:w="21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140" w:type="dxa"/>
            <w:vAlign w:val="bottom"/>
            <w:tcBorders>
              <w:bottom w:val="single" w:sz="8" w:color="BFBFBF"/>
            </w:tcBorders>
          </w:tcPr>
          <w:p>
            <w:pPr>
              <w:spacing w:after="0"/>
              <w:rPr>
                <w:sz w:val="8"/>
                <w:szCs w:val="8"/>
                <w:color w:val="auto"/>
              </w:rPr>
            </w:pPr>
          </w:p>
        </w:tc>
        <w:tc>
          <w:tcPr>
            <w:tcW w:w="1280" w:type="dxa"/>
            <w:vAlign w:val="bottom"/>
            <w:tcBorders>
              <w:bottom w:val="single" w:sz="8" w:color="BFBFBF"/>
            </w:tcBorders>
          </w:tcPr>
          <w:p>
            <w:pPr>
              <w:spacing w:after="0"/>
              <w:rPr>
                <w:sz w:val="8"/>
                <w:szCs w:val="8"/>
                <w:color w:val="auto"/>
              </w:rPr>
            </w:pPr>
          </w:p>
        </w:tc>
        <w:tc>
          <w:tcPr>
            <w:tcW w:w="860" w:type="dxa"/>
            <w:vAlign w:val="bottom"/>
            <w:tcBorders>
              <w:bottom w:val="single" w:sz="8" w:color="BFBFBF"/>
            </w:tcBorders>
          </w:tcPr>
          <w:p>
            <w:pPr>
              <w:spacing w:after="0"/>
              <w:rPr>
                <w:sz w:val="8"/>
                <w:szCs w:val="8"/>
                <w:color w:val="auto"/>
              </w:rPr>
            </w:pPr>
          </w:p>
        </w:tc>
        <w:tc>
          <w:tcPr>
            <w:tcW w:w="800" w:type="dxa"/>
            <w:vAlign w:val="bottom"/>
            <w:tcBorders>
              <w:bottom w:val="single" w:sz="8" w:color="BFBFBF"/>
            </w:tcBorders>
          </w:tcPr>
          <w:p>
            <w:pPr>
              <w:spacing w:after="0"/>
              <w:rPr>
                <w:sz w:val="8"/>
                <w:szCs w:val="8"/>
                <w:color w:val="auto"/>
              </w:rPr>
            </w:pPr>
          </w:p>
        </w:tc>
        <w:tc>
          <w:tcPr>
            <w:tcW w:w="440" w:type="dxa"/>
            <w:vAlign w:val="bottom"/>
            <w:tcBorders>
              <w:bottom w:val="single" w:sz="8" w:color="BFBFBF"/>
            </w:tcBorders>
          </w:tcPr>
          <w:p>
            <w:pPr>
              <w:spacing w:after="0"/>
              <w:rPr>
                <w:sz w:val="8"/>
                <w:szCs w:val="8"/>
                <w:color w:val="auto"/>
              </w:rPr>
            </w:pPr>
          </w:p>
        </w:tc>
        <w:tc>
          <w:tcPr>
            <w:tcW w:w="200" w:type="dxa"/>
            <w:vAlign w:val="bottom"/>
            <w:tcBorders>
              <w:bottom w:val="single" w:sz="8" w:color="BFBFBF"/>
            </w:tcBorders>
          </w:tcPr>
          <w:p>
            <w:pPr>
              <w:spacing w:after="0"/>
              <w:rPr>
                <w:sz w:val="8"/>
                <w:szCs w:val="8"/>
                <w:color w:val="auto"/>
              </w:rPr>
            </w:pPr>
          </w:p>
        </w:tc>
        <w:tc>
          <w:tcPr>
            <w:tcW w:w="900" w:type="dxa"/>
            <w:vAlign w:val="bottom"/>
            <w:tcBorders>
              <w:bottom w:val="single" w:sz="8" w:color="BFBFBF"/>
            </w:tcBorders>
          </w:tcPr>
          <w:p>
            <w:pPr>
              <w:spacing w:after="0"/>
              <w:rPr>
                <w:sz w:val="8"/>
                <w:szCs w:val="8"/>
                <w:color w:val="auto"/>
              </w:rPr>
            </w:pPr>
          </w:p>
        </w:tc>
        <w:tc>
          <w:tcPr>
            <w:tcW w:w="620" w:type="dxa"/>
            <w:vAlign w:val="bottom"/>
            <w:tcBorders>
              <w:bottom w:val="single" w:sz="8" w:color="BFBFBF"/>
            </w:tcBorders>
          </w:tcPr>
          <w:p>
            <w:pPr>
              <w:spacing w:after="0"/>
              <w:rPr>
                <w:sz w:val="8"/>
                <w:szCs w:val="8"/>
                <w:color w:val="auto"/>
              </w:rPr>
            </w:pPr>
          </w:p>
        </w:tc>
        <w:tc>
          <w:tcPr>
            <w:tcW w:w="320" w:type="dxa"/>
            <w:vAlign w:val="bottom"/>
            <w:tcBorders>
              <w:bottom w:val="single" w:sz="8" w:color="BFBFBF"/>
            </w:tcBorders>
          </w:tcPr>
          <w:p>
            <w:pPr>
              <w:spacing w:after="0"/>
              <w:rPr>
                <w:sz w:val="8"/>
                <w:szCs w:val="8"/>
                <w:color w:val="auto"/>
              </w:rPr>
            </w:pPr>
          </w:p>
        </w:tc>
        <w:tc>
          <w:tcPr>
            <w:tcW w:w="920" w:type="dxa"/>
            <w:vAlign w:val="bottom"/>
            <w:tcBorders>
              <w:bottom w:val="single" w:sz="8" w:color="BFBFBF"/>
            </w:tcBorders>
          </w:tcPr>
          <w:p>
            <w:pPr>
              <w:spacing w:after="0"/>
              <w:rPr>
                <w:sz w:val="8"/>
                <w:szCs w:val="8"/>
                <w:color w:val="auto"/>
              </w:rPr>
            </w:pPr>
          </w:p>
        </w:tc>
        <w:tc>
          <w:tcPr>
            <w:tcW w:w="920" w:type="dxa"/>
            <w:vAlign w:val="bottom"/>
            <w:tcBorders>
              <w:bottom w:val="single" w:sz="8" w:color="BFBFBF"/>
            </w:tcBorders>
          </w:tcPr>
          <w:p>
            <w:pPr>
              <w:spacing w:after="0"/>
              <w:rPr>
                <w:sz w:val="8"/>
                <w:szCs w:val="8"/>
                <w:color w:val="auto"/>
              </w:rPr>
            </w:pPr>
          </w:p>
        </w:tc>
        <w:tc>
          <w:tcPr>
            <w:tcW w:w="760" w:type="dxa"/>
            <w:vAlign w:val="bottom"/>
            <w:tcBorders>
              <w:bottom w:val="single" w:sz="8" w:color="BFBFBF"/>
            </w:tcBorders>
          </w:tcPr>
          <w:p>
            <w:pPr>
              <w:spacing w:after="0"/>
              <w:rPr>
                <w:sz w:val="8"/>
                <w:szCs w:val="8"/>
                <w:color w:val="auto"/>
              </w:rPr>
            </w:pPr>
          </w:p>
        </w:tc>
        <w:tc>
          <w:tcPr>
            <w:tcW w:w="86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2140" w:type="dxa"/>
            <w:vAlign w:val="bottom"/>
          </w:tcPr>
          <w:p>
            <w:pPr>
              <w:spacing w:after="0"/>
              <w:rPr>
                <w:sz w:val="20"/>
                <w:szCs w:val="20"/>
                <w:color w:val="auto"/>
              </w:rPr>
            </w:pPr>
            <w:r>
              <w:rPr>
                <w:rFonts w:ascii="Arial" w:cs="Arial" w:eastAsia="Arial" w:hAnsi="Arial"/>
                <w:sz w:val="13"/>
                <w:szCs w:val="13"/>
                <w:color w:val="006098"/>
              </w:rPr>
              <w:t>Susan E. Burwig</w:t>
            </w:r>
          </w:p>
        </w:tc>
        <w:tc>
          <w:tcPr>
            <w:tcW w:w="1280" w:type="dxa"/>
            <w:vAlign w:val="bottom"/>
            <w:vMerge w:val="restart"/>
          </w:tcPr>
          <w:p>
            <w:pPr>
              <w:jc w:val="center"/>
              <w:ind w:left="537"/>
              <w:spacing w:after="0"/>
              <w:rPr>
                <w:sz w:val="20"/>
                <w:szCs w:val="20"/>
                <w:color w:val="auto"/>
              </w:rPr>
            </w:pPr>
            <w:r>
              <w:rPr>
                <w:rFonts w:ascii="Arial" w:cs="Arial" w:eastAsia="Arial" w:hAnsi="Arial"/>
                <w:sz w:val="13"/>
                <w:szCs w:val="13"/>
                <w:color w:val="3F3F3F"/>
                <w:w w:val="96"/>
              </w:rPr>
              <w:t>4/27/2021</w:t>
            </w:r>
          </w:p>
        </w:tc>
        <w:tc>
          <w:tcPr>
            <w:tcW w:w="860" w:type="dxa"/>
            <w:vAlign w:val="bottom"/>
            <w:vMerge w:val="restart"/>
          </w:tcPr>
          <w:p>
            <w:pPr>
              <w:jc w:val="center"/>
              <w:ind w:left="137"/>
              <w:spacing w:after="0"/>
              <w:rPr>
                <w:sz w:val="20"/>
                <w:szCs w:val="20"/>
                <w:color w:val="auto"/>
              </w:rPr>
            </w:pPr>
            <w:r>
              <w:rPr>
                <w:rFonts w:ascii="Arial" w:cs="Arial" w:eastAsia="Arial" w:hAnsi="Arial"/>
                <w:sz w:val="13"/>
                <w:szCs w:val="13"/>
                <w:color w:val="3F3F3F"/>
              </w:rPr>
              <w:t>—</w:t>
            </w:r>
          </w:p>
        </w:tc>
        <w:tc>
          <w:tcPr>
            <w:tcW w:w="800" w:type="dxa"/>
            <w:vAlign w:val="bottom"/>
            <w:vMerge w:val="restart"/>
          </w:tcPr>
          <w:p>
            <w:pPr>
              <w:jc w:val="center"/>
              <w:ind w:left="97"/>
              <w:spacing w:after="0"/>
              <w:rPr>
                <w:sz w:val="20"/>
                <w:szCs w:val="20"/>
                <w:color w:val="auto"/>
              </w:rPr>
            </w:pPr>
            <w:r>
              <w:rPr>
                <w:rFonts w:ascii="Arial" w:cs="Arial" w:eastAsia="Arial" w:hAnsi="Arial"/>
                <w:sz w:val="13"/>
                <w:szCs w:val="13"/>
                <w:color w:val="3F3F3F"/>
                <w:w w:val="91"/>
              </w:rPr>
              <w:t>—</w:t>
            </w: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3"/>
                <w:szCs w:val="13"/>
                <w:color w:val="3F3F3F"/>
                <w:w w:val="91"/>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3F3F3F"/>
                <w:w w:val="91"/>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3F3F3F"/>
              </w:rPr>
              <w:t>—</w:t>
            </w:r>
          </w:p>
        </w:tc>
        <w:tc>
          <w:tcPr>
            <w:tcW w:w="320" w:type="dxa"/>
            <w:vAlign w:val="bottom"/>
            <w:vMerge w:val="restart"/>
          </w:tcPr>
          <w:p>
            <w:pPr>
              <w:jc w:val="center"/>
              <w:spacing w:after="0"/>
              <w:rPr>
                <w:sz w:val="20"/>
                <w:szCs w:val="20"/>
                <w:color w:val="auto"/>
              </w:rPr>
            </w:pPr>
            <w:r>
              <w:rPr>
                <w:rFonts w:ascii="Arial" w:cs="Arial" w:eastAsia="Arial" w:hAnsi="Arial"/>
                <w:sz w:val="13"/>
                <w:szCs w:val="13"/>
                <w:color w:val="3F3F3F"/>
                <w:w w:val="91"/>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3F3F3F"/>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3F3F3F"/>
                <w:w w:val="95"/>
              </w:rPr>
              <w:t>23,028</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3F3F3F"/>
                <w:w w:val="97"/>
              </w:rPr>
              <w:t>$166.73</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3F3F3F"/>
                <w:w w:val="95"/>
              </w:rPr>
              <w:t>$1,201,878</w:t>
            </w:r>
          </w:p>
        </w:tc>
        <w:tc>
          <w:tcPr>
            <w:tcW w:w="0" w:type="dxa"/>
            <w:vAlign w:val="bottom"/>
          </w:tcPr>
          <w:p>
            <w:pPr>
              <w:spacing w:after="0"/>
              <w:rPr>
                <w:sz w:val="1"/>
                <w:szCs w:val="1"/>
                <w:color w:val="auto"/>
              </w:rPr>
            </w:pPr>
          </w:p>
        </w:tc>
      </w:tr>
      <w:tr>
        <w:trPr>
          <w:trHeight w:val="90"/>
        </w:trPr>
        <w:tc>
          <w:tcPr>
            <w:tcW w:w="21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140" w:type="dxa"/>
            <w:vAlign w:val="bottom"/>
            <w:tcBorders>
              <w:bottom w:val="single" w:sz="8" w:color="BFBFBF"/>
            </w:tcBorders>
          </w:tcPr>
          <w:p>
            <w:pPr>
              <w:spacing w:after="0"/>
              <w:rPr>
                <w:sz w:val="8"/>
                <w:szCs w:val="8"/>
                <w:color w:val="auto"/>
              </w:rPr>
            </w:pPr>
          </w:p>
        </w:tc>
        <w:tc>
          <w:tcPr>
            <w:tcW w:w="1280" w:type="dxa"/>
            <w:vAlign w:val="bottom"/>
            <w:tcBorders>
              <w:bottom w:val="single" w:sz="8" w:color="BFBFBF"/>
            </w:tcBorders>
          </w:tcPr>
          <w:p>
            <w:pPr>
              <w:spacing w:after="0"/>
              <w:rPr>
                <w:sz w:val="8"/>
                <w:szCs w:val="8"/>
                <w:color w:val="auto"/>
              </w:rPr>
            </w:pPr>
          </w:p>
        </w:tc>
        <w:tc>
          <w:tcPr>
            <w:tcW w:w="860" w:type="dxa"/>
            <w:vAlign w:val="bottom"/>
            <w:tcBorders>
              <w:bottom w:val="single" w:sz="8" w:color="BFBFBF"/>
            </w:tcBorders>
          </w:tcPr>
          <w:p>
            <w:pPr>
              <w:spacing w:after="0"/>
              <w:rPr>
                <w:sz w:val="8"/>
                <w:szCs w:val="8"/>
                <w:color w:val="auto"/>
              </w:rPr>
            </w:pPr>
          </w:p>
        </w:tc>
        <w:tc>
          <w:tcPr>
            <w:tcW w:w="800" w:type="dxa"/>
            <w:vAlign w:val="bottom"/>
            <w:tcBorders>
              <w:bottom w:val="single" w:sz="8" w:color="BFBFBF"/>
            </w:tcBorders>
          </w:tcPr>
          <w:p>
            <w:pPr>
              <w:spacing w:after="0"/>
              <w:rPr>
                <w:sz w:val="8"/>
                <w:szCs w:val="8"/>
                <w:color w:val="auto"/>
              </w:rPr>
            </w:pPr>
          </w:p>
        </w:tc>
        <w:tc>
          <w:tcPr>
            <w:tcW w:w="440" w:type="dxa"/>
            <w:vAlign w:val="bottom"/>
            <w:tcBorders>
              <w:bottom w:val="single" w:sz="8" w:color="BFBFBF"/>
            </w:tcBorders>
          </w:tcPr>
          <w:p>
            <w:pPr>
              <w:spacing w:after="0"/>
              <w:rPr>
                <w:sz w:val="8"/>
                <w:szCs w:val="8"/>
                <w:color w:val="auto"/>
              </w:rPr>
            </w:pPr>
          </w:p>
        </w:tc>
        <w:tc>
          <w:tcPr>
            <w:tcW w:w="200" w:type="dxa"/>
            <w:vAlign w:val="bottom"/>
            <w:tcBorders>
              <w:bottom w:val="single" w:sz="8" w:color="BFBFBF"/>
            </w:tcBorders>
          </w:tcPr>
          <w:p>
            <w:pPr>
              <w:spacing w:after="0"/>
              <w:rPr>
                <w:sz w:val="8"/>
                <w:szCs w:val="8"/>
                <w:color w:val="auto"/>
              </w:rPr>
            </w:pPr>
          </w:p>
        </w:tc>
        <w:tc>
          <w:tcPr>
            <w:tcW w:w="900" w:type="dxa"/>
            <w:vAlign w:val="bottom"/>
            <w:tcBorders>
              <w:bottom w:val="single" w:sz="8" w:color="BFBFBF"/>
            </w:tcBorders>
          </w:tcPr>
          <w:p>
            <w:pPr>
              <w:spacing w:after="0"/>
              <w:rPr>
                <w:sz w:val="8"/>
                <w:szCs w:val="8"/>
                <w:color w:val="auto"/>
              </w:rPr>
            </w:pPr>
          </w:p>
        </w:tc>
        <w:tc>
          <w:tcPr>
            <w:tcW w:w="620" w:type="dxa"/>
            <w:vAlign w:val="bottom"/>
            <w:tcBorders>
              <w:bottom w:val="single" w:sz="8" w:color="BFBFBF"/>
            </w:tcBorders>
          </w:tcPr>
          <w:p>
            <w:pPr>
              <w:spacing w:after="0"/>
              <w:rPr>
                <w:sz w:val="8"/>
                <w:szCs w:val="8"/>
                <w:color w:val="auto"/>
              </w:rPr>
            </w:pPr>
          </w:p>
        </w:tc>
        <w:tc>
          <w:tcPr>
            <w:tcW w:w="320" w:type="dxa"/>
            <w:vAlign w:val="bottom"/>
            <w:tcBorders>
              <w:bottom w:val="single" w:sz="8" w:color="BFBFBF"/>
            </w:tcBorders>
          </w:tcPr>
          <w:p>
            <w:pPr>
              <w:spacing w:after="0"/>
              <w:rPr>
                <w:sz w:val="8"/>
                <w:szCs w:val="8"/>
                <w:color w:val="auto"/>
              </w:rPr>
            </w:pPr>
          </w:p>
        </w:tc>
        <w:tc>
          <w:tcPr>
            <w:tcW w:w="920" w:type="dxa"/>
            <w:vAlign w:val="bottom"/>
            <w:tcBorders>
              <w:bottom w:val="single" w:sz="8" w:color="BFBFBF"/>
            </w:tcBorders>
          </w:tcPr>
          <w:p>
            <w:pPr>
              <w:spacing w:after="0"/>
              <w:rPr>
                <w:sz w:val="8"/>
                <w:szCs w:val="8"/>
                <w:color w:val="auto"/>
              </w:rPr>
            </w:pPr>
          </w:p>
        </w:tc>
        <w:tc>
          <w:tcPr>
            <w:tcW w:w="920" w:type="dxa"/>
            <w:vAlign w:val="bottom"/>
            <w:tcBorders>
              <w:bottom w:val="single" w:sz="8" w:color="BFBFBF"/>
            </w:tcBorders>
          </w:tcPr>
          <w:p>
            <w:pPr>
              <w:spacing w:after="0"/>
              <w:rPr>
                <w:sz w:val="8"/>
                <w:szCs w:val="8"/>
                <w:color w:val="auto"/>
              </w:rPr>
            </w:pPr>
          </w:p>
        </w:tc>
        <w:tc>
          <w:tcPr>
            <w:tcW w:w="760" w:type="dxa"/>
            <w:vAlign w:val="bottom"/>
            <w:tcBorders>
              <w:bottom w:val="single" w:sz="8" w:color="BFBFBF"/>
            </w:tcBorders>
          </w:tcPr>
          <w:p>
            <w:pPr>
              <w:spacing w:after="0"/>
              <w:rPr>
                <w:sz w:val="8"/>
                <w:szCs w:val="8"/>
                <w:color w:val="auto"/>
              </w:rPr>
            </w:pPr>
          </w:p>
        </w:tc>
        <w:tc>
          <w:tcPr>
            <w:tcW w:w="86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2140" w:type="dxa"/>
            <w:vAlign w:val="bottom"/>
          </w:tcPr>
          <w:p>
            <w:pPr>
              <w:spacing w:after="0"/>
              <w:rPr>
                <w:sz w:val="20"/>
                <w:szCs w:val="20"/>
                <w:color w:val="auto"/>
              </w:rPr>
            </w:pPr>
            <w:r>
              <w:rPr>
                <w:rFonts w:ascii="Arial" w:cs="Arial" w:eastAsia="Arial" w:hAnsi="Arial"/>
                <w:sz w:val="13"/>
                <w:szCs w:val="13"/>
                <w:color w:val="006098"/>
              </w:rPr>
              <w:t>Stephen P. Ewald</w:t>
            </w:r>
          </w:p>
        </w:tc>
        <w:tc>
          <w:tcPr>
            <w:tcW w:w="1280" w:type="dxa"/>
            <w:vAlign w:val="bottom"/>
            <w:vMerge w:val="restart"/>
          </w:tcPr>
          <w:p>
            <w:pPr>
              <w:jc w:val="center"/>
              <w:ind w:left="537"/>
              <w:spacing w:after="0"/>
              <w:rPr>
                <w:sz w:val="20"/>
                <w:szCs w:val="20"/>
                <w:color w:val="auto"/>
              </w:rPr>
            </w:pPr>
            <w:r>
              <w:rPr>
                <w:rFonts w:ascii="Arial" w:cs="Arial" w:eastAsia="Arial" w:hAnsi="Arial"/>
                <w:sz w:val="13"/>
                <w:szCs w:val="13"/>
                <w:color w:val="3F3F3F"/>
                <w:w w:val="96"/>
              </w:rPr>
              <w:t>4/27/2021</w:t>
            </w:r>
          </w:p>
        </w:tc>
        <w:tc>
          <w:tcPr>
            <w:tcW w:w="860" w:type="dxa"/>
            <w:vAlign w:val="bottom"/>
            <w:vMerge w:val="restart"/>
          </w:tcPr>
          <w:p>
            <w:pPr>
              <w:jc w:val="center"/>
              <w:ind w:left="137"/>
              <w:spacing w:after="0"/>
              <w:rPr>
                <w:sz w:val="20"/>
                <w:szCs w:val="20"/>
                <w:color w:val="auto"/>
              </w:rPr>
            </w:pPr>
            <w:r>
              <w:rPr>
                <w:rFonts w:ascii="Arial" w:cs="Arial" w:eastAsia="Arial" w:hAnsi="Arial"/>
                <w:sz w:val="13"/>
                <w:szCs w:val="13"/>
                <w:color w:val="3F3F3F"/>
              </w:rPr>
              <w:t>—</w:t>
            </w:r>
          </w:p>
        </w:tc>
        <w:tc>
          <w:tcPr>
            <w:tcW w:w="800" w:type="dxa"/>
            <w:vAlign w:val="bottom"/>
            <w:vMerge w:val="restart"/>
          </w:tcPr>
          <w:p>
            <w:pPr>
              <w:jc w:val="center"/>
              <w:ind w:left="97"/>
              <w:spacing w:after="0"/>
              <w:rPr>
                <w:sz w:val="20"/>
                <w:szCs w:val="20"/>
                <w:color w:val="auto"/>
              </w:rPr>
            </w:pPr>
            <w:r>
              <w:rPr>
                <w:rFonts w:ascii="Arial" w:cs="Arial" w:eastAsia="Arial" w:hAnsi="Arial"/>
                <w:sz w:val="13"/>
                <w:szCs w:val="13"/>
                <w:color w:val="3F3F3F"/>
                <w:w w:val="91"/>
              </w:rPr>
              <w:t>—</w:t>
            </w: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3"/>
                <w:szCs w:val="13"/>
                <w:color w:val="3F3F3F"/>
                <w:w w:val="91"/>
              </w:rPr>
              <w:t>—</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3F3F3F"/>
                <w:w w:val="91"/>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3F3F3F"/>
              </w:rPr>
              <w:t>—</w:t>
            </w:r>
          </w:p>
        </w:tc>
        <w:tc>
          <w:tcPr>
            <w:tcW w:w="320" w:type="dxa"/>
            <w:vAlign w:val="bottom"/>
            <w:vMerge w:val="restart"/>
          </w:tcPr>
          <w:p>
            <w:pPr>
              <w:jc w:val="center"/>
              <w:spacing w:after="0"/>
              <w:rPr>
                <w:sz w:val="20"/>
                <w:szCs w:val="20"/>
                <w:color w:val="auto"/>
              </w:rPr>
            </w:pPr>
            <w:r>
              <w:rPr>
                <w:rFonts w:ascii="Arial" w:cs="Arial" w:eastAsia="Arial" w:hAnsi="Arial"/>
                <w:sz w:val="13"/>
                <w:szCs w:val="13"/>
                <w:color w:val="3F3F3F"/>
                <w:w w:val="91"/>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3F3F3F"/>
              </w:rPr>
              <w:t>—</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3F3F3F"/>
                <w:w w:val="95"/>
              </w:rPr>
              <w:t>18,230</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3F3F3F"/>
                <w:w w:val="97"/>
              </w:rPr>
              <w:t>$166.73</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3F3F3F"/>
                <w:w w:val="95"/>
              </w:rPr>
              <w:t>$951,461</w:t>
            </w:r>
          </w:p>
        </w:tc>
        <w:tc>
          <w:tcPr>
            <w:tcW w:w="0" w:type="dxa"/>
            <w:vAlign w:val="bottom"/>
          </w:tcPr>
          <w:p>
            <w:pPr>
              <w:spacing w:after="0"/>
              <w:rPr>
                <w:sz w:val="1"/>
                <w:szCs w:val="1"/>
                <w:color w:val="auto"/>
              </w:rPr>
            </w:pPr>
          </w:p>
        </w:tc>
      </w:tr>
      <w:tr>
        <w:trPr>
          <w:trHeight w:val="90"/>
        </w:trPr>
        <w:tc>
          <w:tcPr>
            <w:tcW w:w="21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140" w:type="dxa"/>
            <w:vAlign w:val="bottom"/>
            <w:tcBorders>
              <w:bottom w:val="single" w:sz="8" w:color="BFBFBF"/>
            </w:tcBorders>
          </w:tcPr>
          <w:p>
            <w:pPr>
              <w:spacing w:after="0"/>
              <w:rPr>
                <w:sz w:val="8"/>
                <w:szCs w:val="8"/>
                <w:color w:val="auto"/>
              </w:rPr>
            </w:pPr>
          </w:p>
        </w:tc>
        <w:tc>
          <w:tcPr>
            <w:tcW w:w="1280" w:type="dxa"/>
            <w:vAlign w:val="bottom"/>
            <w:tcBorders>
              <w:bottom w:val="single" w:sz="8" w:color="BFBFBF"/>
            </w:tcBorders>
          </w:tcPr>
          <w:p>
            <w:pPr>
              <w:spacing w:after="0"/>
              <w:rPr>
                <w:sz w:val="8"/>
                <w:szCs w:val="8"/>
                <w:color w:val="auto"/>
              </w:rPr>
            </w:pPr>
          </w:p>
        </w:tc>
        <w:tc>
          <w:tcPr>
            <w:tcW w:w="860" w:type="dxa"/>
            <w:vAlign w:val="bottom"/>
            <w:tcBorders>
              <w:bottom w:val="single" w:sz="8" w:color="BFBFBF"/>
            </w:tcBorders>
          </w:tcPr>
          <w:p>
            <w:pPr>
              <w:spacing w:after="0"/>
              <w:rPr>
                <w:sz w:val="8"/>
                <w:szCs w:val="8"/>
                <w:color w:val="auto"/>
              </w:rPr>
            </w:pPr>
          </w:p>
        </w:tc>
        <w:tc>
          <w:tcPr>
            <w:tcW w:w="800" w:type="dxa"/>
            <w:vAlign w:val="bottom"/>
            <w:tcBorders>
              <w:bottom w:val="single" w:sz="8" w:color="BFBFBF"/>
            </w:tcBorders>
          </w:tcPr>
          <w:p>
            <w:pPr>
              <w:spacing w:after="0"/>
              <w:rPr>
                <w:sz w:val="8"/>
                <w:szCs w:val="8"/>
                <w:color w:val="auto"/>
              </w:rPr>
            </w:pPr>
          </w:p>
        </w:tc>
        <w:tc>
          <w:tcPr>
            <w:tcW w:w="440" w:type="dxa"/>
            <w:vAlign w:val="bottom"/>
            <w:tcBorders>
              <w:bottom w:val="single" w:sz="8" w:color="BFBFBF"/>
            </w:tcBorders>
          </w:tcPr>
          <w:p>
            <w:pPr>
              <w:spacing w:after="0"/>
              <w:rPr>
                <w:sz w:val="8"/>
                <w:szCs w:val="8"/>
                <w:color w:val="auto"/>
              </w:rPr>
            </w:pPr>
          </w:p>
        </w:tc>
        <w:tc>
          <w:tcPr>
            <w:tcW w:w="200" w:type="dxa"/>
            <w:vAlign w:val="bottom"/>
            <w:tcBorders>
              <w:bottom w:val="single" w:sz="8" w:color="BFBFBF"/>
            </w:tcBorders>
          </w:tcPr>
          <w:p>
            <w:pPr>
              <w:spacing w:after="0"/>
              <w:rPr>
                <w:sz w:val="8"/>
                <w:szCs w:val="8"/>
                <w:color w:val="auto"/>
              </w:rPr>
            </w:pPr>
          </w:p>
        </w:tc>
        <w:tc>
          <w:tcPr>
            <w:tcW w:w="900" w:type="dxa"/>
            <w:vAlign w:val="bottom"/>
            <w:tcBorders>
              <w:bottom w:val="single" w:sz="8" w:color="BFBFBF"/>
            </w:tcBorders>
          </w:tcPr>
          <w:p>
            <w:pPr>
              <w:spacing w:after="0"/>
              <w:rPr>
                <w:sz w:val="8"/>
                <w:szCs w:val="8"/>
                <w:color w:val="auto"/>
              </w:rPr>
            </w:pPr>
          </w:p>
        </w:tc>
        <w:tc>
          <w:tcPr>
            <w:tcW w:w="620" w:type="dxa"/>
            <w:vAlign w:val="bottom"/>
            <w:tcBorders>
              <w:bottom w:val="single" w:sz="8" w:color="BFBFBF"/>
            </w:tcBorders>
          </w:tcPr>
          <w:p>
            <w:pPr>
              <w:spacing w:after="0"/>
              <w:rPr>
                <w:sz w:val="8"/>
                <w:szCs w:val="8"/>
                <w:color w:val="auto"/>
              </w:rPr>
            </w:pPr>
          </w:p>
        </w:tc>
        <w:tc>
          <w:tcPr>
            <w:tcW w:w="320" w:type="dxa"/>
            <w:vAlign w:val="bottom"/>
            <w:tcBorders>
              <w:bottom w:val="single" w:sz="8" w:color="BFBFBF"/>
            </w:tcBorders>
          </w:tcPr>
          <w:p>
            <w:pPr>
              <w:spacing w:after="0"/>
              <w:rPr>
                <w:sz w:val="8"/>
                <w:szCs w:val="8"/>
                <w:color w:val="auto"/>
              </w:rPr>
            </w:pPr>
          </w:p>
        </w:tc>
        <w:tc>
          <w:tcPr>
            <w:tcW w:w="920" w:type="dxa"/>
            <w:vAlign w:val="bottom"/>
            <w:tcBorders>
              <w:bottom w:val="single" w:sz="8" w:color="BFBFBF"/>
            </w:tcBorders>
          </w:tcPr>
          <w:p>
            <w:pPr>
              <w:spacing w:after="0"/>
              <w:rPr>
                <w:sz w:val="8"/>
                <w:szCs w:val="8"/>
                <w:color w:val="auto"/>
              </w:rPr>
            </w:pPr>
          </w:p>
        </w:tc>
        <w:tc>
          <w:tcPr>
            <w:tcW w:w="920" w:type="dxa"/>
            <w:vAlign w:val="bottom"/>
            <w:tcBorders>
              <w:bottom w:val="single" w:sz="8" w:color="BFBFBF"/>
            </w:tcBorders>
          </w:tcPr>
          <w:p>
            <w:pPr>
              <w:spacing w:after="0"/>
              <w:rPr>
                <w:sz w:val="8"/>
                <w:szCs w:val="8"/>
                <w:color w:val="auto"/>
              </w:rPr>
            </w:pPr>
          </w:p>
        </w:tc>
        <w:tc>
          <w:tcPr>
            <w:tcW w:w="760" w:type="dxa"/>
            <w:vAlign w:val="bottom"/>
            <w:tcBorders>
              <w:bottom w:val="single" w:sz="8" w:color="BFBFBF"/>
            </w:tcBorders>
          </w:tcPr>
          <w:p>
            <w:pPr>
              <w:spacing w:after="0"/>
              <w:rPr>
                <w:sz w:val="8"/>
                <w:szCs w:val="8"/>
                <w:color w:val="auto"/>
              </w:rPr>
            </w:pPr>
          </w:p>
        </w:tc>
        <w:tc>
          <w:tcPr>
            <w:tcW w:w="860" w:type="dxa"/>
            <w:vAlign w:val="bottom"/>
            <w:tcBorders>
              <w:bottom w:val="single" w:sz="8" w:color="BFBFBF"/>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1000" w:right="160" w:hanging="884"/>
        <w:spacing w:after="0" w:line="253" w:lineRule="auto"/>
        <w:tabs>
          <w:tab w:leader="none" w:pos="1000" w:val="left"/>
        </w:tabs>
        <w:numPr>
          <w:ilvl w:val="0"/>
          <w:numId w:val="21"/>
        </w:numPr>
        <w:rPr>
          <w:rFonts w:ascii="Arial" w:cs="Arial" w:eastAsia="Arial" w:hAnsi="Arial"/>
          <w:sz w:val="18"/>
          <w:szCs w:val="18"/>
          <w:color w:val="3F3F3F"/>
        </w:rPr>
      </w:pPr>
      <w:r>
        <w:rPr>
          <w:rFonts w:ascii="Arial" w:cs="Arial" w:eastAsia="Arial" w:hAnsi="Arial"/>
          <w:sz w:val="18"/>
          <w:szCs w:val="18"/>
          <w:color w:val="3F3F3F"/>
        </w:rPr>
        <w:t>On April 27, 2021, Mr. Troendle, Mr. Brady, Mr. Geiger, Ms. Burwig and Mr. Ewald were each granted stock options. The stock options granted to Mr. Troendle have a vest date of April 27, 2023, and the stock options granted to Mr. Brady, Mr. Geiger, Ms. Burwig and Mr. Ewald have a vest date of October 27, 2025.</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F3F3F"/>
        </w:rPr>
        <w:t>38</w:t>
      </w:r>
    </w:p>
    <w:p>
      <w:pPr>
        <w:sectPr>
          <w:pgSz w:w="11900" w:h="16838" w:orient="portrait"/>
          <w:cols w:equalWidth="0" w:num="1">
            <w:col w:w="11140"/>
          </w:cols>
          <w:pgMar w:left="32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EXECUTIVE COMPENSATION</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NEO Employment Agreement</w:t>
      </w:r>
    </w:p>
    <w:p>
      <w:pPr>
        <w:spacing w:after="0" w:line="104"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3F3F3F"/>
        </w:rPr>
        <w:t>Since 2011, Mr. Troendle was party to an employment agreement with the Company, which was amended and restated on July 25, 2016 in connection with our initial public offering. The current agreement has a three-year term that began on July 25, 2016 and has been followed by successive one-year terms, subject to non-extension by either the Company or Mr. Troendle at any time upon 90 days’ advance written notice.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Mr. Troendle’s employment agreement provides for Mr. Troendle’s position as our Chief Executive Officer. Under the agreement,</w:t>
      </w:r>
    </w:p>
    <w:p>
      <w:pPr>
        <w:spacing w:after="0" w:line="14"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3F3F3F"/>
        </w:rPr>
        <w:t>Mr. Troendle’s annual base salary as of December 31, 2021 was $711,000. The Compensation Committee has subsequently increased Mr. Troendle’s salary as described above. The agreement also provides that Mr. Troendle will be eligible to receive an annual cash bonus, provided that he remains employed by us at the time of the applicable bonus payment date, based upon achievement of performance objectives and individual goals established by our Board. The agreement also provides for Mr. Troendle’s participation in all employee benefit plans and programs made available by the Company to our executives and the reimbursement of all reasonable business expenses incurred by Mr. Troendle.</w:t>
      </w:r>
    </w:p>
    <w:p>
      <w:pPr>
        <w:spacing w:after="0" w:line="181"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3F3F3F"/>
        </w:rPr>
        <w:t>Mr. Troendle’s employment agreement does not provide for any severance benefits upon termination other than the payment of accrued and unpaid base salary, any reimbursement due for incurred business expenses and any benefits due under our 401(k) plan in accordance with the terms of that plan. Upon termination, the treatment of any stock-based awards will be governed by the terms of the applicable plan and grant agreement.</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employment agreement also provides that the Company will nominate Mr. Troendle for re-election to the Board during the term.</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None of our other executive officers is party to an employment agreement.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Equity Incentive Awards</w:t>
      </w:r>
    </w:p>
    <w:p>
      <w:pPr>
        <w:spacing w:after="0" w:line="104"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3F3F3F"/>
        </w:rPr>
        <w:t>Our NEOs have historically been eligible to receive long-term equity-based incentive awards under our 2016 Incentive Award Plan. While we believe that long-term equity awards are an important element of the “mix” of compensation paid to our NEOs, we do not maintain any formal grant-making policy. Instead, the Compensation Committee periodically reviews the total level and mix of compensation paid to each of our NEOs in order to determine the appropriate timing and amounts of long-term equity awards so as to continue to promote the alignment of our executive officers’ interests with those of our stockholders. Awards granted during the 2021 fiscal year are described above in the table captioned, “Grants of Plan-Based Awards.”</w:t>
      </w:r>
    </w:p>
    <w:p>
      <w:pPr>
        <w:spacing w:after="0" w:line="179"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3F3F3F"/>
        </w:rPr>
        <w:t>The treatment of our NEOs’ equity awards upon a termination of employment (as applicable) or a Change in Control is described below in the section entitled “Potential Payments Upon Termination or Change in Control.”</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39</w:t>
      </w:r>
    </w:p>
    <w:p>
      <w:pPr>
        <w:sectPr>
          <w:pgSz w:w="11900" w:h="16838" w:orient="portrait"/>
          <w:cols w:equalWidth="0" w:num="1">
            <w:col w:w="11140"/>
          </w:cols>
          <w:pgMar w:left="32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EXECUTIVE COMPENSATION</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Outstanding Equity Awards at Fiscal Year-End</w:t>
      </w:r>
    </w:p>
    <w:p>
      <w:pPr>
        <w:spacing w:after="0" w:line="104"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color w:val="3F3F3F"/>
        </w:rPr>
        <w:t>The following table provides information concerning outstanding equity awards for each of our NEOs as of December 31, 2021. As of December 31, 2021, the fair market value of a share of our common stock was $217.64.</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2340" w:type="dxa"/>
            <w:vAlign w:val="bottom"/>
          </w:tcPr>
          <w:p>
            <w:pPr>
              <w:spacing w:after="0"/>
              <w:rPr>
                <w:sz w:val="13"/>
                <w:szCs w:val="13"/>
                <w:color w:val="auto"/>
              </w:rPr>
            </w:pPr>
          </w:p>
        </w:tc>
        <w:tc>
          <w:tcPr>
            <w:tcW w:w="1040" w:type="dxa"/>
            <w:vAlign w:val="bottom"/>
            <w:tcBorders>
              <w:bottom w:val="single" w:sz="8" w:color="83BA90"/>
            </w:tcBorders>
          </w:tcPr>
          <w:p>
            <w:pPr>
              <w:spacing w:after="0"/>
              <w:rPr>
                <w:sz w:val="13"/>
                <w:szCs w:val="13"/>
                <w:color w:val="auto"/>
              </w:rPr>
            </w:pPr>
          </w:p>
        </w:tc>
        <w:tc>
          <w:tcPr>
            <w:tcW w:w="2080" w:type="dxa"/>
            <w:vAlign w:val="bottom"/>
            <w:tcBorders>
              <w:bottom w:val="single" w:sz="8" w:color="83BA90"/>
            </w:tcBorders>
            <w:gridSpan w:val="2"/>
          </w:tcPr>
          <w:p>
            <w:pPr>
              <w:ind w:left="940"/>
              <w:spacing w:after="0"/>
              <w:rPr>
                <w:sz w:val="20"/>
                <w:szCs w:val="20"/>
                <w:color w:val="auto"/>
              </w:rPr>
            </w:pPr>
            <w:r>
              <w:rPr>
                <w:rFonts w:ascii="Arial" w:cs="Arial" w:eastAsia="Arial" w:hAnsi="Arial"/>
                <w:sz w:val="13"/>
                <w:szCs w:val="13"/>
                <w:b w:val="1"/>
                <w:bCs w:val="1"/>
                <w:color w:val="006098"/>
              </w:rPr>
              <w:t>Option Awards</w:t>
            </w:r>
          </w:p>
        </w:tc>
        <w:tc>
          <w:tcPr>
            <w:tcW w:w="720" w:type="dxa"/>
            <w:vAlign w:val="bottom"/>
            <w:tcBorders>
              <w:bottom w:val="single" w:sz="8" w:color="83BA90"/>
            </w:tcBorders>
          </w:tcPr>
          <w:p>
            <w:pPr>
              <w:spacing w:after="0"/>
              <w:rPr>
                <w:sz w:val="13"/>
                <w:szCs w:val="13"/>
                <w:color w:val="auto"/>
              </w:rPr>
            </w:pPr>
          </w:p>
        </w:tc>
        <w:tc>
          <w:tcPr>
            <w:tcW w:w="840" w:type="dxa"/>
            <w:vAlign w:val="bottom"/>
            <w:tcBorders>
              <w:bottom w:val="single" w:sz="8" w:color="83BA90"/>
            </w:tcBorders>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Borders>
              <w:bottom w:val="single" w:sz="8" w:color="83BA90"/>
            </w:tcBorders>
          </w:tcPr>
          <w:p>
            <w:pPr>
              <w:spacing w:after="0"/>
              <w:rPr>
                <w:sz w:val="13"/>
                <w:szCs w:val="13"/>
                <w:color w:val="auto"/>
              </w:rPr>
            </w:pPr>
          </w:p>
        </w:tc>
        <w:tc>
          <w:tcPr>
            <w:tcW w:w="1880" w:type="dxa"/>
            <w:vAlign w:val="bottom"/>
            <w:tcBorders>
              <w:bottom w:val="single" w:sz="8" w:color="83BA90"/>
            </w:tcBorders>
            <w:gridSpan w:val="2"/>
          </w:tcPr>
          <w:p>
            <w:pPr>
              <w:ind w:left="620"/>
              <w:spacing w:after="0"/>
              <w:rPr>
                <w:sz w:val="20"/>
                <w:szCs w:val="20"/>
                <w:color w:val="auto"/>
              </w:rPr>
            </w:pPr>
            <w:r>
              <w:rPr>
                <w:rFonts w:ascii="Arial" w:cs="Arial" w:eastAsia="Arial" w:hAnsi="Arial"/>
                <w:sz w:val="13"/>
                <w:szCs w:val="13"/>
                <w:b w:val="1"/>
                <w:bCs w:val="1"/>
                <w:color w:val="006098"/>
              </w:rPr>
              <w:t>Stock Awards</w:t>
            </w:r>
          </w:p>
        </w:tc>
        <w:tc>
          <w:tcPr>
            <w:tcW w:w="920" w:type="dxa"/>
            <w:vAlign w:val="bottom"/>
            <w:tcBorders>
              <w:bottom w:val="single" w:sz="8" w:color="83BA90"/>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006098"/>
                <w:w w:val="95"/>
              </w:rPr>
              <w:t>Equity</w:t>
            </w:r>
          </w:p>
        </w:tc>
        <w:tc>
          <w:tcPr>
            <w:tcW w:w="920" w:type="dxa"/>
            <w:vAlign w:val="bottom"/>
          </w:tcPr>
          <w:p>
            <w:pPr>
              <w:jc w:val="center"/>
              <w:spacing w:after="0" w:line="111" w:lineRule="exact"/>
              <w:rPr>
                <w:sz w:val="20"/>
                <w:szCs w:val="20"/>
                <w:color w:val="auto"/>
              </w:rPr>
            </w:pPr>
            <w:r>
              <w:rPr>
                <w:rFonts w:ascii="Arial" w:cs="Arial" w:eastAsia="Arial" w:hAnsi="Arial"/>
                <w:sz w:val="12"/>
                <w:szCs w:val="12"/>
                <w:b w:val="1"/>
                <w:bCs w:val="1"/>
                <w:color w:val="006098"/>
              </w:rPr>
              <w:t>Equity</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006098"/>
                <w:w w:val="95"/>
              </w:rPr>
              <w:t>Equity</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8"/>
              </w:rPr>
              <w:t>Incentive Plan</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8"/>
              </w:rPr>
              <w:t>Incentive Plan</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Awards:</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040" w:type="dxa"/>
            <w:vAlign w:val="bottom"/>
            <w:vMerge w:val="restart"/>
          </w:tcPr>
          <w:p>
            <w:pPr>
              <w:jc w:val="center"/>
              <w:ind w:left="10"/>
              <w:spacing w:after="0"/>
              <w:rPr>
                <w:sz w:val="20"/>
                <w:szCs w:val="20"/>
                <w:color w:val="auto"/>
              </w:rPr>
            </w:pPr>
            <w:r>
              <w:rPr>
                <w:rFonts w:ascii="Arial" w:cs="Arial" w:eastAsia="Arial" w:hAnsi="Arial"/>
                <w:sz w:val="13"/>
                <w:szCs w:val="13"/>
                <w:b w:val="1"/>
                <w:bCs w:val="1"/>
                <w:color w:val="006098"/>
                <w:w w:val="98"/>
              </w:rPr>
              <w:t>Number of</w:t>
            </w: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006098"/>
                <w:w w:val="98"/>
              </w:rPr>
              <w:t>Number of</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Incentive Plan</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006098"/>
                <w:w w:val="95"/>
              </w:rPr>
              <w:t>Market</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Awards: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9"/>
              </w:rPr>
              <w:t>Market or</w:t>
            </w:r>
          </w:p>
        </w:tc>
        <w:tc>
          <w:tcPr>
            <w:tcW w:w="0" w:type="dxa"/>
            <w:vAlign w:val="bottom"/>
          </w:tcPr>
          <w:p>
            <w:pPr>
              <w:spacing w:after="0"/>
              <w:rPr>
                <w:sz w:val="1"/>
                <w:szCs w:val="1"/>
                <w:color w:val="auto"/>
              </w:rPr>
            </w:pPr>
          </w:p>
        </w:tc>
      </w:tr>
      <w:tr>
        <w:trPr>
          <w:trHeight w:val="126"/>
        </w:trPr>
        <w:tc>
          <w:tcPr>
            <w:tcW w:w="23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040" w:type="dxa"/>
            <w:vAlign w:val="bottom"/>
          </w:tcPr>
          <w:p>
            <w:pPr>
              <w:jc w:val="center"/>
              <w:spacing w:after="0" w:line="126" w:lineRule="exact"/>
              <w:rPr>
                <w:sz w:val="20"/>
                <w:szCs w:val="20"/>
                <w:color w:val="auto"/>
              </w:rPr>
            </w:pPr>
            <w:r>
              <w:rPr>
                <w:rFonts w:ascii="Arial" w:cs="Arial" w:eastAsia="Arial" w:hAnsi="Arial"/>
                <w:sz w:val="13"/>
                <w:szCs w:val="13"/>
                <w:b w:val="1"/>
                <w:bCs w:val="1"/>
                <w:color w:val="006098"/>
                <w:w w:val="97"/>
              </w:rPr>
              <w:t>Awards:</w:t>
            </w: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restart"/>
          </w:tcPr>
          <w:p>
            <w:pPr>
              <w:jc w:val="center"/>
              <w:ind w:left="70"/>
              <w:spacing w:after="0"/>
              <w:rPr>
                <w:sz w:val="20"/>
                <w:szCs w:val="20"/>
                <w:color w:val="auto"/>
              </w:rPr>
            </w:pPr>
            <w:r>
              <w:rPr>
                <w:rFonts w:ascii="Arial" w:cs="Arial" w:eastAsia="Arial" w:hAnsi="Arial"/>
                <w:sz w:val="13"/>
                <w:szCs w:val="13"/>
                <w:b w:val="1"/>
                <w:bCs w:val="1"/>
                <w:color w:val="006098"/>
                <w:w w:val="95"/>
              </w:rPr>
              <w:t>Number of</w:t>
            </w:r>
          </w:p>
        </w:tc>
        <w:tc>
          <w:tcPr>
            <w:tcW w:w="880" w:type="dxa"/>
            <w:vAlign w:val="bottom"/>
            <w:vMerge w:val="continue"/>
          </w:tcPr>
          <w:p>
            <w:pPr>
              <w:spacing w:after="0"/>
              <w:rPr>
                <w:sz w:val="10"/>
                <w:szCs w:val="10"/>
                <w:color w:val="auto"/>
              </w:rPr>
            </w:pPr>
          </w:p>
        </w:tc>
        <w:tc>
          <w:tcPr>
            <w:tcW w:w="1000" w:type="dxa"/>
            <w:vAlign w:val="bottom"/>
          </w:tcPr>
          <w:p>
            <w:pPr>
              <w:jc w:val="center"/>
              <w:spacing w:after="0" w:line="126" w:lineRule="exact"/>
              <w:rPr>
                <w:sz w:val="20"/>
                <w:szCs w:val="20"/>
                <w:color w:val="auto"/>
              </w:rPr>
            </w:pPr>
            <w:r>
              <w:rPr>
                <w:rFonts w:ascii="Arial" w:cs="Arial" w:eastAsia="Arial" w:hAnsi="Arial"/>
                <w:sz w:val="13"/>
                <w:szCs w:val="13"/>
                <w:b w:val="1"/>
                <w:bCs w:val="1"/>
                <w:color w:val="006098"/>
                <w:w w:val="95"/>
              </w:rPr>
              <w:t>Number of</w:t>
            </w: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006098"/>
                <w:w w:val="95"/>
              </w:rPr>
              <w:t>Payout Value</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040" w:type="dxa"/>
            <w:vAlign w:val="bottom"/>
          </w:tcPr>
          <w:p>
            <w:pPr>
              <w:jc w:val="center"/>
              <w:ind w:left="10"/>
              <w:spacing w:after="0" w:line="135" w:lineRule="exact"/>
              <w:rPr>
                <w:sz w:val="20"/>
                <w:szCs w:val="20"/>
                <w:color w:val="auto"/>
              </w:rPr>
            </w:pPr>
            <w:r>
              <w:rPr>
                <w:rFonts w:ascii="Arial" w:cs="Arial" w:eastAsia="Arial" w:hAnsi="Arial"/>
                <w:sz w:val="13"/>
                <w:szCs w:val="13"/>
                <w:b w:val="1"/>
                <w:bCs w:val="1"/>
                <w:color w:val="006098"/>
                <w:w w:val="96"/>
              </w:rPr>
              <w:t>Securities</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Securities</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8"/>
              </w:rPr>
              <w:t>Number of</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4"/>
              </w:rPr>
              <w:t>Value of</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Unearned</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of Unearned</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Underlying</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Underlying</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Securities</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006098"/>
                <w:w w:val="95"/>
              </w:rPr>
              <w:t>Option</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center"/>
              <w:ind w:left="70"/>
              <w:spacing w:after="0" w:line="135" w:lineRule="exact"/>
              <w:rPr>
                <w:sz w:val="20"/>
                <w:szCs w:val="20"/>
                <w:color w:val="auto"/>
              </w:rPr>
            </w:pPr>
            <w:r>
              <w:rPr>
                <w:rFonts w:ascii="Arial" w:cs="Arial" w:eastAsia="Arial" w:hAnsi="Arial"/>
                <w:sz w:val="13"/>
                <w:szCs w:val="13"/>
                <w:b w:val="1"/>
                <w:bCs w:val="1"/>
                <w:color w:val="006098"/>
                <w:w w:val="96"/>
              </w:rPr>
              <w:t>Shares or</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Shares or</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8"/>
              </w:rPr>
              <w:t>Shares, Units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Shares, Units</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040" w:type="dxa"/>
            <w:vAlign w:val="bottom"/>
          </w:tcPr>
          <w:p>
            <w:pPr>
              <w:jc w:val="center"/>
              <w:ind w:left="10"/>
              <w:spacing w:after="0" w:line="135" w:lineRule="exact"/>
              <w:rPr>
                <w:sz w:val="20"/>
                <w:szCs w:val="20"/>
                <w:color w:val="auto"/>
              </w:rPr>
            </w:pPr>
            <w:r>
              <w:rPr>
                <w:rFonts w:ascii="Arial" w:cs="Arial" w:eastAsia="Arial" w:hAnsi="Arial"/>
                <w:sz w:val="13"/>
                <w:szCs w:val="13"/>
                <w:b w:val="1"/>
                <w:bCs w:val="1"/>
                <w:color w:val="006098"/>
                <w:w w:val="98"/>
              </w:rPr>
              <w:t>Unexercised</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8"/>
              </w:rPr>
              <w:t>Unexercised</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Underlying</w:t>
            </w:r>
          </w:p>
        </w:tc>
        <w:tc>
          <w:tcPr>
            <w:tcW w:w="720" w:type="dxa"/>
            <w:vAlign w:val="bottom"/>
            <w:vMerge w:val="continue"/>
          </w:tcPr>
          <w:p>
            <w:pPr>
              <w:spacing w:after="0"/>
              <w:rPr>
                <w:sz w:val="11"/>
                <w:szCs w:val="11"/>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006098"/>
              </w:rPr>
              <w:t>Option</w:t>
            </w:r>
          </w:p>
        </w:tc>
        <w:tc>
          <w:tcPr>
            <w:tcW w:w="920" w:type="dxa"/>
            <w:vAlign w:val="bottom"/>
          </w:tcPr>
          <w:p>
            <w:pPr>
              <w:jc w:val="center"/>
              <w:ind w:left="70"/>
              <w:spacing w:after="0" w:line="135" w:lineRule="exact"/>
              <w:rPr>
                <w:sz w:val="20"/>
                <w:szCs w:val="20"/>
                <w:color w:val="auto"/>
              </w:rPr>
            </w:pPr>
            <w:r>
              <w:rPr>
                <w:rFonts w:ascii="Arial" w:cs="Arial" w:eastAsia="Arial" w:hAnsi="Arial"/>
                <w:sz w:val="13"/>
                <w:szCs w:val="13"/>
                <w:b w:val="1"/>
                <w:bCs w:val="1"/>
                <w:color w:val="006098"/>
                <w:w w:val="94"/>
              </w:rPr>
              <w:t>Units of</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9"/>
              </w:rPr>
              <w:t>Units of</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or Other</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or Other</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040" w:type="dxa"/>
            <w:vAlign w:val="bottom"/>
          </w:tcPr>
          <w:p>
            <w:pPr>
              <w:jc w:val="center"/>
              <w:ind w:left="10"/>
              <w:spacing w:after="0" w:line="135" w:lineRule="exact"/>
              <w:rPr>
                <w:sz w:val="20"/>
                <w:szCs w:val="20"/>
                <w:color w:val="auto"/>
              </w:rPr>
            </w:pPr>
            <w:r>
              <w:rPr>
                <w:rFonts w:ascii="Arial" w:cs="Arial" w:eastAsia="Arial" w:hAnsi="Arial"/>
                <w:sz w:val="13"/>
                <w:szCs w:val="13"/>
                <w:b w:val="1"/>
                <w:bCs w:val="1"/>
                <w:color w:val="006098"/>
                <w:w w:val="97"/>
              </w:rPr>
              <w:t>Options</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Options</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Unexercised,</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Exercise</w:t>
            </w:r>
          </w:p>
        </w:tc>
        <w:tc>
          <w:tcPr>
            <w:tcW w:w="1120" w:type="dxa"/>
            <w:vAlign w:val="bottom"/>
            <w:gridSpan w:val="2"/>
            <w:vMerge w:val="continue"/>
          </w:tcPr>
          <w:p>
            <w:pPr>
              <w:spacing w:after="0"/>
              <w:rPr>
                <w:sz w:val="11"/>
                <w:szCs w:val="11"/>
                <w:color w:val="auto"/>
              </w:rPr>
            </w:pPr>
          </w:p>
        </w:tc>
        <w:tc>
          <w:tcPr>
            <w:tcW w:w="920" w:type="dxa"/>
            <w:vAlign w:val="bottom"/>
          </w:tcPr>
          <w:p>
            <w:pPr>
              <w:jc w:val="center"/>
              <w:ind w:left="90"/>
              <w:spacing w:after="0" w:line="135" w:lineRule="exact"/>
              <w:rPr>
                <w:sz w:val="20"/>
                <w:szCs w:val="20"/>
                <w:color w:val="auto"/>
              </w:rPr>
            </w:pPr>
            <w:r>
              <w:rPr>
                <w:rFonts w:ascii="Arial" w:cs="Arial" w:eastAsia="Arial" w:hAnsi="Arial"/>
                <w:sz w:val="13"/>
                <w:szCs w:val="13"/>
                <w:b w:val="1"/>
                <w:bCs w:val="1"/>
                <w:color w:val="006098"/>
                <w:w w:val="96"/>
              </w:rPr>
              <w:t>Stock That</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Stock That</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Rights That</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7"/>
              </w:rPr>
              <w:t>Rights That</w:t>
            </w:r>
          </w:p>
        </w:tc>
        <w:tc>
          <w:tcPr>
            <w:tcW w:w="0" w:type="dxa"/>
            <w:vAlign w:val="bottom"/>
          </w:tcPr>
          <w:p>
            <w:pPr>
              <w:spacing w:after="0"/>
              <w:rPr>
                <w:sz w:val="1"/>
                <w:szCs w:val="1"/>
                <w:color w:val="auto"/>
              </w:rPr>
            </w:pPr>
          </w:p>
        </w:tc>
      </w:tr>
      <w:tr>
        <w:trPr>
          <w:trHeight w:val="135"/>
        </w:trPr>
        <w:tc>
          <w:tcPr>
            <w:tcW w:w="2340" w:type="dxa"/>
            <w:vAlign w:val="bottom"/>
            <w:vMerge w:val="restart"/>
          </w:tcPr>
          <w:p>
            <w:pPr>
              <w:spacing w:after="0"/>
              <w:rPr>
                <w:sz w:val="20"/>
                <w:szCs w:val="20"/>
                <w:color w:val="auto"/>
              </w:rPr>
            </w:pPr>
            <w:r>
              <w:rPr>
                <w:rFonts w:ascii="Arial" w:cs="Arial" w:eastAsia="Arial" w:hAnsi="Arial"/>
                <w:sz w:val="13"/>
                <w:szCs w:val="13"/>
                <w:b w:val="1"/>
                <w:bCs w:val="1"/>
                <w:color w:val="006098"/>
              </w:rPr>
              <w:t>Name</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Exercisable</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5"/>
              </w:rPr>
              <w:t>Unexercisable</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6"/>
              </w:rPr>
              <w:t>Unearned</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rPr>
              <w:t>Price</w:t>
            </w:r>
          </w:p>
        </w:tc>
        <w:tc>
          <w:tcPr>
            <w:tcW w:w="11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006098"/>
                <w:w w:val="97"/>
              </w:rPr>
              <w:t>Expiration</w:t>
            </w:r>
          </w:p>
        </w:tc>
        <w:tc>
          <w:tcPr>
            <w:tcW w:w="920" w:type="dxa"/>
            <w:vAlign w:val="bottom"/>
          </w:tcPr>
          <w:p>
            <w:pPr>
              <w:jc w:val="center"/>
              <w:ind w:left="70"/>
              <w:spacing w:after="0" w:line="135" w:lineRule="exact"/>
              <w:rPr>
                <w:sz w:val="20"/>
                <w:szCs w:val="20"/>
                <w:color w:val="auto"/>
              </w:rPr>
            </w:pPr>
            <w:r>
              <w:rPr>
                <w:rFonts w:ascii="Arial" w:cs="Arial" w:eastAsia="Arial" w:hAnsi="Arial"/>
                <w:sz w:val="13"/>
                <w:szCs w:val="13"/>
                <w:b w:val="1"/>
                <w:bCs w:val="1"/>
                <w:color w:val="006098"/>
                <w:w w:val="95"/>
              </w:rPr>
              <w:t>Have Not</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5"/>
              </w:rPr>
              <w:t>Have Not</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5"/>
              </w:rPr>
              <w:t>Have Not</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006098"/>
                <w:w w:val="95"/>
              </w:rPr>
              <w:t>Have Not</w:t>
            </w:r>
          </w:p>
        </w:tc>
        <w:tc>
          <w:tcPr>
            <w:tcW w:w="0" w:type="dxa"/>
            <w:vAlign w:val="bottom"/>
          </w:tcPr>
          <w:p>
            <w:pPr>
              <w:spacing w:after="0"/>
              <w:rPr>
                <w:sz w:val="1"/>
                <w:szCs w:val="1"/>
                <w:color w:val="auto"/>
              </w:rPr>
            </w:pPr>
          </w:p>
        </w:tc>
      </w:tr>
      <w:tr>
        <w:trPr>
          <w:trHeight w:val="162"/>
        </w:trPr>
        <w:tc>
          <w:tcPr>
            <w:tcW w:w="2340" w:type="dxa"/>
            <w:vAlign w:val="bottom"/>
            <w:tcBorders>
              <w:bottom w:val="single" w:sz="8" w:color="83BA90"/>
            </w:tcBorders>
            <w:vMerge w:val="continue"/>
          </w:tcPr>
          <w:p>
            <w:pPr>
              <w:spacing w:after="0"/>
              <w:rPr>
                <w:sz w:val="14"/>
                <w:szCs w:val="14"/>
                <w:color w:val="auto"/>
              </w:rPr>
            </w:pPr>
          </w:p>
        </w:tc>
        <w:tc>
          <w:tcPr>
            <w:tcW w:w="1040" w:type="dxa"/>
            <w:vAlign w:val="bottom"/>
            <w:tcBorders>
              <w:bottom w:val="single" w:sz="8" w:color="83BA90"/>
            </w:tcBorders>
          </w:tcPr>
          <w:p>
            <w:pPr>
              <w:jc w:val="center"/>
              <w:ind w:left="10"/>
              <w:spacing w:after="0"/>
              <w:rPr>
                <w:sz w:val="20"/>
                <w:szCs w:val="20"/>
                <w:color w:val="auto"/>
              </w:rPr>
            </w:pPr>
            <w:r>
              <w:rPr>
                <w:rFonts w:ascii="Arial" w:cs="Arial" w:eastAsia="Arial" w:hAnsi="Arial"/>
                <w:sz w:val="13"/>
                <w:szCs w:val="13"/>
                <w:b w:val="1"/>
                <w:bCs w:val="1"/>
                <w:color w:val="006098"/>
              </w:rPr>
              <w:t>(#)</w:t>
            </w:r>
          </w:p>
        </w:tc>
        <w:tc>
          <w:tcPr>
            <w:tcW w:w="104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rPr>
              <w:t>(#)</w:t>
            </w:r>
          </w:p>
        </w:tc>
        <w:tc>
          <w:tcPr>
            <w:tcW w:w="104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w w:val="96"/>
              </w:rPr>
              <w:t>Options (#)</w:t>
            </w:r>
          </w:p>
        </w:tc>
        <w:tc>
          <w:tcPr>
            <w:tcW w:w="72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rPr>
              <w:t>($)</w:t>
            </w:r>
          </w:p>
        </w:tc>
        <w:tc>
          <w:tcPr>
            <w:tcW w:w="1120" w:type="dxa"/>
            <w:vAlign w:val="bottom"/>
            <w:tcBorders>
              <w:bottom w:val="single" w:sz="8" w:color="83BA90"/>
            </w:tcBorders>
            <w:gridSpan w:val="2"/>
          </w:tcPr>
          <w:p>
            <w:pPr>
              <w:jc w:val="center"/>
              <w:ind w:right="180"/>
              <w:spacing w:after="0"/>
              <w:rPr>
                <w:sz w:val="20"/>
                <w:szCs w:val="20"/>
                <w:color w:val="auto"/>
              </w:rPr>
            </w:pPr>
            <w:r>
              <w:rPr>
                <w:rFonts w:ascii="Arial" w:cs="Arial" w:eastAsia="Arial" w:hAnsi="Arial"/>
                <w:sz w:val="13"/>
                <w:szCs w:val="13"/>
                <w:b w:val="1"/>
                <w:bCs w:val="1"/>
                <w:color w:val="006098"/>
                <w:w w:val="92"/>
              </w:rPr>
              <w:t>Date</w:t>
            </w:r>
          </w:p>
        </w:tc>
        <w:tc>
          <w:tcPr>
            <w:tcW w:w="920" w:type="dxa"/>
            <w:vAlign w:val="bottom"/>
            <w:tcBorders>
              <w:bottom w:val="single" w:sz="8" w:color="83BA90"/>
            </w:tcBorders>
          </w:tcPr>
          <w:p>
            <w:pPr>
              <w:jc w:val="center"/>
              <w:ind w:left="90"/>
              <w:spacing w:after="0"/>
              <w:rPr>
                <w:sz w:val="20"/>
                <w:szCs w:val="20"/>
                <w:color w:val="auto"/>
              </w:rPr>
            </w:pPr>
            <w:r>
              <w:rPr>
                <w:rFonts w:ascii="Arial" w:cs="Arial" w:eastAsia="Arial" w:hAnsi="Arial"/>
                <w:sz w:val="13"/>
                <w:szCs w:val="13"/>
                <w:b w:val="1"/>
                <w:bCs w:val="1"/>
                <w:color w:val="006098"/>
                <w:w w:val="96"/>
              </w:rPr>
              <w:t>Vested (#)</w:t>
            </w:r>
          </w:p>
        </w:tc>
        <w:tc>
          <w:tcPr>
            <w:tcW w:w="88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w w:val="96"/>
              </w:rPr>
              <w:t>Vested ($)</w:t>
            </w:r>
          </w:p>
        </w:tc>
        <w:tc>
          <w:tcPr>
            <w:tcW w:w="100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w w:val="93"/>
              </w:rPr>
              <w:t>Vested (#)</w:t>
            </w:r>
          </w:p>
        </w:tc>
        <w:tc>
          <w:tcPr>
            <w:tcW w:w="920" w:type="dxa"/>
            <w:vAlign w:val="bottom"/>
            <w:tcBorders>
              <w:bottom w:val="single" w:sz="8" w:color="83BA90"/>
            </w:tcBorders>
          </w:tcPr>
          <w:p>
            <w:pPr>
              <w:jc w:val="center"/>
              <w:spacing w:after="0"/>
              <w:rPr>
                <w:sz w:val="20"/>
                <w:szCs w:val="20"/>
                <w:color w:val="auto"/>
              </w:rPr>
            </w:pPr>
            <w:r>
              <w:rPr>
                <w:rFonts w:ascii="Arial" w:cs="Arial" w:eastAsia="Arial" w:hAnsi="Arial"/>
                <w:sz w:val="13"/>
                <w:szCs w:val="13"/>
                <w:b w:val="1"/>
                <w:bCs w:val="1"/>
                <w:color w:val="006098"/>
                <w:w w:val="96"/>
              </w:rPr>
              <w:t>Vested (#)</w:t>
            </w:r>
          </w:p>
        </w:tc>
        <w:tc>
          <w:tcPr>
            <w:tcW w:w="0" w:type="dxa"/>
            <w:vAlign w:val="bottom"/>
          </w:tcPr>
          <w:p>
            <w:pPr>
              <w:spacing w:after="0"/>
              <w:rPr>
                <w:sz w:val="1"/>
                <w:szCs w:val="1"/>
                <w:color w:val="auto"/>
              </w:rPr>
            </w:pPr>
          </w:p>
        </w:tc>
      </w:tr>
      <w:tr>
        <w:trPr>
          <w:trHeight w:val="146"/>
        </w:trPr>
        <w:tc>
          <w:tcPr>
            <w:tcW w:w="2340" w:type="dxa"/>
            <w:vAlign w:val="bottom"/>
          </w:tcPr>
          <w:p>
            <w:pPr>
              <w:spacing w:after="0" w:line="147" w:lineRule="exact"/>
              <w:rPr>
                <w:sz w:val="20"/>
                <w:szCs w:val="20"/>
                <w:color w:val="auto"/>
              </w:rPr>
            </w:pPr>
            <w:r>
              <w:rPr>
                <w:rFonts w:ascii="Arial" w:cs="Arial" w:eastAsia="Arial" w:hAnsi="Arial"/>
                <w:sz w:val="14"/>
                <w:szCs w:val="14"/>
                <w:color w:val="006098"/>
              </w:rPr>
              <w:t>August J.</w:t>
            </w:r>
          </w:p>
        </w:tc>
        <w:tc>
          <w:tcPr>
            <w:tcW w:w="1040" w:type="dxa"/>
            <w:vAlign w:val="bottom"/>
          </w:tcPr>
          <w:p>
            <w:pPr>
              <w:jc w:val="center"/>
              <w:ind w:left="10"/>
              <w:spacing w:after="0" w:line="147" w:lineRule="exact"/>
              <w:rPr>
                <w:sz w:val="20"/>
                <w:szCs w:val="20"/>
                <w:color w:val="auto"/>
              </w:rPr>
            </w:pPr>
            <w:r>
              <w:rPr>
                <w:rFonts w:ascii="Arial" w:cs="Arial" w:eastAsia="Arial" w:hAnsi="Arial"/>
                <w:sz w:val="14"/>
                <w:szCs w:val="14"/>
                <w:color w:val="3F3F3F"/>
              </w:rPr>
              <w:t>37,417</w:t>
            </w:r>
          </w:p>
        </w:tc>
        <w:tc>
          <w:tcPr>
            <w:tcW w:w="1040" w:type="dxa"/>
            <w:vAlign w:val="bottom"/>
          </w:tcPr>
          <w:p>
            <w:pPr>
              <w:jc w:val="center"/>
              <w:spacing w:after="0" w:line="147" w:lineRule="exact"/>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line="147" w:lineRule="exact"/>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line="147" w:lineRule="exact"/>
              <w:rPr>
                <w:sz w:val="20"/>
                <w:szCs w:val="20"/>
                <w:color w:val="auto"/>
              </w:rPr>
            </w:pPr>
            <w:r>
              <w:rPr>
                <w:rFonts w:ascii="Arial" w:cs="Arial" w:eastAsia="Arial" w:hAnsi="Arial"/>
                <w:sz w:val="14"/>
                <w:szCs w:val="14"/>
                <w:color w:val="3F3F3F"/>
              </w:rPr>
              <w:t>$54.74</w:t>
            </w:r>
          </w:p>
        </w:tc>
        <w:tc>
          <w:tcPr>
            <w:tcW w:w="840" w:type="dxa"/>
            <w:vAlign w:val="bottom"/>
          </w:tcPr>
          <w:p>
            <w:pPr>
              <w:jc w:val="center"/>
              <w:ind w:left="49"/>
              <w:spacing w:after="0" w:line="147" w:lineRule="exact"/>
              <w:rPr>
                <w:sz w:val="20"/>
                <w:szCs w:val="20"/>
                <w:color w:val="auto"/>
              </w:rPr>
            </w:pPr>
            <w:r>
              <w:rPr>
                <w:rFonts w:ascii="Arial" w:cs="Arial" w:eastAsia="Arial" w:hAnsi="Arial"/>
                <w:sz w:val="14"/>
                <w:szCs w:val="14"/>
                <w:color w:val="3F3F3F"/>
              </w:rPr>
              <w:t>3/1/2026</w:t>
            </w:r>
          </w:p>
        </w:tc>
        <w:tc>
          <w:tcPr>
            <w:tcW w:w="280" w:type="dxa"/>
            <w:vAlign w:val="bottom"/>
          </w:tcPr>
          <w:p>
            <w:pPr>
              <w:spacing w:after="0"/>
              <w:rPr>
                <w:sz w:val="12"/>
                <w:szCs w:val="12"/>
                <w:color w:val="auto"/>
              </w:rPr>
            </w:pPr>
          </w:p>
        </w:tc>
        <w:tc>
          <w:tcPr>
            <w:tcW w:w="920" w:type="dxa"/>
            <w:vAlign w:val="bottom"/>
          </w:tcPr>
          <w:p>
            <w:pPr>
              <w:jc w:val="center"/>
              <w:ind w:left="70"/>
              <w:spacing w:after="0" w:line="147" w:lineRule="exact"/>
              <w:rPr>
                <w:sz w:val="20"/>
                <w:szCs w:val="20"/>
                <w:color w:val="auto"/>
              </w:rPr>
            </w:pPr>
            <w:r>
              <w:rPr>
                <w:rFonts w:ascii="Arial" w:cs="Arial" w:eastAsia="Arial" w:hAnsi="Arial"/>
                <w:sz w:val="14"/>
                <w:szCs w:val="14"/>
                <w:color w:val="3F3F3F"/>
              </w:rPr>
              <w:t>-</w:t>
            </w:r>
          </w:p>
        </w:tc>
        <w:tc>
          <w:tcPr>
            <w:tcW w:w="880" w:type="dxa"/>
            <w:vAlign w:val="bottom"/>
          </w:tcPr>
          <w:p>
            <w:pPr>
              <w:jc w:val="center"/>
              <w:spacing w:after="0" w:line="147" w:lineRule="exact"/>
              <w:rPr>
                <w:sz w:val="20"/>
                <w:szCs w:val="20"/>
                <w:color w:val="auto"/>
              </w:rPr>
            </w:pPr>
            <w:r>
              <w:rPr>
                <w:rFonts w:ascii="Arial" w:cs="Arial" w:eastAsia="Arial" w:hAnsi="Arial"/>
                <w:sz w:val="14"/>
                <w:szCs w:val="14"/>
                <w:color w:val="3F3F3F"/>
                <w:w w:val="84"/>
              </w:rPr>
              <w:t>-</w:t>
            </w:r>
          </w:p>
        </w:tc>
        <w:tc>
          <w:tcPr>
            <w:tcW w:w="1000" w:type="dxa"/>
            <w:vAlign w:val="bottom"/>
          </w:tcPr>
          <w:p>
            <w:pPr>
              <w:jc w:val="center"/>
              <w:spacing w:after="0" w:line="147" w:lineRule="exact"/>
              <w:rPr>
                <w:sz w:val="20"/>
                <w:szCs w:val="20"/>
                <w:color w:val="auto"/>
              </w:rPr>
            </w:pPr>
            <w:r>
              <w:rPr>
                <w:rFonts w:ascii="Arial" w:cs="Arial" w:eastAsia="Arial" w:hAnsi="Arial"/>
                <w:sz w:val="14"/>
                <w:szCs w:val="14"/>
                <w:color w:val="3F3F3F"/>
              </w:rPr>
              <w:t>-</w:t>
            </w:r>
          </w:p>
        </w:tc>
        <w:tc>
          <w:tcPr>
            <w:tcW w:w="920" w:type="dxa"/>
            <w:vAlign w:val="bottom"/>
          </w:tcPr>
          <w:p>
            <w:pPr>
              <w:jc w:val="center"/>
              <w:spacing w:after="0" w:line="147" w:lineRule="exact"/>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20"/>
                <w:szCs w:val="20"/>
                <w:color w:val="auto"/>
              </w:rPr>
            </w:pPr>
            <w:r>
              <w:rPr>
                <w:rFonts w:ascii="Arial" w:cs="Arial" w:eastAsia="Arial" w:hAnsi="Arial"/>
                <w:sz w:val="14"/>
                <w:szCs w:val="14"/>
                <w:color w:val="006098"/>
              </w:rPr>
              <w:t>Troendle</w:t>
            </w:r>
          </w:p>
        </w:tc>
        <w:tc>
          <w:tcPr>
            <w:tcW w:w="1040" w:type="dxa"/>
            <w:vAlign w:val="bottom"/>
          </w:tcPr>
          <w:p>
            <w:pPr>
              <w:jc w:val="center"/>
              <w:ind w:left="10"/>
              <w:spacing w:after="0"/>
              <w:rPr>
                <w:sz w:val="20"/>
                <w:szCs w:val="20"/>
                <w:color w:val="auto"/>
              </w:rPr>
            </w:pPr>
            <w:r>
              <w:rPr>
                <w:rFonts w:ascii="Arial" w:cs="Arial" w:eastAsia="Arial" w:hAnsi="Arial"/>
                <w:sz w:val="14"/>
                <w:szCs w:val="14"/>
                <w:color w:val="3F3F3F"/>
              </w:rPr>
              <w:t>234,259</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rPr>
                <w:sz w:val="20"/>
                <w:szCs w:val="20"/>
                <w:color w:val="auto"/>
              </w:rPr>
            </w:pPr>
            <w:r>
              <w:rPr>
                <w:rFonts w:ascii="Arial" w:cs="Arial" w:eastAsia="Arial" w:hAnsi="Arial"/>
                <w:sz w:val="14"/>
                <w:szCs w:val="14"/>
                <w:color w:val="3F3F3F"/>
              </w:rPr>
              <w:t>$56.61</w:t>
            </w:r>
          </w:p>
        </w:tc>
        <w:tc>
          <w:tcPr>
            <w:tcW w:w="840" w:type="dxa"/>
            <w:vAlign w:val="bottom"/>
          </w:tcPr>
          <w:p>
            <w:pPr>
              <w:jc w:val="center"/>
              <w:ind w:left="49"/>
              <w:spacing w:after="0"/>
              <w:rPr>
                <w:sz w:val="20"/>
                <w:szCs w:val="20"/>
                <w:color w:val="auto"/>
              </w:rPr>
            </w:pPr>
            <w:r>
              <w:rPr>
                <w:rFonts w:ascii="Arial" w:cs="Arial" w:eastAsia="Arial" w:hAnsi="Arial"/>
                <w:sz w:val="14"/>
                <w:szCs w:val="14"/>
                <w:color w:val="3F3F3F"/>
              </w:rPr>
              <w:t>5/2/2026</w:t>
            </w:r>
          </w:p>
        </w:tc>
        <w:tc>
          <w:tcPr>
            <w:tcW w:w="280" w:type="dxa"/>
            <w:vAlign w:val="bottom"/>
          </w:tcPr>
          <w:p>
            <w:pPr>
              <w:spacing w:after="0"/>
              <w:rPr>
                <w:sz w:val="14"/>
                <w:szCs w:val="14"/>
                <w:color w:val="auto"/>
              </w:rPr>
            </w:pPr>
          </w:p>
        </w:tc>
        <w:tc>
          <w:tcPr>
            <w:tcW w:w="920" w:type="dxa"/>
            <w:vAlign w:val="bottom"/>
          </w:tcPr>
          <w:p>
            <w:pPr>
              <w:jc w:val="center"/>
              <w:ind w:left="70"/>
              <w:spacing w:after="0"/>
              <w:rPr>
                <w:sz w:val="20"/>
                <w:szCs w:val="20"/>
                <w:color w:val="auto"/>
              </w:rPr>
            </w:pPr>
            <w:r>
              <w:rPr>
                <w:rFonts w:ascii="Arial" w:cs="Arial" w:eastAsia="Arial" w:hAnsi="Arial"/>
                <w:sz w:val="14"/>
                <w:szCs w:val="14"/>
                <w:color w:val="3F3F3F"/>
              </w:rPr>
              <w:t>-</w:t>
            </w:r>
          </w:p>
        </w:tc>
        <w:tc>
          <w:tcPr>
            <w:tcW w:w="88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00" w:type="dxa"/>
            <w:vAlign w:val="bottom"/>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040" w:type="dxa"/>
            <w:vAlign w:val="bottom"/>
          </w:tcPr>
          <w:p>
            <w:pPr>
              <w:jc w:val="center"/>
              <w:ind w:left="10"/>
              <w:spacing w:after="0"/>
              <w:rPr>
                <w:sz w:val="20"/>
                <w:szCs w:val="20"/>
                <w:color w:val="auto"/>
              </w:rPr>
            </w:pPr>
            <w:r>
              <w:rPr>
                <w:rFonts w:ascii="Arial" w:cs="Arial" w:eastAsia="Arial" w:hAnsi="Arial"/>
                <w:sz w:val="14"/>
                <w:szCs w:val="14"/>
                <w:color w:val="3F3F3F"/>
              </w:rPr>
              <w:t>100,000</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rPr>
                <w:sz w:val="20"/>
                <w:szCs w:val="20"/>
                <w:color w:val="auto"/>
              </w:rPr>
            </w:pPr>
            <w:r>
              <w:rPr>
                <w:rFonts w:ascii="Arial" w:cs="Arial" w:eastAsia="Arial" w:hAnsi="Arial"/>
                <w:sz w:val="14"/>
                <w:szCs w:val="14"/>
                <w:color w:val="3F3F3F"/>
              </w:rPr>
              <w:t>$90.65</w:t>
            </w:r>
          </w:p>
        </w:tc>
        <w:tc>
          <w:tcPr>
            <w:tcW w:w="840" w:type="dxa"/>
            <w:vAlign w:val="bottom"/>
          </w:tcPr>
          <w:p>
            <w:pPr>
              <w:jc w:val="center"/>
              <w:ind w:left="49"/>
              <w:spacing w:after="0"/>
              <w:rPr>
                <w:sz w:val="20"/>
                <w:szCs w:val="20"/>
                <w:color w:val="auto"/>
              </w:rPr>
            </w:pPr>
            <w:r>
              <w:rPr>
                <w:rFonts w:ascii="Arial" w:cs="Arial" w:eastAsia="Arial" w:hAnsi="Arial"/>
                <w:sz w:val="14"/>
                <w:szCs w:val="14"/>
                <w:color w:val="3F3F3F"/>
              </w:rPr>
              <w:t>8/5/2024</w:t>
            </w:r>
          </w:p>
        </w:tc>
        <w:tc>
          <w:tcPr>
            <w:tcW w:w="280" w:type="dxa"/>
            <w:vAlign w:val="bottom"/>
          </w:tcPr>
          <w:p>
            <w:pPr>
              <w:spacing w:after="0"/>
              <w:rPr>
                <w:sz w:val="14"/>
                <w:szCs w:val="14"/>
                <w:color w:val="auto"/>
              </w:rPr>
            </w:pPr>
          </w:p>
        </w:tc>
        <w:tc>
          <w:tcPr>
            <w:tcW w:w="920" w:type="dxa"/>
            <w:vAlign w:val="bottom"/>
          </w:tcPr>
          <w:p>
            <w:pPr>
              <w:jc w:val="center"/>
              <w:ind w:left="70"/>
              <w:spacing w:after="0"/>
              <w:rPr>
                <w:sz w:val="20"/>
                <w:szCs w:val="20"/>
                <w:color w:val="auto"/>
              </w:rPr>
            </w:pPr>
            <w:r>
              <w:rPr>
                <w:rFonts w:ascii="Arial" w:cs="Arial" w:eastAsia="Arial" w:hAnsi="Arial"/>
                <w:sz w:val="14"/>
                <w:szCs w:val="14"/>
                <w:color w:val="3F3F3F"/>
              </w:rPr>
              <w:t>-</w:t>
            </w:r>
          </w:p>
        </w:tc>
        <w:tc>
          <w:tcPr>
            <w:tcW w:w="88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00" w:type="dxa"/>
            <w:vAlign w:val="bottom"/>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040" w:type="dxa"/>
            <w:vAlign w:val="bottom"/>
          </w:tcPr>
          <w:p>
            <w:pPr>
              <w:jc w:val="center"/>
              <w:ind w:left="10"/>
              <w:spacing w:after="0"/>
              <w:rPr>
                <w:sz w:val="20"/>
                <w:szCs w:val="20"/>
                <w:color w:val="auto"/>
              </w:rPr>
            </w:pPr>
            <w:r>
              <w:rPr>
                <w:rFonts w:ascii="Arial" w:cs="Arial" w:eastAsia="Arial" w:hAnsi="Arial"/>
                <w:sz w:val="14"/>
                <w:szCs w:val="14"/>
                <w:color w:val="3F3F3F"/>
              </w:rPr>
              <w:t>84,770</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rPr>
                <w:sz w:val="20"/>
                <w:szCs w:val="20"/>
                <w:color w:val="auto"/>
              </w:rPr>
            </w:pPr>
            <w:r>
              <w:rPr>
                <w:rFonts w:ascii="Arial" w:cs="Arial" w:eastAsia="Arial" w:hAnsi="Arial"/>
                <w:sz w:val="14"/>
                <w:szCs w:val="14"/>
                <w:color w:val="3F3F3F"/>
              </w:rPr>
              <w:t>$107.93</w:t>
            </w:r>
          </w:p>
        </w:tc>
        <w:tc>
          <w:tcPr>
            <w:tcW w:w="840" w:type="dxa"/>
            <w:vAlign w:val="bottom"/>
          </w:tcPr>
          <w:p>
            <w:pPr>
              <w:jc w:val="center"/>
              <w:ind w:left="49"/>
              <w:spacing w:after="0"/>
              <w:rPr>
                <w:sz w:val="20"/>
                <w:szCs w:val="20"/>
                <w:color w:val="auto"/>
              </w:rPr>
            </w:pPr>
            <w:r>
              <w:rPr>
                <w:rFonts w:ascii="Arial" w:cs="Arial" w:eastAsia="Arial" w:hAnsi="Arial"/>
                <w:sz w:val="14"/>
                <w:szCs w:val="14"/>
                <w:color w:val="3F3F3F"/>
              </w:rPr>
              <w:t>2/28/2026</w:t>
            </w:r>
          </w:p>
        </w:tc>
        <w:tc>
          <w:tcPr>
            <w:tcW w:w="280" w:type="dxa"/>
            <w:vAlign w:val="bottom"/>
          </w:tcPr>
          <w:p>
            <w:pPr>
              <w:spacing w:after="0"/>
              <w:rPr>
                <w:sz w:val="14"/>
                <w:szCs w:val="14"/>
                <w:color w:val="auto"/>
              </w:rPr>
            </w:pPr>
          </w:p>
        </w:tc>
        <w:tc>
          <w:tcPr>
            <w:tcW w:w="920" w:type="dxa"/>
            <w:vAlign w:val="bottom"/>
          </w:tcPr>
          <w:p>
            <w:pPr>
              <w:jc w:val="center"/>
              <w:ind w:left="70"/>
              <w:spacing w:after="0"/>
              <w:rPr>
                <w:sz w:val="20"/>
                <w:szCs w:val="20"/>
                <w:color w:val="auto"/>
              </w:rPr>
            </w:pPr>
            <w:r>
              <w:rPr>
                <w:rFonts w:ascii="Arial" w:cs="Arial" w:eastAsia="Arial" w:hAnsi="Arial"/>
                <w:sz w:val="14"/>
                <w:szCs w:val="14"/>
                <w:color w:val="3F3F3F"/>
              </w:rPr>
              <w:t>-</w:t>
            </w:r>
          </w:p>
        </w:tc>
        <w:tc>
          <w:tcPr>
            <w:tcW w:w="88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00" w:type="dxa"/>
            <w:vAlign w:val="bottom"/>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040" w:type="dxa"/>
            <w:vAlign w:val="bottom"/>
          </w:tcPr>
          <w:p>
            <w:pPr>
              <w:jc w:val="center"/>
              <w:ind w:left="10"/>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840" w:type="dxa"/>
            <w:vAlign w:val="bottom"/>
          </w:tcPr>
          <w:p>
            <w:pPr>
              <w:jc w:val="center"/>
              <w:ind w:left="29"/>
              <w:spacing w:after="0"/>
              <w:rPr>
                <w:sz w:val="20"/>
                <w:szCs w:val="20"/>
                <w:color w:val="auto"/>
              </w:rPr>
            </w:pPr>
            <w:r>
              <w:rPr>
                <w:rFonts w:ascii="Arial" w:cs="Arial" w:eastAsia="Arial" w:hAnsi="Arial"/>
                <w:sz w:val="14"/>
                <w:szCs w:val="14"/>
                <w:color w:val="3F3F3F"/>
              </w:rPr>
              <w:t>-</w:t>
            </w:r>
          </w:p>
        </w:tc>
        <w:tc>
          <w:tcPr>
            <w:tcW w:w="280" w:type="dxa"/>
            <w:vAlign w:val="bottom"/>
          </w:tcPr>
          <w:p>
            <w:pPr>
              <w:spacing w:after="0"/>
              <w:rPr>
                <w:sz w:val="14"/>
                <w:szCs w:val="14"/>
                <w:color w:val="auto"/>
              </w:rPr>
            </w:pPr>
          </w:p>
        </w:tc>
        <w:tc>
          <w:tcPr>
            <w:tcW w:w="920" w:type="dxa"/>
            <w:vAlign w:val="bottom"/>
          </w:tcPr>
          <w:p>
            <w:pPr>
              <w:jc w:val="center"/>
              <w:ind w:left="70"/>
              <w:spacing w:after="0"/>
              <w:rPr>
                <w:sz w:val="20"/>
                <w:szCs w:val="20"/>
                <w:color w:val="auto"/>
              </w:rPr>
            </w:pPr>
            <w:r>
              <w:rPr>
                <w:rFonts w:ascii="Arial" w:cs="Arial" w:eastAsia="Arial" w:hAnsi="Arial"/>
                <w:sz w:val="14"/>
                <w:szCs w:val="14"/>
                <w:color w:val="3F3F3F"/>
              </w:rPr>
              <w:t>12,941 (1)</w:t>
            </w:r>
          </w:p>
        </w:tc>
        <w:tc>
          <w:tcPr>
            <w:tcW w:w="880" w:type="dxa"/>
            <w:vAlign w:val="bottom"/>
          </w:tcPr>
          <w:p>
            <w:pPr>
              <w:jc w:val="center"/>
              <w:spacing w:after="0"/>
              <w:rPr>
                <w:sz w:val="20"/>
                <w:szCs w:val="20"/>
                <w:color w:val="auto"/>
              </w:rPr>
            </w:pPr>
            <w:r>
              <w:rPr>
                <w:rFonts w:ascii="Arial" w:cs="Arial" w:eastAsia="Arial" w:hAnsi="Arial"/>
                <w:sz w:val="14"/>
                <w:szCs w:val="14"/>
                <w:color w:val="3F3F3F"/>
              </w:rPr>
              <w:t>$2,816,479</w:t>
            </w:r>
          </w:p>
        </w:tc>
        <w:tc>
          <w:tcPr>
            <w:tcW w:w="1000" w:type="dxa"/>
            <w:vAlign w:val="bottom"/>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71"/>
        </w:trPr>
        <w:tc>
          <w:tcPr>
            <w:tcW w:w="2340" w:type="dxa"/>
            <w:vAlign w:val="bottom"/>
            <w:tcBorders>
              <w:bottom w:val="single" w:sz="8" w:color="7F7F7F"/>
            </w:tcBorders>
          </w:tcPr>
          <w:p>
            <w:pPr>
              <w:spacing w:after="0"/>
              <w:rPr>
                <w:sz w:val="14"/>
                <w:szCs w:val="14"/>
                <w:color w:val="auto"/>
              </w:rPr>
            </w:pPr>
          </w:p>
        </w:tc>
        <w:tc>
          <w:tcPr>
            <w:tcW w:w="1040" w:type="dxa"/>
            <w:vAlign w:val="bottom"/>
            <w:tcBorders>
              <w:bottom w:val="single" w:sz="8" w:color="7F7F7F"/>
            </w:tcBorders>
          </w:tcPr>
          <w:p>
            <w:pPr>
              <w:jc w:val="center"/>
              <w:ind w:left="10"/>
              <w:spacing w:after="0"/>
              <w:rPr>
                <w:sz w:val="20"/>
                <w:szCs w:val="20"/>
                <w:color w:val="auto"/>
              </w:rPr>
            </w:pPr>
            <w:r>
              <w:rPr>
                <w:rFonts w:ascii="Arial" w:cs="Arial" w:eastAsia="Arial" w:hAnsi="Arial"/>
                <w:sz w:val="14"/>
                <w:szCs w:val="14"/>
                <w:color w:val="3F3F3F"/>
                <w:w w:val="84"/>
              </w:rPr>
              <w:t>-</w:t>
            </w:r>
          </w:p>
        </w:tc>
        <w:tc>
          <w:tcPr>
            <w:tcW w:w="104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57,570 (2)</w:t>
            </w:r>
          </w:p>
        </w:tc>
        <w:tc>
          <w:tcPr>
            <w:tcW w:w="104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$166.73</w:t>
            </w:r>
          </w:p>
        </w:tc>
        <w:tc>
          <w:tcPr>
            <w:tcW w:w="840" w:type="dxa"/>
            <w:vAlign w:val="bottom"/>
            <w:tcBorders>
              <w:bottom w:val="single" w:sz="8" w:color="7F7F7F"/>
            </w:tcBorders>
          </w:tcPr>
          <w:p>
            <w:pPr>
              <w:jc w:val="center"/>
              <w:ind w:left="49"/>
              <w:spacing w:after="0"/>
              <w:rPr>
                <w:sz w:val="20"/>
                <w:szCs w:val="20"/>
                <w:color w:val="auto"/>
              </w:rPr>
            </w:pPr>
            <w:r>
              <w:rPr>
                <w:rFonts w:ascii="Arial" w:cs="Arial" w:eastAsia="Arial" w:hAnsi="Arial"/>
                <w:sz w:val="14"/>
                <w:szCs w:val="14"/>
                <w:color w:val="3F3F3F"/>
              </w:rPr>
              <w:t>4/27/2029</w:t>
            </w:r>
          </w:p>
        </w:tc>
        <w:tc>
          <w:tcPr>
            <w:tcW w:w="280" w:type="dxa"/>
            <w:vAlign w:val="bottom"/>
            <w:tcBorders>
              <w:bottom w:val="single" w:sz="8" w:color="7F7F7F"/>
            </w:tcBorders>
          </w:tcPr>
          <w:p>
            <w:pPr>
              <w:spacing w:after="0"/>
              <w:rPr>
                <w:sz w:val="14"/>
                <w:szCs w:val="14"/>
                <w:color w:val="auto"/>
              </w:rPr>
            </w:pPr>
          </w:p>
        </w:tc>
        <w:tc>
          <w:tcPr>
            <w:tcW w:w="920" w:type="dxa"/>
            <w:vAlign w:val="bottom"/>
            <w:tcBorders>
              <w:bottom w:val="single" w:sz="8" w:color="7F7F7F"/>
            </w:tcBorders>
          </w:tcPr>
          <w:p>
            <w:pPr>
              <w:jc w:val="center"/>
              <w:ind w:left="70"/>
              <w:spacing w:after="0"/>
              <w:rPr>
                <w:sz w:val="20"/>
                <w:szCs w:val="20"/>
                <w:color w:val="auto"/>
              </w:rPr>
            </w:pPr>
            <w:r>
              <w:rPr>
                <w:rFonts w:ascii="Arial" w:cs="Arial" w:eastAsia="Arial" w:hAnsi="Arial"/>
                <w:sz w:val="14"/>
                <w:szCs w:val="14"/>
                <w:color w:val="3F3F3F"/>
              </w:rPr>
              <w:t>-</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w w:val="84"/>
              </w:rPr>
              <w:t>-</w:t>
            </w:r>
          </w:p>
        </w:tc>
        <w:tc>
          <w:tcPr>
            <w:tcW w:w="100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46"/>
        </w:trPr>
        <w:tc>
          <w:tcPr>
            <w:tcW w:w="2340" w:type="dxa"/>
            <w:vAlign w:val="bottom"/>
          </w:tcPr>
          <w:p>
            <w:pPr>
              <w:spacing w:after="0" w:line="147" w:lineRule="exact"/>
              <w:rPr>
                <w:sz w:val="20"/>
                <w:szCs w:val="20"/>
                <w:color w:val="auto"/>
              </w:rPr>
            </w:pPr>
            <w:r>
              <w:rPr>
                <w:rFonts w:ascii="Arial" w:cs="Arial" w:eastAsia="Arial" w:hAnsi="Arial"/>
                <w:sz w:val="14"/>
                <w:szCs w:val="14"/>
                <w:color w:val="006098"/>
              </w:rPr>
              <w:t>Kevin M.</w:t>
            </w:r>
          </w:p>
        </w:tc>
        <w:tc>
          <w:tcPr>
            <w:tcW w:w="1040" w:type="dxa"/>
            <w:vAlign w:val="bottom"/>
          </w:tcPr>
          <w:p>
            <w:pPr>
              <w:jc w:val="center"/>
              <w:ind w:left="10"/>
              <w:spacing w:after="0" w:line="147" w:lineRule="exact"/>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line="147" w:lineRule="exact"/>
              <w:rPr>
                <w:sz w:val="20"/>
                <w:szCs w:val="20"/>
                <w:color w:val="auto"/>
              </w:rPr>
            </w:pPr>
            <w:r>
              <w:rPr>
                <w:rFonts w:ascii="Arial" w:cs="Arial" w:eastAsia="Arial" w:hAnsi="Arial"/>
                <w:sz w:val="14"/>
                <w:szCs w:val="14"/>
                <w:color w:val="3F3F3F"/>
              </w:rPr>
              <w:t>12,000 (3)</w:t>
            </w:r>
          </w:p>
        </w:tc>
        <w:tc>
          <w:tcPr>
            <w:tcW w:w="1040" w:type="dxa"/>
            <w:vAlign w:val="bottom"/>
          </w:tcPr>
          <w:p>
            <w:pPr>
              <w:jc w:val="center"/>
              <w:spacing w:after="0" w:line="147" w:lineRule="exact"/>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line="147" w:lineRule="exact"/>
              <w:rPr>
                <w:sz w:val="20"/>
                <w:szCs w:val="20"/>
                <w:color w:val="auto"/>
              </w:rPr>
            </w:pPr>
            <w:r>
              <w:rPr>
                <w:rFonts w:ascii="Arial" w:cs="Arial" w:eastAsia="Arial" w:hAnsi="Arial"/>
                <w:sz w:val="14"/>
                <w:szCs w:val="14"/>
                <w:color w:val="3F3F3F"/>
              </w:rPr>
              <w:t>$57.94</w:t>
            </w:r>
          </w:p>
        </w:tc>
        <w:tc>
          <w:tcPr>
            <w:tcW w:w="840" w:type="dxa"/>
            <w:vAlign w:val="bottom"/>
          </w:tcPr>
          <w:p>
            <w:pPr>
              <w:jc w:val="center"/>
              <w:ind w:left="29"/>
              <w:spacing w:after="0" w:line="147" w:lineRule="exact"/>
              <w:rPr>
                <w:sz w:val="20"/>
                <w:szCs w:val="20"/>
                <w:color w:val="auto"/>
              </w:rPr>
            </w:pPr>
            <w:r>
              <w:rPr>
                <w:rFonts w:ascii="Arial" w:cs="Arial" w:eastAsia="Arial" w:hAnsi="Arial"/>
                <w:sz w:val="14"/>
                <w:szCs w:val="14"/>
                <w:color w:val="3F3F3F"/>
                <w:w w:val="99"/>
              </w:rPr>
              <w:t>11/12/2025</w:t>
            </w:r>
          </w:p>
        </w:tc>
        <w:tc>
          <w:tcPr>
            <w:tcW w:w="280" w:type="dxa"/>
            <w:vAlign w:val="bottom"/>
          </w:tcPr>
          <w:p>
            <w:pPr>
              <w:spacing w:after="0"/>
              <w:rPr>
                <w:sz w:val="12"/>
                <w:szCs w:val="12"/>
                <w:color w:val="auto"/>
              </w:rPr>
            </w:pPr>
          </w:p>
        </w:tc>
        <w:tc>
          <w:tcPr>
            <w:tcW w:w="920" w:type="dxa"/>
            <w:vAlign w:val="bottom"/>
          </w:tcPr>
          <w:p>
            <w:pPr>
              <w:jc w:val="center"/>
              <w:ind w:left="70"/>
              <w:spacing w:after="0" w:line="147" w:lineRule="exact"/>
              <w:rPr>
                <w:sz w:val="20"/>
                <w:szCs w:val="20"/>
                <w:color w:val="auto"/>
              </w:rPr>
            </w:pPr>
            <w:r>
              <w:rPr>
                <w:rFonts w:ascii="Arial" w:cs="Arial" w:eastAsia="Arial" w:hAnsi="Arial"/>
                <w:sz w:val="14"/>
                <w:szCs w:val="14"/>
                <w:color w:val="3F3F3F"/>
              </w:rPr>
              <w:t>-</w:t>
            </w:r>
          </w:p>
        </w:tc>
        <w:tc>
          <w:tcPr>
            <w:tcW w:w="880" w:type="dxa"/>
            <w:vAlign w:val="bottom"/>
          </w:tcPr>
          <w:p>
            <w:pPr>
              <w:jc w:val="center"/>
              <w:spacing w:after="0" w:line="147" w:lineRule="exact"/>
              <w:rPr>
                <w:sz w:val="20"/>
                <w:szCs w:val="20"/>
                <w:color w:val="auto"/>
              </w:rPr>
            </w:pPr>
            <w:r>
              <w:rPr>
                <w:rFonts w:ascii="Arial" w:cs="Arial" w:eastAsia="Arial" w:hAnsi="Arial"/>
                <w:sz w:val="14"/>
                <w:szCs w:val="14"/>
                <w:color w:val="3F3F3F"/>
                <w:w w:val="84"/>
              </w:rPr>
              <w:t>-</w:t>
            </w:r>
          </w:p>
        </w:tc>
        <w:tc>
          <w:tcPr>
            <w:tcW w:w="1000" w:type="dxa"/>
            <w:vAlign w:val="bottom"/>
          </w:tcPr>
          <w:p>
            <w:pPr>
              <w:jc w:val="center"/>
              <w:spacing w:after="0" w:line="147" w:lineRule="exact"/>
              <w:rPr>
                <w:sz w:val="20"/>
                <w:szCs w:val="20"/>
                <w:color w:val="auto"/>
              </w:rPr>
            </w:pPr>
            <w:r>
              <w:rPr>
                <w:rFonts w:ascii="Arial" w:cs="Arial" w:eastAsia="Arial" w:hAnsi="Arial"/>
                <w:sz w:val="14"/>
                <w:szCs w:val="14"/>
                <w:color w:val="3F3F3F"/>
              </w:rPr>
              <w:t>-</w:t>
            </w:r>
          </w:p>
        </w:tc>
        <w:tc>
          <w:tcPr>
            <w:tcW w:w="920" w:type="dxa"/>
            <w:vAlign w:val="bottom"/>
          </w:tcPr>
          <w:p>
            <w:pPr>
              <w:jc w:val="center"/>
              <w:spacing w:after="0" w:line="147" w:lineRule="exact"/>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20"/>
                <w:szCs w:val="20"/>
                <w:color w:val="auto"/>
              </w:rPr>
            </w:pPr>
            <w:r>
              <w:rPr>
                <w:rFonts w:ascii="Arial" w:cs="Arial" w:eastAsia="Arial" w:hAnsi="Arial"/>
                <w:sz w:val="14"/>
                <w:szCs w:val="14"/>
                <w:color w:val="006098"/>
              </w:rPr>
              <w:t>Brady</w:t>
            </w:r>
          </w:p>
        </w:tc>
        <w:tc>
          <w:tcPr>
            <w:tcW w:w="1040" w:type="dxa"/>
            <w:vAlign w:val="bottom"/>
          </w:tcPr>
          <w:p>
            <w:pPr>
              <w:jc w:val="center"/>
              <w:ind w:left="10"/>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840" w:type="dxa"/>
            <w:vAlign w:val="bottom"/>
          </w:tcPr>
          <w:p>
            <w:pPr>
              <w:jc w:val="center"/>
              <w:ind w:left="29"/>
              <w:spacing w:after="0"/>
              <w:rPr>
                <w:sz w:val="20"/>
                <w:szCs w:val="20"/>
                <w:color w:val="auto"/>
              </w:rPr>
            </w:pPr>
            <w:r>
              <w:rPr>
                <w:rFonts w:ascii="Arial" w:cs="Arial" w:eastAsia="Arial" w:hAnsi="Arial"/>
                <w:sz w:val="14"/>
                <w:szCs w:val="14"/>
                <w:color w:val="3F3F3F"/>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3F3F3F"/>
              </w:rPr>
              <w:t>5,000 (4)</w:t>
            </w:r>
          </w:p>
        </w:tc>
        <w:tc>
          <w:tcPr>
            <w:tcW w:w="880" w:type="dxa"/>
            <w:vAlign w:val="bottom"/>
          </w:tcPr>
          <w:p>
            <w:pPr>
              <w:jc w:val="center"/>
              <w:spacing w:after="0"/>
              <w:rPr>
                <w:sz w:val="20"/>
                <w:szCs w:val="20"/>
                <w:color w:val="auto"/>
              </w:rPr>
            </w:pPr>
            <w:r>
              <w:rPr>
                <w:rFonts w:ascii="Arial" w:cs="Arial" w:eastAsia="Arial" w:hAnsi="Arial"/>
                <w:sz w:val="14"/>
                <w:szCs w:val="14"/>
                <w:color w:val="3F3F3F"/>
              </w:rPr>
              <w:t>$1,088,200</w:t>
            </w:r>
          </w:p>
        </w:tc>
        <w:tc>
          <w:tcPr>
            <w:tcW w:w="1000" w:type="dxa"/>
            <w:vAlign w:val="bottom"/>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040" w:type="dxa"/>
            <w:vAlign w:val="bottom"/>
          </w:tcPr>
          <w:p>
            <w:pPr>
              <w:jc w:val="center"/>
              <w:ind w:left="10"/>
              <w:spacing w:after="0"/>
              <w:rPr>
                <w:sz w:val="20"/>
                <w:szCs w:val="20"/>
                <w:color w:val="auto"/>
              </w:rPr>
            </w:pPr>
            <w:r>
              <w:rPr>
                <w:rFonts w:ascii="Arial" w:cs="Arial" w:eastAsia="Arial" w:hAnsi="Arial"/>
                <w:sz w:val="14"/>
                <w:szCs w:val="14"/>
                <w:color w:val="3F3F3F"/>
              </w:rPr>
              <w:t>10,000</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rPr>
                <w:sz w:val="20"/>
                <w:szCs w:val="20"/>
                <w:color w:val="auto"/>
              </w:rPr>
            </w:pPr>
            <w:r>
              <w:rPr>
                <w:rFonts w:ascii="Arial" w:cs="Arial" w:eastAsia="Arial" w:hAnsi="Arial"/>
                <w:sz w:val="14"/>
                <w:szCs w:val="14"/>
                <w:color w:val="3F3F3F"/>
              </w:rPr>
              <w:t>$90.65</w:t>
            </w:r>
          </w:p>
        </w:tc>
        <w:tc>
          <w:tcPr>
            <w:tcW w:w="840" w:type="dxa"/>
            <w:vAlign w:val="bottom"/>
          </w:tcPr>
          <w:p>
            <w:pPr>
              <w:jc w:val="center"/>
              <w:ind w:left="49"/>
              <w:spacing w:after="0"/>
              <w:rPr>
                <w:sz w:val="20"/>
                <w:szCs w:val="20"/>
                <w:color w:val="auto"/>
              </w:rPr>
            </w:pPr>
            <w:r>
              <w:rPr>
                <w:rFonts w:ascii="Arial" w:cs="Arial" w:eastAsia="Arial" w:hAnsi="Arial"/>
                <w:sz w:val="14"/>
                <w:szCs w:val="14"/>
                <w:color w:val="3F3F3F"/>
              </w:rPr>
              <w:t>8/5/2024</w:t>
            </w:r>
          </w:p>
        </w:tc>
        <w:tc>
          <w:tcPr>
            <w:tcW w:w="280" w:type="dxa"/>
            <w:vAlign w:val="bottom"/>
          </w:tcPr>
          <w:p>
            <w:pPr>
              <w:spacing w:after="0"/>
              <w:rPr>
                <w:sz w:val="14"/>
                <w:szCs w:val="14"/>
                <w:color w:val="auto"/>
              </w:rPr>
            </w:pPr>
          </w:p>
        </w:tc>
        <w:tc>
          <w:tcPr>
            <w:tcW w:w="920" w:type="dxa"/>
            <w:vAlign w:val="bottom"/>
          </w:tcPr>
          <w:p>
            <w:pPr>
              <w:jc w:val="center"/>
              <w:ind w:left="70"/>
              <w:spacing w:after="0"/>
              <w:rPr>
                <w:sz w:val="20"/>
                <w:szCs w:val="20"/>
                <w:color w:val="auto"/>
              </w:rPr>
            </w:pPr>
            <w:r>
              <w:rPr>
                <w:rFonts w:ascii="Arial" w:cs="Arial" w:eastAsia="Arial" w:hAnsi="Arial"/>
                <w:sz w:val="14"/>
                <w:szCs w:val="14"/>
                <w:color w:val="3F3F3F"/>
              </w:rPr>
              <w:t>-</w:t>
            </w:r>
          </w:p>
        </w:tc>
        <w:tc>
          <w:tcPr>
            <w:tcW w:w="88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00" w:type="dxa"/>
            <w:vAlign w:val="bottom"/>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71"/>
        </w:trPr>
        <w:tc>
          <w:tcPr>
            <w:tcW w:w="2340" w:type="dxa"/>
            <w:vAlign w:val="bottom"/>
            <w:tcBorders>
              <w:bottom w:val="single" w:sz="8" w:color="7F7F7F"/>
            </w:tcBorders>
          </w:tcPr>
          <w:p>
            <w:pPr>
              <w:spacing w:after="0"/>
              <w:rPr>
                <w:sz w:val="14"/>
                <w:szCs w:val="14"/>
                <w:color w:val="auto"/>
              </w:rPr>
            </w:pPr>
          </w:p>
        </w:tc>
        <w:tc>
          <w:tcPr>
            <w:tcW w:w="1040" w:type="dxa"/>
            <w:vAlign w:val="bottom"/>
            <w:tcBorders>
              <w:bottom w:val="single" w:sz="8" w:color="7F7F7F"/>
            </w:tcBorders>
          </w:tcPr>
          <w:p>
            <w:pPr>
              <w:jc w:val="center"/>
              <w:ind w:left="10"/>
              <w:spacing w:after="0"/>
              <w:rPr>
                <w:sz w:val="20"/>
                <w:szCs w:val="20"/>
                <w:color w:val="auto"/>
              </w:rPr>
            </w:pPr>
            <w:r>
              <w:rPr>
                <w:rFonts w:ascii="Arial" w:cs="Arial" w:eastAsia="Arial" w:hAnsi="Arial"/>
                <w:sz w:val="14"/>
                <w:szCs w:val="14"/>
                <w:color w:val="3F3F3F"/>
                <w:w w:val="84"/>
              </w:rPr>
              <w:t>-</w:t>
            </w:r>
          </w:p>
        </w:tc>
        <w:tc>
          <w:tcPr>
            <w:tcW w:w="1040" w:type="dxa"/>
            <w:vAlign w:val="bottom"/>
            <w:tcBorders>
              <w:bottom w:val="single" w:sz="8" w:color="7F7F7F"/>
            </w:tcBorders>
          </w:tcPr>
          <w:p>
            <w:pPr>
              <w:jc w:val="right"/>
              <w:ind w:right="130"/>
              <w:spacing w:after="0"/>
              <w:rPr>
                <w:sz w:val="20"/>
                <w:szCs w:val="20"/>
                <w:color w:val="auto"/>
              </w:rPr>
            </w:pPr>
            <w:r>
              <w:rPr>
                <w:rFonts w:ascii="Arial" w:cs="Arial" w:eastAsia="Arial" w:hAnsi="Arial"/>
                <w:sz w:val="14"/>
                <w:szCs w:val="14"/>
                <w:color w:val="3F3F3F"/>
              </w:rPr>
              <w:t>3,000 (5)</w:t>
            </w:r>
          </w:p>
        </w:tc>
        <w:tc>
          <w:tcPr>
            <w:tcW w:w="104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$166.73</w:t>
            </w:r>
          </w:p>
        </w:tc>
        <w:tc>
          <w:tcPr>
            <w:tcW w:w="840" w:type="dxa"/>
            <w:vAlign w:val="bottom"/>
            <w:tcBorders>
              <w:bottom w:val="single" w:sz="8" w:color="7F7F7F"/>
            </w:tcBorders>
          </w:tcPr>
          <w:p>
            <w:pPr>
              <w:jc w:val="center"/>
              <w:ind w:left="49"/>
              <w:spacing w:after="0"/>
              <w:rPr>
                <w:sz w:val="20"/>
                <w:szCs w:val="20"/>
                <w:color w:val="auto"/>
              </w:rPr>
            </w:pPr>
            <w:r>
              <w:rPr>
                <w:rFonts w:ascii="Arial" w:cs="Arial" w:eastAsia="Arial" w:hAnsi="Arial"/>
                <w:sz w:val="14"/>
                <w:szCs w:val="14"/>
                <w:color w:val="3F3F3F"/>
              </w:rPr>
              <w:t>10/27/2026</w:t>
            </w:r>
          </w:p>
        </w:tc>
        <w:tc>
          <w:tcPr>
            <w:tcW w:w="280" w:type="dxa"/>
            <w:vAlign w:val="bottom"/>
            <w:tcBorders>
              <w:bottom w:val="single" w:sz="8" w:color="7F7F7F"/>
            </w:tcBorders>
          </w:tcPr>
          <w:p>
            <w:pPr>
              <w:spacing w:after="0"/>
              <w:rPr>
                <w:sz w:val="14"/>
                <w:szCs w:val="14"/>
                <w:color w:val="auto"/>
              </w:rPr>
            </w:pPr>
          </w:p>
        </w:tc>
        <w:tc>
          <w:tcPr>
            <w:tcW w:w="920" w:type="dxa"/>
            <w:vAlign w:val="bottom"/>
            <w:tcBorders>
              <w:bottom w:val="single" w:sz="8" w:color="7F7F7F"/>
            </w:tcBorders>
          </w:tcPr>
          <w:p>
            <w:pPr>
              <w:jc w:val="center"/>
              <w:ind w:left="70"/>
              <w:spacing w:after="0"/>
              <w:rPr>
                <w:sz w:val="20"/>
                <w:szCs w:val="20"/>
                <w:color w:val="auto"/>
              </w:rPr>
            </w:pPr>
            <w:r>
              <w:rPr>
                <w:rFonts w:ascii="Arial" w:cs="Arial" w:eastAsia="Arial" w:hAnsi="Arial"/>
                <w:sz w:val="14"/>
                <w:szCs w:val="14"/>
                <w:color w:val="3F3F3F"/>
              </w:rPr>
              <w:t>-</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w w:val="84"/>
              </w:rPr>
              <w:t>-</w:t>
            </w:r>
          </w:p>
        </w:tc>
        <w:tc>
          <w:tcPr>
            <w:tcW w:w="100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46"/>
        </w:trPr>
        <w:tc>
          <w:tcPr>
            <w:tcW w:w="2340" w:type="dxa"/>
            <w:vAlign w:val="bottom"/>
          </w:tcPr>
          <w:p>
            <w:pPr>
              <w:spacing w:after="0" w:line="147" w:lineRule="exact"/>
              <w:rPr>
                <w:sz w:val="20"/>
                <w:szCs w:val="20"/>
                <w:color w:val="auto"/>
              </w:rPr>
            </w:pPr>
            <w:r>
              <w:rPr>
                <w:rFonts w:ascii="Arial" w:cs="Arial" w:eastAsia="Arial" w:hAnsi="Arial"/>
                <w:sz w:val="14"/>
                <w:szCs w:val="14"/>
                <w:color w:val="006098"/>
              </w:rPr>
              <w:t>Jesse J.</w:t>
            </w:r>
          </w:p>
        </w:tc>
        <w:tc>
          <w:tcPr>
            <w:tcW w:w="1040" w:type="dxa"/>
            <w:vAlign w:val="bottom"/>
          </w:tcPr>
          <w:p>
            <w:pPr>
              <w:jc w:val="center"/>
              <w:ind w:left="10"/>
              <w:spacing w:after="0" w:line="147" w:lineRule="exact"/>
              <w:rPr>
                <w:sz w:val="20"/>
                <w:szCs w:val="20"/>
                <w:color w:val="auto"/>
              </w:rPr>
            </w:pPr>
            <w:r>
              <w:rPr>
                <w:rFonts w:ascii="Arial" w:cs="Arial" w:eastAsia="Arial" w:hAnsi="Arial"/>
                <w:sz w:val="14"/>
                <w:szCs w:val="14"/>
                <w:color w:val="3F3F3F"/>
              </w:rPr>
              <w:t>7,000</w:t>
            </w:r>
          </w:p>
        </w:tc>
        <w:tc>
          <w:tcPr>
            <w:tcW w:w="1040" w:type="dxa"/>
            <w:vAlign w:val="bottom"/>
          </w:tcPr>
          <w:p>
            <w:pPr>
              <w:jc w:val="center"/>
              <w:spacing w:after="0" w:line="147" w:lineRule="exact"/>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line="147" w:lineRule="exact"/>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line="147" w:lineRule="exact"/>
              <w:rPr>
                <w:sz w:val="20"/>
                <w:szCs w:val="20"/>
                <w:color w:val="auto"/>
              </w:rPr>
            </w:pPr>
            <w:r>
              <w:rPr>
                <w:rFonts w:ascii="Arial" w:cs="Arial" w:eastAsia="Arial" w:hAnsi="Arial"/>
                <w:sz w:val="14"/>
                <w:szCs w:val="14"/>
                <w:color w:val="3F3F3F"/>
              </w:rPr>
              <w:t>$28.32</w:t>
            </w:r>
          </w:p>
        </w:tc>
        <w:tc>
          <w:tcPr>
            <w:tcW w:w="840" w:type="dxa"/>
            <w:vAlign w:val="bottom"/>
          </w:tcPr>
          <w:p>
            <w:pPr>
              <w:jc w:val="center"/>
              <w:ind w:left="49"/>
              <w:spacing w:after="0" w:line="147" w:lineRule="exact"/>
              <w:rPr>
                <w:sz w:val="20"/>
                <w:szCs w:val="20"/>
                <w:color w:val="auto"/>
              </w:rPr>
            </w:pPr>
            <w:r>
              <w:rPr>
                <w:rFonts w:ascii="Arial" w:cs="Arial" w:eastAsia="Arial" w:hAnsi="Arial"/>
                <w:sz w:val="14"/>
                <w:szCs w:val="14"/>
                <w:color w:val="3F3F3F"/>
              </w:rPr>
              <w:t>3/15/2024</w:t>
            </w:r>
          </w:p>
        </w:tc>
        <w:tc>
          <w:tcPr>
            <w:tcW w:w="280" w:type="dxa"/>
            <w:vAlign w:val="bottom"/>
          </w:tcPr>
          <w:p>
            <w:pPr>
              <w:spacing w:after="0"/>
              <w:rPr>
                <w:sz w:val="12"/>
                <w:szCs w:val="12"/>
                <w:color w:val="auto"/>
              </w:rPr>
            </w:pPr>
          </w:p>
        </w:tc>
        <w:tc>
          <w:tcPr>
            <w:tcW w:w="920" w:type="dxa"/>
            <w:vAlign w:val="bottom"/>
          </w:tcPr>
          <w:p>
            <w:pPr>
              <w:jc w:val="center"/>
              <w:ind w:left="70"/>
              <w:spacing w:after="0" w:line="147" w:lineRule="exact"/>
              <w:rPr>
                <w:sz w:val="20"/>
                <w:szCs w:val="20"/>
                <w:color w:val="auto"/>
              </w:rPr>
            </w:pPr>
            <w:r>
              <w:rPr>
                <w:rFonts w:ascii="Arial" w:cs="Arial" w:eastAsia="Arial" w:hAnsi="Arial"/>
                <w:sz w:val="14"/>
                <w:szCs w:val="14"/>
                <w:color w:val="3F3F3F"/>
              </w:rPr>
              <w:t>-</w:t>
            </w:r>
          </w:p>
        </w:tc>
        <w:tc>
          <w:tcPr>
            <w:tcW w:w="880" w:type="dxa"/>
            <w:vAlign w:val="bottom"/>
          </w:tcPr>
          <w:p>
            <w:pPr>
              <w:jc w:val="center"/>
              <w:spacing w:after="0" w:line="147" w:lineRule="exact"/>
              <w:rPr>
                <w:sz w:val="20"/>
                <w:szCs w:val="20"/>
                <w:color w:val="auto"/>
              </w:rPr>
            </w:pPr>
            <w:r>
              <w:rPr>
                <w:rFonts w:ascii="Arial" w:cs="Arial" w:eastAsia="Arial" w:hAnsi="Arial"/>
                <w:sz w:val="14"/>
                <w:szCs w:val="14"/>
                <w:color w:val="3F3F3F"/>
                <w:w w:val="84"/>
              </w:rPr>
              <w:t>-</w:t>
            </w:r>
          </w:p>
        </w:tc>
        <w:tc>
          <w:tcPr>
            <w:tcW w:w="1000" w:type="dxa"/>
            <w:vAlign w:val="bottom"/>
          </w:tcPr>
          <w:p>
            <w:pPr>
              <w:jc w:val="center"/>
              <w:spacing w:after="0" w:line="147" w:lineRule="exact"/>
              <w:rPr>
                <w:sz w:val="20"/>
                <w:szCs w:val="20"/>
                <w:color w:val="auto"/>
              </w:rPr>
            </w:pPr>
            <w:r>
              <w:rPr>
                <w:rFonts w:ascii="Arial" w:cs="Arial" w:eastAsia="Arial" w:hAnsi="Arial"/>
                <w:sz w:val="14"/>
                <w:szCs w:val="14"/>
                <w:color w:val="3F3F3F"/>
              </w:rPr>
              <w:t>-</w:t>
            </w:r>
          </w:p>
        </w:tc>
        <w:tc>
          <w:tcPr>
            <w:tcW w:w="920" w:type="dxa"/>
            <w:vAlign w:val="bottom"/>
          </w:tcPr>
          <w:p>
            <w:pPr>
              <w:jc w:val="center"/>
              <w:spacing w:after="0" w:line="147" w:lineRule="exact"/>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20"/>
                <w:szCs w:val="20"/>
                <w:color w:val="auto"/>
              </w:rPr>
            </w:pPr>
            <w:r>
              <w:rPr>
                <w:rFonts w:ascii="Arial" w:cs="Arial" w:eastAsia="Arial" w:hAnsi="Arial"/>
                <w:sz w:val="14"/>
                <w:szCs w:val="14"/>
                <w:color w:val="006098"/>
              </w:rPr>
              <w:t>Geiger</w:t>
            </w:r>
          </w:p>
        </w:tc>
        <w:tc>
          <w:tcPr>
            <w:tcW w:w="1040" w:type="dxa"/>
            <w:vAlign w:val="bottom"/>
          </w:tcPr>
          <w:p>
            <w:pPr>
              <w:jc w:val="center"/>
              <w:ind w:left="10"/>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rPr>
              <w:t>15,000 (6)</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rPr>
                <w:sz w:val="20"/>
                <w:szCs w:val="20"/>
                <w:color w:val="auto"/>
              </w:rPr>
            </w:pPr>
            <w:r>
              <w:rPr>
                <w:rFonts w:ascii="Arial" w:cs="Arial" w:eastAsia="Arial" w:hAnsi="Arial"/>
                <w:sz w:val="14"/>
                <w:szCs w:val="14"/>
                <w:color w:val="3F3F3F"/>
              </w:rPr>
              <w:t>$32.05</w:t>
            </w:r>
          </w:p>
        </w:tc>
        <w:tc>
          <w:tcPr>
            <w:tcW w:w="840" w:type="dxa"/>
            <w:vAlign w:val="bottom"/>
          </w:tcPr>
          <w:p>
            <w:pPr>
              <w:jc w:val="center"/>
              <w:ind w:left="49"/>
              <w:spacing w:after="0"/>
              <w:rPr>
                <w:sz w:val="20"/>
                <w:szCs w:val="20"/>
                <w:color w:val="auto"/>
              </w:rPr>
            </w:pPr>
            <w:r>
              <w:rPr>
                <w:rFonts w:ascii="Arial" w:cs="Arial" w:eastAsia="Arial" w:hAnsi="Arial"/>
                <w:sz w:val="14"/>
                <w:szCs w:val="14"/>
                <w:color w:val="3F3F3F"/>
              </w:rPr>
              <w:t>2/28/2025</w:t>
            </w:r>
          </w:p>
        </w:tc>
        <w:tc>
          <w:tcPr>
            <w:tcW w:w="280" w:type="dxa"/>
            <w:vAlign w:val="bottom"/>
          </w:tcPr>
          <w:p>
            <w:pPr>
              <w:spacing w:after="0"/>
              <w:rPr>
                <w:sz w:val="14"/>
                <w:szCs w:val="14"/>
                <w:color w:val="auto"/>
              </w:rPr>
            </w:pPr>
          </w:p>
        </w:tc>
        <w:tc>
          <w:tcPr>
            <w:tcW w:w="920" w:type="dxa"/>
            <w:vAlign w:val="bottom"/>
          </w:tcPr>
          <w:p>
            <w:pPr>
              <w:jc w:val="center"/>
              <w:ind w:left="70"/>
              <w:spacing w:after="0"/>
              <w:rPr>
                <w:sz w:val="20"/>
                <w:szCs w:val="20"/>
                <w:color w:val="auto"/>
              </w:rPr>
            </w:pPr>
            <w:r>
              <w:rPr>
                <w:rFonts w:ascii="Arial" w:cs="Arial" w:eastAsia="Arial" w:hAnsi="Arial"/>
                <w:sz w:val="14"/>
                <w:szCs w:val="14"/>
                <w:color w:val="3F3F3F"/>
              </w:rPr>
              <w:t>-</w:t>
            </w:r>
          </w:p>
        </w:tc>
        <w:tc>
          <w:tcPr>
            <w:tcW w:w="88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00" w:type="dxa"/>
            <w:vAlign w:val="bottom"/>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040" w:type="dxa"/>
            <w:vAlign w:val="bottom"/>
          </w:tcPr>
          <w:p>
            <w:pPr>
              <w:jc w:val="center"/>
              <w:ind w:left="10"/>
              <w:spacing w:after="0"/>
              <w:rPr>
                <w:sz w:val="20"/>
                <w:szCs w:val="20"/>
                <w:color w:val="auto"/>
              </w:rPr>
            </w:pPr>
            <w:r>
              <w:rPr>
                <w:rFonts w:ascii="Arial" w:cs="Arial" w:eastAsia="Arial" w:hAnsi="Arial"/>
                <w:sz w:val="14"/>
                <w:szCs w:val="14"/>
                <w:color w:val="3F3F3F"/>
              </w:rPr>
              <w:t>40,000</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rPr>
                <w:sz w:val="20"/>
                <w:szCs w:val="20"/>
                <w:color w:val="auto"/>
              </w:rPr>
            </w:pPr>
            <w:r>
              <w:rPr>
                <w:rFonts w:ascii="Arial" w:cs="Arial" w:eastAsia="Arial" w:hAnsi="Arial"/>
                <w:sz w:val="14"/>
                <w:szCs w:val="14"/>
                <w:color w:val="3F3F3F"/>
              </w:rPr>
              <w:t>$90.65</w:t>
            </w:r>
          </w:p>
        </w:tc>
        <w:tc>
          <w:tcPr>
            <w:tcW w:w="840" w:type="dxa"/>
            <w:vAlign w:val="bottom"/>
          </w:tcPr>
          <w:p>
            <w:pPr>
              <w:jc w:val="center"/>
              <w:ind w:left="49"/>
              <w:spacing w:after="0"/>
              <w:rPr>
                <w:sz w:val="20"/>
                <w:szCs w:val="20"/>
                <w:color w:val="auto"/>
              </w:rPr>
            </w:pPr>
            <w:r>
              <w:rPr>
                <w:rFonts w:ascii="Arial" w:cs="Arial" w:eastAsia="Arial" w:hAnsi="Arial"/>
                <w:sz w:val="14"/>
                <w:szCs w:val="14"/>
                <w:color w:val="3F3F3F"/>
              </w:rPr>
              <w:t>8/5/2024</w:t>
            </w:r>
          </w:p>
        </w:tc>
        <w:tc>
          <w:tcPr>
            <w:tcW w:w="280" w:type="dxa"/>
            <w:vAlign w:val="bottom"/>
          </w:tcPr>
          <w:p>
            <w:pPr>
              <w:spacing w:after="0"/>
              <w:rPr>
                <w:sz w:val="14"/>
                <w:szCs w:val="14"/>
                <w:color w:val="auto"/>
              </w:rPr>
            </w:pPr>
          </w:p>
        </w:tc>
        <w:tc>
          <w:tcPr>
            <w:tcW w:w="920" w:type="dxa"/>
            <w:vAlign w:val="bottom"/>
          </w:tcPr>
          <w:p>
            <w:pPr>
              <w:jc w:val="center"/>
              <w:ind w:left="70"/>
              <w:spacing w:after="0"/>
              <w:rPr>
                <w:sz w:val="20"/>
                <w:szCs w:val="20"/>
                <w:color w:val="auto"/>
              </w:rPr>
            </w:pPr>
            <w:r>
              <w:rPr>
                <w:rFonts w:ascii="Arial" w:cs="Arial" w:eastAsia="Arial" w:hAnsi="Arial"/>
                <w:sz w:val="14"/>
                <w:szCs w:val="14"/>
                <w:color w:val="3F3F3F"/>
              </w:rPr>
              <w:t>-</w:t>
            </w:r>
          </w:p>
        </w:tc>
        <w:tc>
          <w:tcPr>
            <w:tcW w:w="88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00" w:type="dxa"/>
            <w:vAlign w:val="bottom"/>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040" w:type="dxa"/>
            <w:vAlign w:val="bottom"/>
          </w:tcPr>
          <w:p>
            <w:pPr>
              <w:jc w:val="center"/>
              <w:ind w:left="10"/>
              <w:spacing w:after="0"/>
              <w:rPr>
                <w:sz w:val="20"/>
                <w:szCs w:val="20"/>
                <w:color w:val="auto"/>
              </w:rPr>
            </w:pPr>
            <w:r>
              <w:rPr>
                <w:rFonts w:ascii="Arial" w:cs="Arial" w:eastAsia="Arial" w:hAnsi="Arial"/>
                <w:sz w:val="14"/>
                <w:szCs w:val="14"/>
                <w:color w:val="3F3F3F"/>
              </w:rPr>
              <w:t>41,801</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rPr>
                <w:sz w:val="20"/>
                <w:szCs w:val="20"/>
                <w:color w:val="auto"/>
              </w:rPr>
            </w:pPr>
            <w:r>
              <w:rPr>
                <w:rFonts w:ascii="Arial" w:cs="Arial" w:eastAsia="Arial" w:hAnsi="Arial"/>
                <w:sz w:val="14"/>
                <w:szCs w:val="14"/>
                <w:color w:val="3F3F3F"/>
              </w:rPr>
              <w:t>$107.93</w:t>
            </w:r>
          </w:p>
        </w:tc>
        <w:tc>
          <w:tcPr>
            <w:tcW w:w="840" w:type="dxa"/>
            <w:vAlign w:val="bottom"/>
          </w:tcPr>
          <w:p>
            <w:pPr>
              <w:jc w:val="center"/>
              <w:ind w:left="49"/>
              <w:spacing w:after="0"/>
              <w:rPr>
                <w:sz w:val="20"/>
                <w:szCs w:val="20"/>
                <w:color w:val="auto"/>
              </w:rPr>
            </w:pPr>
            <w:r>
              <w:rPr>
                <w:rFonts w:ascii="Arial" w:cs="Arial" w:eastAsia="Arial" w:hAnsi="Arial"/>
                <w:sz w:val="14"/>
                <w:szCs w:val="14"/>
                <w:color w:val="3F3F3F"/>
              </w:rPr>
              <w:t>2/28/2026</w:t>
            </w:r>
          </w:p>
        </w:tc>
        <w:tc>
          <w:tcPr>
            <w:tcW w:w="280" w:type="dxa"/>
            <w:vAlign w:val="bottom"/>
          </w:tcPr>
          <w:p>
            <w:pPr>
              <w:spacing w:after="0"/>
              <w:rPr>
                <w:sz w:val="14"/>
                <w:szCs w:val="14"/>
                <w:color w:val="auto"/>
              </w:rPr>
            </w:pPr>
          </w:p>
        </w:tc>
        <w:tc>
          <w:tcPr>
            <w:tcW w:w="920" w:type="dxa"/>
            <w:vAlign w:val="bottom"/>
          </w:tcPr>
          <w:p>
            <w:pPr>
              <w:jc w:val="center"/>
              <w:ind w:left="70"/>
              <w:spacing w:after="0"/>
              <w:rPr>
                <w:sz w:val="20"/>
                <w:szCs w:val="20"/>
                <w:color w:val="auto"/>
              </w:rPr>
            </w:pPr>
            <w:r>
              <w:rPr>
                <w:rFonts w:ascii="Arial" w:cs="Arial" w:eastAsia="Arial" w:hAnsi="Arial"/>
                <w:sz w:val="14"/>
                <w:szCs w:val="14"/>
                <w:color w:val="3F3F3F"/>
              </w:rPr>
              <w:t>-</w:t>
            </w:r>
          </w:p>
        </w:tc>
        <w:tc>
          <w:tcPr>
            <w:tcW w:w="88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00" w:type="dxa"/>
            <w:vAlign w:val="bottom"/>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040" w:type="dxa"/>
            <w:vAlign w:val="bottom"/>
          </w:tcPr>
          <w:p>
            <w:pPr>
              <w:jc w:val="center"/>
              <w:ind w:left="10"/>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840" w:type="dxa"/>
            <w:vAlign w:val="bottom"/>
          </w:tcPr>
          <w:p>
            <w:pPr>
              <w:jc w:val="center"/>
              <w:ind w:left="29"/>
              <w:spacing w:after="0"/>
              <w:rPr>
                <w:sz w:val="20"/>
                <w:szCs w:val="20"/>
                <w:color w:val="auto"/>
              </w:rPr>
            </w:pPr>
            <w:r>
              <w:rPr>
                <w:rFonts w:ascii="Arial" w:cs="Arial" w:eastAsia="Arial" w:hAnsi="Arial"/>
                <w:sz w:val="14"/>
                <w:szCs w:val="14"/>
                <w:color w:val="3F3F3F"/>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3F3F3F"/>
              </w:rPr>
              <w:t>6,382 (7)</w:t>
            </w:r>
          </w:p>
        </w:tc>
        <w:tc>
          <w:tcPr>
            <w:tcW w:w="880" w:type="dxa"/>
            <w:vAlign w:val="bottom"/>
          </w:tcPr>
          <w:p>
            <w:pPr>
              <w:jc w:val="center"/>
              <w:spacing w:after="0"/>
              <w:rPr>
                <w:sz w:val="20"/>
                <w:szCs w:val="20"/>
                <w:color w:val="auto"/>
              </w:rPr>
            </w:pPr>
            <w:r>
              <w:rPr>
                <w:rFonts w:ascii="Arial" w:cs="Arial" w:eastAsia="Arial" w:hAnsi="Arial"/>
                <w:sz w:val="14"/>
                <w:szCs w:val="14"/>
                <w:color w:val="3F3F3F"/>
              </w:rPr>
              <w:t>$1,388,978</w:t>
            </w:r>
          </w:p>
        </w:tc>
        <w:tc>
          <w:tcPr>
            <w:tcW w:w="1000" w:type="dxa"/>
            <w:vAlign w:val="bottom"/>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71"/>
        </w:trPr>
        <w:tc>
          <w:tcPr>
            <w:tcW w:w="2340" w:type="dxa"/>
            <w:vAlign w:val="bottom"/>
            <w:tcBorders>
              <w:bottom w:val="single" w:sz="8" w:color="7F7F7F"/>
            </w:tcBorders>
          </w:tcPr>
          <w:p>
            <w:pPr>
              <w:spacing w:after="0"/>
              <w:rPr>
                <w:sz w:val="14"/>
                <w:szCs w:val="14"/>
                <w:color w:val="auto"/>
              </w:rPr>
            </w:pPr>
          </w:p>
        </w:tc>
        <w:tc>
          <w:tcPr>
            <w:tcW w:w="1040" w:type="dxa"/>
            <w:vAlign w:val="bottom"/>
            <w:tcBorders>
              <w:bottom w:val="single" w:sz="8" w:color="7F7F7F"/>
            </w:tcBorders>
          </w:tcPr>
          <w:p>
            <w:pPr>
              <w:jc w:val="center"/>
              <w:ind w:left="10"/>
              <w:spacing w:after="0"/>
              <w:rPr>
                <w:sz w:val="20"/>
                <w:szCs w:val="20"/>
                <w:color w:val="auto"/>
              </w:rPr>
            </w:pPr>
            <w:r>
              <w:rPr>
                <w:rFonts w:ascii="Arial" w:cs="Arial" w:eastAsia="Arial" w:hAnsi="Arial"/>
                <w:sz w:val="14"/>
                <w:szCs w:val="14"/>
                <w:color w:val="3F3F3F"/>
                <w:w w:val="84"/>
              </w:rPr>
              <w:t>-</w:t>
            </w:r>
          </w:p>
        </w:tc>
        <w:tc>
          <w:tcPr>
            <w:tcW w:w="104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23,028 (5)</w:t>
            </w:r>
          </w:p>
        </w:tc>
        <w:tc>
          <w:tcPr>
            <w:tcW w:w="104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$166.73</w:t>
            </w:r>
          </w:p>
        </w:tc>
        <w:tc>
          <w:tcPr>
            <w:tcW w:w="840" w:type="dxa"/>
            <w:vAlign w:val="bottom"/>
            <w:tcBorders>
              <w:bottom w:val="single" w:sz="8" w:color="7F7F7F"/>
            </w:tcBorders>
          </w:tcPr>
          <w:p>
            <w:pPr>
              <w:jc w:val="center"/>
              <w:ind w:left="49"/>
              <w:spacing w:after="0"/>
              <w:rPr>
                <w:sz w:val="20"/>
                <w:szCs w:val="20"/>
                <w:color w:val="auto"/>
              </w:rPr>
            </w:pPr>
            <w:r>
              <w:rPr>
                <w:rFonts w:ascii="Arial" w:cs="Arial" w:eastAsia="Arial" w:hAnsi="Arial"/>
                <w:sz w:val="14"/>
                <w:szCs w:val="14"/>
                <w:color w:val="3F3F3F"/>
              </w:rPr>
              <w:t>10/27/2026</w:t>
            </w:r>
          </w:p>
        </w:tc>
        <w:tc>
          <w:tcPr>
            <w:tcW w:w="280" w:type="dxa"/>
            <w:vAlign w:val="bottom"/>
            <w:tcBorders>
              <w:bottom w:val="single" w:sz="8" w:color="7F7F7F"/>
            </w:tcBorders>
          </w:tcPr>
          <w:p>
            <w:pPr>
              <w:spacing w:after="0"/>
              <w:rPr>
                <w:sz w:val="14"/>
                <w:szCs w:val="14"/>
                <w:color w:val="auto"/>
              </w:rPr>
            </w:pPr>
          </w:p>
        </w:tc>
        <w:tc>
          <w:tcPr>
            <w:tcW w:w="920" w:type="dxa"/>
            <w:vAlign w:val="bottom"/>
            <w:tcBorders>
              <w:bottom w:val="single" w:sz="8" w:color="7F7F7F"/>
            </w:tcBorders>
          </w:tcPr>
          <w:p>
            <w:pPr>
              <w:jc w:val="center"/>
              <w:ind w:left="70"/>
              <w:spacing w:after="0"/>
              <w:rPr>
                <w:sz w:val="20"/>
                <w:szCs w:val="20"/>
                <w:color w:val="auto"/>
              </w:rPr>
            </w:pPr>
            <w:r>
              <w:rPr>
                <w:rFonts w:ascii="Arial" w:cs="Arial" w:eastAsia="Arial" w:hAnsi="Arial"/>
                <w:sz w:val="14"/>
                <w:szCs w:val="14"/>
                <w:color w:val="3F3F3F"/>
              </w:rPr>
              <w:t>-</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w w:val="84"/>
              </w:rPr>
              <w:t>-</w:t>
            </w:r>
          </w:p>
        </w:tc>
        <w:tc>
          <w:tcPr>
            <w:tcW w:w="100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46"/>
        </w:trPr>
        <w:tc>
          <w:tcPr>
            <w:tcW w:w="2340" w:type="dxa"/>
            <w:vAlign w:val="bottom"/>
          </w:tcPr>
          <w:p>
            <w:pPr>
              <w:spacing w:after="0" w:line="147" w:lineRule="exact"/>
              <w:rPr>
                <w:sz w:val="20"/>
                <w:szCs w:val="20"/>
                <w:color w:val="auto"/>
              </w:rPr>
            </w:pPr>
            <w:r>
              <w:rPr>
                <w:rFonts w:ascii="Arial" w:cs="Arial" w:eastAsia="Arial" w:hAnsi="Arial"/>
                <w:sz w:val="14"/>
                <w:szCs w:val="14"/>
                <w:color w:val="006098"/>
              </w:rPr>
              <w:t>Susan E.</w:t>
            </w:r>
          </w:p>
        </w:tc>
        <w:tc>
          <w:tcPr>
            <w:tcW w:w="1040" w:type="dxa"/>
            <w:vAlign w:val="bottom"/>
          </w:tcPr>
          <w:p>
            <w:pPr>
              <w:jc w:val="center"/>
              <w:ind w:left="10"/>
              <w:spacing w:after="0" w:line="147" w:lineRule="exact"/>
              <w:rPr>
                <w:sz w:val="20"/>
                <w:szCs w:val="20"/>
                <w:color w:val="auto"/>
              </w:rPr>
            </w:pPr>
            <w:r>
              <w:rPr>
                <w:rFonts w:ascii="Arial" w:cs="Arial" w:eastAsia="Arial" w:hAnsi="Arial"/>
                <w:sz w:val="14"/>
                <w:szCs w:val="14"/>
                <w:color w:val="3F3F3F"/>
              </w:rPr>
              <w:t>12,400</w:t>
            </w:r>
          </w:p>
        </w:tc>
        <w:tc>
          <w:tcPr>
            <w:tcW w:w="1040" w:type="dxa"/>
            <w:vAlign w:val="bottom"/>
          </w:tcPr>
          <w:p>
            <w:pPr>
              <w:jc w:val="center"/>
              <w:spacing w:after="0" w:line="147" w:lineRule="exact"/>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line="147" w:lineRule="exact"/>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line="147" w:lineRule="exact"/>
              <w:rPr>
                <w:sz w:val="20"/>
                <w:szCs w:val="20"/>
                <w:color w:val="auto"/>
              </w:rPr>
            </w:pPr>
            <w:r>
              <w:rPr>
                <w:rFonts w:ascii="Arial" w:cs="Arial" w:eastAsia="Arial" w:hAnsi="Arial"/>
                <w:sz w:val="14"/>
                <w:szCs w:val="14"/>
                <w:color w:val="3F3F3F"/>
              </w:rPr>
              <w:t>$28.32</w:t>
            </w:r>
          </w:p>
        </w:tc>
        <w:tc>
          <w:tcPr>
            <w:tcW w:w="840" w:type="dxa"/>
            <w:vAlign w:val="bottom"/>
          </w:tcPr>
          <w:p>
            <w:pPr>
              <w:jc w:val="center"/>
              <w:ind w:left="49"/>
              <w:spacing w:after="0" w:line="147" w:lineRule="exact"/>
              <w:rPr>
                <w:sz w:val="20"/>
                <w:szCs w:val="20"/>
                <w:color w:val="auto"/>
              </w:rPr>
            </w:pPr>
            <w:r>
              <w:rPr>
                <w:rFonts w:ascii="Arial" w:cs="Arial" w:eastAsia="Arial" w:hAnsi="Arial"/>
                <w:sz w:val="14"/>
                <w:szCs w:val="14"/>
                <w:color w:val="3F3F3F"/>
              </w:rPr>
              <w:t>3/15/2024</w:t>
            </w:r>
          </w:p>
        </w:tc>
        <w:tc>
          <w:tcPr>
            <w:tcW w:w="280" w:type="dxa"/>
            <w:vAlign w:val="bottom"/>
          </w:tcPr>
          <w:p>
            <w:pPr>
              <w:spacing w:after="0"/>
              <w:rPr>
                <w:sz w:val="12"/>
                <w:szCs w:val="12"/>
                <w:color w:val="auto"/>
              </w:rPr>
            </w:pPr>
          </w:p>
        </w:tc>
        <w:tc>
          <w:tcPr>
            <w:tcW w:w="920" w:type="dxa"/>
            <w:vAlign w:val="bottom"/>
          </w:tcPr>
          <w:p>
            <w:pPr>
              <w:jc w:val="center"/>
              <w:ind w:left="70"/>
              <w:spacing w:after="0" w:line="147" w:lineRule="exact"/>
              <w:rPr>
                <w:sz w:val="20"/>
                <w:szCs w:val="20"/>
                <w:color w:val="auto"/>
              </w:rPr>
            </w:pPr>
            <w:r>
              <w:rPr>
                <w:rFonts w:ascii="Arial" w:cs="Arial" w:eastAsia="Arial" w:hAnsi="Arial"/>
                <w:sz w:val="14"/>
                <w:szCs w:val="14"/>
                <w:color w:val="3F3F3F"/>
              </w:rPr>
              <w:t>-</w:t>
            </w:r>
          </w:p>
        </w:tc>
        <w:tc>
          <w:tcPr>
            <w:tcW w:w="880" w:type="dxa"/>
            <w:vAlign w:val="bottom"/>
          </w:tcPr>
          <w:p>
            <w:pPr>
              <w:jc w:val="center"/>
              <w:spacing w:after="0" w:line="147" w:lineRule="exact"/>
              <w:rPr>
                <w:sz w:val="20"/>
                <w:szCs w:val="20"/>
                <w:color w:val="auto"/>
              </w:rPr>
            </w:pPr>
            <w:r>
              <w:rPr>
                <w:rFonts w:ascii="Arial" w:cs="Arial" w:eastAsia="Arial" w:hAnsi="Arial"/>
                <w:sz w:val="14"/>
                <w:szCs w:val="14"/>
                <w:color w:val="3F3F3F"/>
                <w:w w:val="84"/>
              </w:rPr>
              <w:t>-</w:t>
            </w:r>
          </w:p>
        </w:tc>
        <w:tc>
          <w:tcPr>
            <w:tcW w:w="1000" w:type="dxa"/>
            <w:vAlign w:val="bottom"/>
          </w:tcPr>
          <w:p>
            <w:pPr>
              <w:jc w:val="center"/>
              <w:spacing w:after="0" w:line="147" w:lineRule="exact"/>
              <w:rPr>
                <w:sz w:val="20"/>
                <w:szCs w:val="20"/>
                <w:color w:val="auto"/>
              </w:rPr>
            </w:pPr>
            <w:r>
              <w:rPr>
                <w:rFonts w:ascii="Arial" w:cs="Arial" w:eastAsia="Arial" w:hAnsi="Arial"/>
                <w:sz w:val="14"/>
                <w:szCs w:val="14"/>
                <w:color w:val="3F3F3F"/>
              </w:rPr>
              <w:t>-</w:t>
            </w:r>
          </w:p>
        </w:tc>
        <w:tc>
          <w:tcPr>
            <w:tcW w:w="920" w:type="dxa"/>
            <w:vAlign w:val="bottom"/>
          </w:tcPr>
          <w:p>
            <w:pPr>
              <w:jc w:val="center"/>
              <w:spacing w:after="0" w:line="147" w:lineRule="exact"/>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20"/>
                <w:szCs w:val="20"/>
                <w:color w:val="auto"/>
              </w:rPr>
            </w:pPr>
            <w:r>
              <w:rPr>
                <w:rFonts w:ascii="Arial" w:cs="Arial" w:eastAsia="Arial" w:hAnsi="Arial"/>
                <w:sz w:val="14"/>
                <w:szCs w:val="14"/>
                <w:color w:val="006098"/>
              </w:rPr>
              <w:t>Burwig</w:t>
            </w:r>
          </w:p>
        </w:tc>
        <w:tc>
          <w:tcPr>
            <w:tcW w:w="1040" w:type="dxa"/>
            <w:vAlign w:val="bottom"/>
          </w:tcPr>
          <w:p>
            <w:pPr>
              <w:jc w:val="center"/>
              <w:ind w:left="10"/>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rPr>
              <w:t>15,000 (6)</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rPr>
                <w:sz w:val="20"/>
                <w:szCs w:val="20"/>
                <w:color w:val="auto"/>
              </w:rPr>
            </w:pPr>
            <w:r>
              <w:rPr>
                <w:rFonts w:ascii="Arial" w:cs="Arial" w:eastAsia="Arial" w:hAnsi="Arial"/>
                <w:sz w:val="14"/>
                <w:szCs w:val="14"/>
                <w:color w:val="3F3F3F"/>
              </w:rPr>
              <w:t>$32.05</w:t>
            </w:r>
          </w:p>
        </w:tc>
        <w:tc>
          <w:tcPr>
            <w:tcW w:w="840" w:type="dxa"/>
            <w:vAlign w:val="bottom"/>
          </w:tcPr>
          <w:p>
            <w:pPr>
              <w:jc w:val="center"/>
              <w:ind w:left="49"/>
              <w:spacing w:after="0"/>
              <w:rPr>
                <w:sz w:val="20"/>
                <w:szCs w:val="20"/>
                <w:color w:val="auto"/>
              </w:rPr>
            </w:pPr>
            <w:r>
              <w:rPr>
                <w:rFonts w:ascii="Arial" w:cs="Arial" w:eastAsia="Arial" w:hAnsi="Arial"/>
                <w:sz w:val="14"/>
                <w:szCs w:val="14"/>
                <w:color w:val="3F3F3F"/>
              </w:rPr>
              <w:t>2/28/2025</w:t>
            </w:r>
          </w:p>
        </w:tc>
        <w:tc>
          <w:tcPr>
            <w:tcW w:w="280" w:type="dxa"/>
            <w:vAlign w:val="bottom"/>
          </w:tcPr>
          <w:p>
            <w:pPr>
              <w:spacing w:after="0"/>
              <w:rPr>
                <w:sz w:val="14"/>
                <w:szCs w:val="14"/>
                <w:color w:val="auto"/>
              </w:rPr>
            </w:pPr>
          </w:p>
        </w:tc>
        <w:tc>
          <w:tcPr>
            <w:tcW w:w="920" w:type="dxa"/>
            <w:vAlign w:val="bottom"/>
          </w:tcPr>
          <w:p>
            <w:pPr>
              <w:jc w:val="center"/>
              <w:ind w:left="70"/>
              <w:spacing w:after="0"/>
              <w:rPr>
                <w:sz w:val="20"/>
                <w:szCs w:val="20"/>
                <w:color w:val="auto"/>
              </w:rPr>
            </w:pPr>
            <w:r>
              <w:rPr>
                <w:rFonts w:ascii="Arial" w:cs="Arial" w:eastAsia="Arial" w:hAnsi="Arial"/>
                <w:sz w:val="14"/>
                <w:szCs w:val="14"/>
                <w:color w:val="3F3F3F"/>
              </w:rPr>
              <w:t>-</w:t>
            </w:r>
          </w:p>
        </w:tc>
        <w:tc>
          <w:tcPr>
            <w:tcW w:w="88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00" w:type="dxa"/>
            <w:vAlign w:val="bottom"/>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040" w:type="dxa"/>
            <w:vAlign w:val="bottom"/>
          </w:tcPr>
          <w:p>
            <w:pPr>
              <w:jc w:val="center"/>
              <w:ind w:left="10"/>
              <w:spacing w:after="0"/>
              <w:rPr>
                <w:sz w:val="20"/>
                <w:szCs w:val="20"/>
                <w:color w:val="auto"/>
              </w:rPr>
            </w:pPr>
            <w:r>
              <w:rPr>
                <w:rFonts w:ascii="Arial" w:cs="Arial" w:eastAsia="Arial" w:hAnsi="Arial"/>
                <w:sz w:val="14"/>
                <w:szCs w:val="14"/>
                <w:color w:val="3F3F3F"/>
              </w:rPr>
              <w:t>50,000</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rPr>
                <w:sz w:val="20"/>
                <w:szCs w:val="20"/>
                <w:color w:val="auto"/>
              </w:rPr>
            </w:pPr>
            <w:r>
              <w:rPr>
                <w:rFonts w:ascii="Arial" w:cs="Arial" w:eastAsia="Arial" w:hAnsi="Arial"/>
                <w:sz w:val="14"/>
                <w:szCs w:val="14"/>
                <w:color w:val="3F3F3F"/>
              </w:rPr>
              <w:t>$90.65</w:t>
            </w:r>
          </w:p>
        </w:tc>
        <w:tc>
          <w:tcPr>
            <w:tcW w:w="840" w:type="dxa"/>
            <w:vAlign w:val="bottom"/>
          </w:tcPr>
          <w:p>
            <w:pPr>
              <w:jc w:val="center"/>
              <w:ind w:left="49"/>
              <w:spacing w:after="0"/>
              <w:rPr>
                <w:sz w:val="20"/>
                <w:szCs w:val="20"/>
                <w:color w:val="auto"/>
              </w:rPr>
            </w:pPr>
            <w:r>
              <w:rPr>
                <w:rFonts w:ascii="Arial" w:cs="Arial" w:eastAsia="Arial" w:hAnsi="Arial"/>
                <w:sz w:val="14"/>
                <w:szCs w:val="14"/>
                <w:color w:val="3F3F3F"/>
              </w:rPr>
              <w:t>8/5/2024</w:t>
            </w:r>
          </w:p>
        </w:tc>
        <w:tc>
          <w:tcPr>
            <w:tcW w:w="280" w:type="dxa"/>
            <w:vAlign w:val="bottom"/>
          </w:tcPr>
          <w:p>
            <w:pPr>
              <w:spacing w:after="0"/>
              <w:rPr>
                <w:sz w:val="14"/>
                <w:szCs w:val="14"/>
                <w:color w:val="auto"/>
              </w:rPr>
            </w:pPr>
          </w:p>
        </w:tc>
        <w:tc>
          <w:tcPr>
            <w:tcW w:w="920" w:type="dxa"/>
            <w:vAlign w:val="bottom"/>
          </w:tcPr>
          <w:p>
            <w:pPr>
              <w:jc w:val="center"/>
              <w:ind w:left="70"/>
              <w:spacing w:after="0"/>
              <w:rPr>
                <w:sz w:val="20"/>
                <w:szCs w:val="20"/>
                <w:color w:val="auto"/>
              </w:rPr>
            </w:pPr>
            <w:r>
              <w:rPr>
                <w:rFonts w:ascii="Arial" w:cs="Arial" w:eastAsia="Arial" w:hAnsi="Arial"/>
                <w:sz w:val="14"/>
                <w:szCs w:val="14"/>
                <w:color w:val="3F3F3F"/>
              </w:rPr>
              <w:t>-</w:t>
            </w:r>
          </w:p>
        </w:tc>
        <w:tc>
          <w:tcPr>
            <w:tcW w:w="88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00" w:type="dxa"/>
            <w:vAlign w:val="bottom"/>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040" w:type="dxa"/>
            <w:vAlign w:val="bottom"/>
          </w:tcPr>
          <w:p>
            <w:pPr>
              <w:jc w:val="center"/>
              <w:ind w:left="10"/>
              <w:spacing w:after="0"/>
              <w:rPr>
                <w:sz w:val="20"/>
                <w:szCs w:val="20"/>
                <w:color w:val="auto"/>
              </w:rPr>
            </w:pPr>
            <w:r>
              <w:rPr>
                <w:rFonts w:ascii="Arial" w:cs="Arial" w:eastAsia="Arial" w:hAnsi="Arial"/>
                <w:sz w:val="14"/>
                <w:szCs w:val="14"/>
                <w:color w:val="3F3F3F"/>
              </w:rPr>
              <w:t>50,984</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rPr>
                <w:sz w:val="20"/>
                <w:szCs w:val="20"/>
                <w:color w:val="auto"/>
              </w:rPr>
            </w:pPr>
            <w:r>
              <w:rPr>
                <w:rFonts w:ascii="Arial" w:cs="Arial" w:eastAsia="Arial" w:hAnsi="Arial"/>
                <w:sz w:val="14"/>
                <w:szCs w:val="14"/>
                <w:color w:val="3F3F3F"/>
              </w:rPr>
              <w:t>$107.93</w:t>
            </w:r>
          </w:p>
        </w:tc>
        <w:tc>
          <w:tcPr>
            <w:tcW w:w="840" w:type="dxa"/>
            <w:vAlign w:val="bottom"/>
          </w:tcPr>
          <w:p>
            <w:pPr>
              <w:jc w:val="center"/>
              <w:ind w:left="49"/>
              <w:spacing w:after="0"/>
              <w:rPr>
                <w:sz w:val="20"/>
                <w:szCs w:val="20"/>
                <w:color w:val="auto"/>
              </w:rPr>
            </w:pPr>
            <w:r>
              <w:rPr>
                <w:rFonts w:ascii="Arial" w:cs="Arial" w:eastAsia="Arial" w:hAnsi="Arial"/>
                <w:sz w:val="14"/>
                <w:szCs w:val="14"/>
                <w:color w:val="3F3F3F"/>
              </w:rPr>
              <w:t>2/28/2026</w:t>
            </w:r>
          </w:p>
        </w:tc>
        <w:tc>
          <w:tcPr>
            <w:tcW w:w="280" w:type="dxa"/>
            <w:vAlign w:val="bottom"/>
          </w:tcPr>
          <w:p>
            <w:pPr>
              <w:spacing w:after="0"/>
              <w:rPr>
                <w:sz w:val="14"/>
                <w:szCs w:val="14"/>
                <w:color w:val="auto"/>
              </w:rPr>
            </w:pPr>
          </w:p>
        </w:tc>
        <w:tc>
          <w:tcPr>
            <w:tcW w:w="920" w:type="dxa"/>
            <w:vAlign w:val="bottom"/>
          </w:tcPr>
          <w:p>
            <w:pPr>
              <w:jc w:val="center"/>
              <w:ind w:left="70"/>
              <w:spacing w:after="0"/>
              <w:rPr>
                <w:sz w:val="20"/>
                <w:szCs w:val="20"/>
                <w:color w:val="auto"/>
              </w:rPr>
            </w:pPr>
            <w:r>
              <w:rPr>
                <w:rFonts w:ascii="Arial" w:cs="Arial" w:eastAsia="Arial" w:hAnsi="Arial"/>
                <w:sz w:val="14"/>
                <w:szCs w:val="14"/>
                <w:color w:val="3F3F3F"/>
              </w:rPr>
              <w:t>-</w:t>
            </w:r>
          </w:p>
        </w:tc>
        <w:tc>
          <w:tcPr>
            <w:tcW w:w="88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00" w:type="dxa"/>
            <w:vAlign w:val="bottom"/>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040" w:type="dxa"/>
            <w:vAlign w:val="bottom"/>
          </w:tcPr>
          <w:p>
            <w:pPr>
              <w:jc w:val="center"/>
              <w:ind w:left="10"/>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840" w:type="dxa"/>
            <w:vAlign w:val="bottom"/>
          </w:tcPr>
          <w:p>
            <w:pPr>
              <w:jc w:val="center"/>
              <w:ind w:left="29"/>
              <w:spacing w:after="0"/>
              <w:rPr>
                <w:sz w:val="20"/>
                <w:szCs w:val="20"/>
                <w:color w:val="auto"/>
              </w:rPr>
            </w:pPr>
            <w:r>
              <w:rPr>
                <w:rFonts w:ascii="Arial" w:cs="Arial" w:eastAsia="Arial" w:hAnsi="Arial"/>
                <w:sz w:val="14"/>
                <w:szCs w:val="14"/>
                <w:color w:val="3F3F3F"/>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3F3F3F"/>
              </w:rPr>
              <w:t>7,783 (1)</w:t>
            </w:r>
          </w:p>
        </w:tc>
        <w:tc>
          <w:tcPr>
            <w:tcW w:w="880" w:type="dxa"/>
            <w:vAlign w:val="bottom"/>
          </w:tcPr>
          <w:p>
            <w:pPr>
              <w:jc w:val="center"/>
              <w:spacing w:after="0"/>
              <w:rPr>
                <w:sz w:val="20"/>
                <w:szCs w:val="20"/>
                <w:color w:val="auto"/>
              </w:rPr>
            </w:pPr>
            <w:r>
              <w:rPr>
                <w:rFonts w:ascii="Arial" w:cs="Arial" w:eastAsia="Arial" w:hAnsi="Arial"/>
                <w:sz w:val="14"/>
                <w:szCs w:val="14"/>
                <w:color w:val="3F3F3F"/>
              </w:rPr>
              <w:t>$1,693,892</w:t>
            </w:r>
          </w:p>
        </w:tc>
        <w:tc>
          <w:tcPr>
            <w:tcW w:w="1000" w:type="dxa"/>
            <w:vAlign w:val="bottom"/>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71"/>
        </w:trPr>
        <w:tc>
          <w:tcPr>
            <w:tcW w:w="2340" w:type="dxa"/>
            <w:vAlign w:val="bottom"/>
            <w:tcBorders>
              <w:bottom w:val="single" w:sz="8" w:color="7F7F7F"/>
            </w:tcBorders>
          </w:tcPr>
          <w:p>
            <w:pPr>
              <w:spacing w:after="0"/>
              <w:rPr>
                <w:sz w:val="14"/>
                <w:szCs w:val="14"/>
                <w:color w:val="auto"/>
              </w:rPr>
            </w:pPr>
          </w:p>
        </w:tc>
        <w:tc>
          <w:tcPr>
            <w:tcW w:w="1040" w:type="dxa"/>
            <w:vAlign w:val="bottom"/>
            <w:tcBorders>
              <w:bottom w:val="single" w:sz="8" w:color="7F7F7F"/>
            </w:tcBorders>
          </w:tcPr>
          <w:p>
            <w:pPr>
              <w:jc w:val="center"/>
              <w:ind w:left="10"/>
              <w:spacing w:after="0"/>
              <w:rPr>
                <w:sz w:val="20"/>
                <w:szCs w:val="20"/>
                <w:color w:val="auto"/>
              </w:rPr>
            </w:pPr>
            <w:r>
              <w:rPr>
                <w:rFonts w:ascii="Arial" w:cs="Arial" w:eastAsia="Arial" w:hAnsi="Arial"/>
                <w:sz w:val="14"/>
                <w:szCs w:val="14"/>
                <w:color w:val="3F3F3F"/>
                <w:w w:val="84"/>
              </w:rPr>
              <w:t>-</w:t>
            </w:r>
          </w:p>
        </w:tc>
        <w:tc>
          <w:tcPr>
            <w:tcW w:w="104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23,028 (5)</w:t>
            </w:r>
          </w:p>
        </w:tc>
        <w:tc>
          <w:tcPr>
            <w:tcW w:w="104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$166.73</w:t>
            </w:r>
          </w:p>
        </w:tc>
        <w:tc>
          <w:tcPr>
            <w:tcW w:w="840" w:type="dxa"/>
            <w:vAlign w:val="bottom"/>
            <w:tcBorders>
              <w:bottom w:val="single" w:sz="8" w:color="7F7F7F"/>
            </w:tcBorders>
          </w:tcPr>
          <w:p>
            <w:pPr>
              <w:jc w:val="center"/>
              <w:ind w:left="49"/>
              <w:spacing w:after="0"/>
              <w:rPr>
                <w:sz w:val="20"/>
                <w:szCs w:val="20"/>
                <w:color w:val="auto"/>
              </w:rPr>
            </w:pPr>
            <w:r>
              <w:rPr>
                <w:rFonts w:ascii="Arial" w:cs="Arial" w:eastAsia="Arial" w:hAnsi="Arial"/>
                <w:sz w:val="14"/>
                <w:szCs w:val="14"/>
                <w:color w:val="3F3F3F"/>
              </w:rPr>
              <w:t>10/27/2026</w:t>
            </w:r>
          </w:p>
        </w:tc>
        <w:tc>
          <w:tcPr>
            <w:tcW w:w="280" w:type="dxa"/>
            <w:vAlign w:val="bottom"/>
            <w:tcBorders>
              <w:bottom w:val="single" w:sz="8" w:color="7F7F7F"/>
            </w:tcBorders>
          </w:tcPr>
          <w:p>
            <w:pPr>
              <w:spacing w:after="0"/>
              <w:rPr>
                <w:sz w:val="14"/>
                <w:szCs w:val="14"/>
                <w:color w:val="auto"/>
              </w:rPr>
            </w:pPr>
          </w:p>
        </w:tc>
        <w:tc>
          <w:tcPr>
            <w:tcW w:w="920" w:type="dxa"/>
            <w:vAlign w:val="bottom"/>
            <w:tcBorders>
              <w:bottom w:val="single" w:sz="8" w:color="7F7F7F"/>
            </w:tcBorders>
          </w:tcPr>
          <w:p>
            <w:pPr>
              <w:jc w:val="center"/>
              <w:ind w:left="70"/>
              <w:spacing w:after="0"/>
              <w:rPr>
                <w:sz w:val="20"/>
                <w:szCs w:val="20"/>
                <w:color w:val="auto"/>
              </w:rPr>
            </w:pPr>
            <w:r>
              <w:rPr>
                <w:rFonts w:ascii="Arial" w:cs="Arial" w:eastAsia="Arial" w:hAnsi="Arial"/>
                <w:sz w:val="14"/>
                <w:szCs w:val="14"/>
                <w:color w:val="3F3F3F"/>
              </w:rPr>
              <w:t>-</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w w:val="84"/>
              </w:rPr>
              <w:t>-</w:t>
            </w:r>
          </w:p>
        </w:tc>
        <w:tc>
          <w:tcPr>
            <w:tcW w:w="100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46"/>
        </w:trPr>
        <w:tc>
          <w:tcPr>
            <w:tcW w:w="2340" w:type="dxa"/>
            <w:vAlign w:val="bottom"/>
          </w:tcPr>
          <w:p>
            <w:pPr>
              <w:spacing w:after="0" w:line="147" w:lineRule="exact"/>
              <w:rPr>
                <w:sz w:val="20"/>
                <w:szCs w:val="20"/>
                <w:color w:val="auto"/>
              </w:rPr>
            </w:pPr>
            <w:r>
              <w:rPr>
                <w:rFonts w:ascii="Arial" w:cs="Arial" w:eastAsia="Arial" w:hAnsi="Arial"/>
                <w:sz w:val="14"/>
                <w:szCs w:val="14"/>
                <w:color w:val="006098"/>
              </w:rPr>
              <w:t>Stephen P.</w:t>
            </w:r>
          </w:p>
        </w:tc>
        <w:tc>
          <w:tcPr>
            <w:tcW w:w="1040" w:type="dxa"/>
            <w:vAlign w:val="bottom"/>
          </w:tcPr>
          <w:p>
            <w:pPr>
              <w:jc w:val="center"/>
              <w:ind w:left="10"/>
              <w:spacing w:after="0" w:line="147" w:lineRule="exact"/>
              <w:rPr>
                <w:sz w:val="20"/>
                <w:szCs w:val="20"/>
                <w:color w:val="auto"/>
              </w:rPr>
            </w:pPr>
            <w:r>
              <w:rPr>
                <w:rFonts w:ascii="Arial" w:cs="Arial" w:eastAsia="Arial" w:hAnsi="Arial"/>
                <w:sz w:val="14"/>
                <w:szCs w:val="14"/>
                <w:color w:val="3F3F3F"/>
                <w:w w:val="84"/>
              </w:rPr>
              <w:t>-</w:t>
            </w:r>
          </w:p>
        </w:tc>
        <w:tc>
          <w:tcPr>
            <w:tcW w:w="1040" w:type="dxa"/>
            <w:vAlign w:val="bottom"/>
          </w:tcPr>
          <w:p>
            <w:pPr>
              <w:jc w:val="right"/>
              <w:ind w:right="130"/>
              <w:spacing w:after="0" w:line="147" w:lineRule="exact"/>
              <w:rPr>
                <w:sz w:val="20"/>
                <w:szCs w:val="20"/>
                <w:color w:val="auto"/>
              </w:rPr>
            </w:pPr>
            <w:r>
              <w:rPr>
                <w:rFonts w:ascii="Arial" w:cs="Arial" w:eastAsia="Arial" w:hAnsi="Arial"/>
                <w:sz w:val="14"/>
                <w:szCs w:val="14"/>
                <w:color w:val="3F3F3F"/>
              </w:rPr>
              <w:t>7,500 (6)</w:t>
            </w:r>
          </w:p>
        </w:tc>
        <w:tc>
          <w:tcPr>
            <w:tcW w:w="1040" w:type="dxa"/>
            <w:vAlign w:val="bottom"/>
          </w:tcPr>
          <w:p>
            <w:pPr>
              <w:jc w:val="center"/>
              <w:spacing w:after="0" w:line="147" w:lineRule="exact"/>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line="147" w:lineRule="exact"/>
              <w:rPr>
                <w:sz w:val="20"/>
                <w:szCs w:val="20"/>
                <w:color w:val="auto"/>
              </w:rPr>
            </w:pPr>
            <w:r>
              <w:rPr>
                <w:rFonts w:ascii="Arial" w:cs="Arial" w:eastAsia="Arial" w:hAnsi="Arial"/>
                <w:sz w:val="14"/>
                <w:szCs w:val="14"/>
                <w:color w:val="3F3F3F"/>
              </w:rPr>
              <w:t>$32.05</w:t>
            </w:r>
          </w:p>
        </w:tc>
        <w:tc>
          <w:tcPr>
            <w:tcW w:w="840" w:type="dxa"/>
            <w:vAlign w:val="bottom"/>
          </w:tcPr>
          <w:p>
            <w:pPr>
              <w:jc w:val="center"/>
              <w:ind w:left="49"/>
              <w:spacing w:after="0" w:line="147" w:lineRule="exact"/>
              <w:rPr>
                <w:sz w:val="20"/>
                <w:szCs w:val="20"/>
                <w:color w:val="auto"/>
              </w:rPr>
            </w:pPr>
            <w:r>
              <w:rPr>
                <w:rFonts w:ascii="Arial" w:cs="Arial" w:eastAsia="Arial" w:hAnsi="Arial"/>
                <w:sz w:val="14"/>
                <w:szCs w:val="14"/>
                <w:color w:val="3F3F3F"/>
              </w:rPr>
              <w:t>2/28/2025</w:t>
            </w:r>
          </w:p>
        </w:tc>
        <w:tc>
          <w:tcPr>
            <w:tcW w:w="280" w:type="dxa"/>
            <w:vAlign w:val="bottom"/>
          </w:tcPr>
          <w:p>
            <w:pPr>
              <w:spacing w:after="0"/>
              <w:rPr>
                <w:sz w:val="12"/>
                <w:szCs w:val="12"/>
                <w:color w:val="auto"/>
              </w:rPr>
            </w:pPr>
          </w:p>
        </w:tc>
        <w:tc>
          <w:tcPr>
            <w:tcW w:w="920" w:type="dxa"/>
            <w:vAlign w:val="bottom"/>
          </w:tcPr>
          <w:p>
            <w:pPr>
              <w:jc w:val="center"/>
              <w:ind w:left="70"/>
              <w:spacing w:after="0" w:line="147" w:lineRule="exact"/>
              <w:rPr>
                <w:sz w:val="20"/>
                <w:szCs w:val="20"/>
                <w:color w:val="auto"/>
              </w:rPr>
            </w:pPr>
            <w:r>
              <w:rPr>
                <w:rFonts w:ascii="Arial" w:cs="Arial" w:eastAsia="Arial" w:hAnsi="Arial"/>
                <w:sz w:val="14"/>
                <w:szCs w:val="14"/>
                <w:color w:val="3F3F3F"/>
              </w:rPr>
              <w:t>-</w:t>
            </w:r>
          </w:p>
        </w:tc>
        <w:tc>
          <w:tcPr>
            <w:tcW w:w="880" w:type="dxa"/>
            <w:vAlign w:val="bottom"/>
          </w:tcPr>
          <w:p>
            <w:pPr>
              <w:jc w:val="center"/>
              <w:spacing w:after="0" w:line="147" w:lineRule="exact"/>
              <w:rPr>
                <w:sz w:val="20"/>
                <w:szCs w:val="20"/>
                <w:color w:val="auto"/>
              </w:rPr>
            </w:pPr>
            <w:r>
              <w:rPr>
                <w:rFonts w:ascii="Arial" w:cs="Arial" w:eastAsia="Arial" w:hAnsi="Arial"/>
                <w:sz w:val="14"/>
                <w:szCs w:val="14"/>
                <w:color w:val="3F3F3F"/>
                <w:w w:val="84"/>
              </w:rPr>
              <w:t>-</w:t>
            </w:r>
          </w:p>
        </w:tc>
        <w:tc>
          <w:tcPr>
            <w:tcW w:w="1000" w:type="dxa"/>
            <w:vAlign w:val="bottom"/>
          </w:tcPr>
          <w:p>
            <w:pPr>
              <w:jc w:val="center"/>
              <w:spacing w:after="0" w:line="147" w:lineRule="exact"/>
              <w:rPr>
                <w:sz w:val="20"/>
                <w:szCs w:val="20"/>
                <w:color w:val="auto"/>
              </w:rPr>
            </w:pPr>
            <w:r>
              <w:rPr>
                <w:rFonts w:ascii="Arial" w:cs="Arial" w:eastAsia="Arial" w:hAnsi="Arial"/>
                <w:sz w:val="14"/>
                <w:szCs w:val="14"/>
                <w:color w:val="3F3F3F"/>
              </w:rPr>
              <w:t>-</w:t>
            </w:r>
          </w:p>
        </w:tc>
        <w:tc>
          <w:tcPr>
            <w:tcW w:w="920" w:type="dxa"/>
            <w:vAlign w:val="bottom"/>
          </w:tcPr>
          <w:p>
            <w:pPr>
              <w:jc w:val="center"/>
              <w:spacing w:after="0" w:line="147" w:lineRule="exact"/>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20"/>
                <w:szCs w:val="20"/>
                <w:color w:val="auto"/>
              </w:rPr>
            </w:pPr>
            <w:r>
              <w:rPr>
                <w:rFonts w:ascii="Arial" w:cs="Arial" w:eastAsia="Arial" w:hAnsi="Arial"/>
                <w:sz w:val="14"/>
                <w:szCs w:val="14"/>
                <w:color w:val="006098"/>
              </w:rPr>
              <w:t>Ewald</w:t>
            </w:r>
          </w:p>
        </w:tc>
        <w:tc>
          <w:tcPr>
            <w:tcW w:w="1040" w:type="dxa"/>
            <w:vAlign w:val="bottom"/>
          </w:tcPr>
          <w:p>
            <w:pPr>
              <w:jc w:val="center"/>
              <w:ind w:left="10"/>
              <w:spacing w:after="0"/>
              <w:rPr>
                <w:sz w:val="20"/>
                <w:szCs w:val="20"/>
                <w:color w:val="auto"/>
              </w:rPr>
            </w:pPr>
            <w:r>
              <w:rPr>
                <w:rFonts w:ascii="Arial" w:cs="Arial" w:eastAsia="Arial" w:hAnsi="Arial"/>
                <w:sz w:val="14"/>
                <w:szCs w:val="14"/>
                <w:color w:val="3F3F3F"/>
              </w:rPr>
              <w:t>21,850</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rPr>
                <w:sz w:val="20"/>
                <w:szCs w:val="20"/>
                <w:color w:val="auto"/>
              </w:rPr>
            </w:pPr>
            <w:r>
              <w:rPr>
                <w:rFonts w:ascii="Arial" w:cs="Arial" w:eastAsia="Arial" w:hAnsi="Arial"/>
                <w:sz w:val="14"/>
                <w:szCs w:val="14"/>
                <w:color w:val="3F3F3F"/>
              </w:rPr>
              <w:t>$107.93</w:t>
            </w:r>
          </w:p>
        </w:tc>
        <w:tc>
          <w:tcPr>
            <w:tcW w:w="840" w:type="dxa"/>
            <w:vAlign w:val="bottom"/>
          </w:tcPr>
          <w:p>
            <w:pPr>
              <w:jc w:val="center"/>
              <w:ind w:left="49"/>
              <w:spacing w:after="0"/>
              <w:rPr>
                <w:sz w:val="20"/>
                <w:szCs w:val="20"/>
                <w:color w:val="auto"/>
              </w:rPr>
            </w:pPr>
            <w:r>
              <w:rPr>
                <w:rFonts w:ascii="Arial" w:cs="Arial" w:eastAsia="Arial" w:hAnsi="Arial"/>
                <w:sz w:val="14"/>
                <w:szCs w:val="14"/>
                <w:color w:val="3F3F3F"/>
              </w:rPr>
              <w:t>2/28/2026</w:t>
            </w:r>
          </w:p>
        </w:tc>
        <w:tc>
          <w:tcPr>
            <w:tcW w:w="280" w:type="dxa"/>
            <w:vAlign w:val="bottom"/>
          </w:tcPr>
          <w:p>
            <w:pPr>
              <w:spacing w:after="0"/>
              <w:rPr>
                <w:sz w:val="14"/>
                <w:szCs w:val="14"/>
                <w:color w:val="auto"/>
              </w:rPr>
            </w:pPr>
          </w:p>
        </w:tc>
        <w:tc>
          <w:tcPr>
            <w:tcW w:w="920" w:type="dxa"/>
            <w:vAlign w:val="bottom"/>
          </w:tcPr>
          <w:p>
            <w:pPr>
              <w:jc w:val="center"/>
              <w:ind w:left="70"/>
              <w:spacing w:after="0"/>
              <w:rPr>
                <w:sz w:val="20"/>
                <w:szCs w:val="20"/>
                <w:color w:val="auto"/>
              </w:rPr>
            </w:pPr>
            <w:r>
              <w:rPr>
                <w:rFonts w:ascii="Arial" w:cs="Arial" w:eastAsia="Arial" w:hAnsi="Arial"/>
                <w:sz w:val="14"/>
                <w:szCs w:val="14"/>
                <w:color w:val="3F3F3F"/>
              </w:rPr>
              <w:t>-</w:t>
            </w:r>
          </w:p>
        </w:tc>
        <w:tc>
          <w:tcPr>
            <w:tcW w:w="88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00" w:type="dxa"/>
            <w:vAlign w:val="bottom"/>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1040" w:type="dxa"/>
            <w:vAlign w:val="bottom"/>
          </w:tcPr>
          <w:p>
            <w:pPr>
              <w:jc w:val="center"/>
              <w:ind w:left="10"/>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104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Pr>
          <w:p>
            <w:pPr>
              <w:jc w:val="center"/>
              <w:spacing w:after="0"/>
              <w:rPr>
                <w:sz w:val="20"/>
                <w:szCs w:val="20"/>
                <w:color w:val="auto"/>
              </w:rPr>
            </w:pPr>
            <w:r>
              <w:rPr>
                <w:rFonts w:ascii="Arial" w:cs="Arial" w:eastAsia="Arial" w:hAnsi="Arial"/>
                <w:sz w:val="14"/>
                <w:szCs w:val="14"/>
                <w:color w:val="3F3F3F"/>
                <w:w w:val="84"/>
              </w:rPr>
              <w:t>-</w:t>
            </w:r>
          </w:p>
        </w:tc>
        <w:tc>
          <w:tcPr>
            <w:tcW w:w="840" w:type="dxa"/>
            <w:vAlign w:val="bottom"/>
          </w:tcPr>
          <w:p>
            <w:pPr>
              <w:jc w:val="center"/>
              <w:ind w:left="29"/>
              <w:spacing w:after="0"/>
              <w:rPr>
                <w:sz w:val="20"/>
                <w:szCs w:val="20"/>
                <w:color w:val="auto"/>
              </w:rPr>
            </w:pPr>
            <w:r>
              <w:rPr>
                <w:rFonts w:ascii="Arial" w:cs="Arial" w:eastAsia="Arial" w:hAnsi="Arial"/>
                <w:sz w:val="14"/>
                <w:szCs w:val="14"/>
                <w:color w:val="3F3F3F"/>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3F3F3F"/>
              </w:rPr>
              <w:t>3,336 (7)</w:t>
            </w:r>
          </w:p>
        </w:tc>
        <w:tc>
          <w:tcPr>
            <w:tcW w:w="880" w:type="dxa"/>
            <w:vAlign w:val="bottom"/>
          </w:tcPr>
          <w:p>
            <w:pPr>
              <w:jc w:val="right"/>
              <w:ind w:right="50"/>
              <w:spacing w:after="0"/>
              <w:rPr>
                <w:sz w:val="20"/>
                <w:szCs w:val="20"/>
                <w:color w:val="auto"/>
              </w:rPr>
            </w:pPr>
            <w:r>
              <w:rPr>
                <w:rFonts w:ascii="Arial" w:cs="Arial" w:eastAsia="Arial" w:hAnsi="Arial"/>
                <w:sz w:val="14"/>
                <w:szCs w:val="14"/>
                <w:color w:val="3F3F3F"/>
              </w:rPr>
              <w:t>$726,047</w:t>
            </w:r>
          </w:p>
        </w:tc>
        <w:tc>
          <w:tcPr>
            <w:tcW w:w="1000" w:type="dxa"/>
            <w:vAlign w:val="bottom"/>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r>
        <w:trPr>
          <w:trHeight w:val="171"/>
        </w:trPr>
        <w:tc>
          <w:tcPr>
            <w:tcW w:w="2340" w:type="dxa"/>
            <w:vAlign w:val="bottom"/>
            <w:tcBorders>
              <w:bottom w:val="single" w:sz="8" w:color="7F7F7F"/>
            </w:tcBorders>
          </w:tcPr>
          <w:p>
            <w:pPr>
              <w:spacing w:after="0"/>
              <w:rPr>
                <w:sz w:val="14"/>
                <w:szCs w:val="14"/>
                <w:color w:val="auto"/>
              </w:rPr>
            </w:pPr>
          </w:p>
        </w:tc>
        <w:tc>
          <w:tcPr>
            <w:tcW w:w="1040" w:type="dxa"/>
            <w:vAlign w:val="bottom"/>
            <w:tcBorders>
              <w:bottom w:val="single" w:sz="8" w:color="7F7F7F"/>
            </w:tcBorders>
          </w:tcPr>
          <w:p>
            <w:pPr>
              <w:jc w:val="center"/>
              <w:ind w:left="10"/>
              <w:spacing w:after="0"/>
              <w:rPr>
                <w:sz w:val="20"/>
                <w:szCs w:val="20"/>
                <w:color w:val="auto"/>
              </w:rPr>
            </w:pPr>
            <w:r>
              <w:rPr>
                <w:rFonts w:ascii="Arial" w:cs="Arial" w:eastAsia="Arial" w:hAnsi="Arial"/>
                <w:sz w:val="14"/>
                <w:szCs w:val="14"/>
                <w:color w:val="3F3F3F"/>
                <w:w w:val="84"/>
              </w:rPr>
              <w:t>-</w:t>
            </w:r>
          </w:p>
        </w:tc>
        <w:tc>
          <w:tcPr>
            <w:tcW w:w="104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18,230 (5)</w:t>
            </w:r>
          </w:p>
        </w:tc>
        <w:tc>
          <w:tcPr>
            <w:tcW w:w="104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w w:val="84"/>
              </w:rPr>
              <w:t>-</w:t>
            </w:r>
          </w:p>
        </w:tc>
        <w:tc>
          <w:tcPr>
            <w:tcW w:w="72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$166.73</w:t>
            </w:r>
          </w:p>
        </w:tc>
        <w:tc>
          <w:tcPr>
            <w:tcW w:w="840" w:type="dxa"/>
            <w:vAlign w:val="bottom"/>
            <w:tcBorders>
              <w:bottom w:val="single" w:sz="8" w:color="7F7F7F"/>
            </w:tcBorders>
          </w:tcPr>
          <w:p>
            <w:pPr>
              <w:jc w:val="center"/>
              <w:ind w:left="49"/>
              <w:spacing w:after="0"/>
              <w:rPr>
                <w:sz w:val="20"/>
                <w:szCs w:val="20"/>
                <w:color w:val="auto"/>
              </w:rPr>
            </w:pPr>
            <w:r>
              <w:rPr>
                <w:rFonts w:ascii="Arial" w:cs="Arial" w:eastAsia="Arial" w:hAnsi="Arial"/>
                <w:sz w:val="14"/>
                <w:szCs w:val="14"/>
                <w:color w:val="3F3F3F"/>
              </w:rPr>
              <w:t>10/27/2026</w:t>
            </w:r>
          </w:p>
        </w:tc>
        <w:tc>
          <w:tcPr>
            <w:tcW w:w="280" w:type="dxa"/>
            <w:vAlign w:val="bottom"/>
            <w:tcBorders>
              <w:bottom w:val="single" w:sz="8" w:color="7F7F7F"/>
            </w:tcBorders>
          </w:tcPr>
          <w:p>
            <w:pPr>
              <w:spacing w:after="0"/>
              <w:rPr>
                <w:sz w:val="14"/>
                <w:szCs w:val="14"/>
                <w:color w:val="auto"/>
              </w:rPr>
            </w:pPr>
          </w:p>
        </w:tc>
        <w:tc>
          <w:tcPr>
            <w:tcW w:w="920" w:type="dxa"/>
            <w:vAlign w:val="bottom"/>
            <w:tcBorders>
              <w:bottom w:val="single" w:sz="8" w:color="7F7F7F"/>
            </w:tcBorders>
          </w:tcPr>
          <w:p>
            <w:pPr>
              <w:jc w:val="center"/>
              <w:ind w:left="70"/>
              <w:spacing w:after="0"/>
              <w:rPr>
                <w:sz w:val="20"/>
                <w:szCs w:val="20"/>
                <w:color w:val="auto"/>
              </w:rPr>
            </w:pPr>
            <w:r>
              <w:rPr>
                <w:rFonts w:ascii="Arial" w:cs="Arial" w:eastAsia="Arial" w:hAnsi="Arial"/>
                <w:sz w:val="14"/>
                <w:szCs w:val="14"/>
                <w:color w:val="3F3F3F"/>
              </w:rPr>
              <w:t>-</w:t>
            </w:r>
          </w:p>
        </w:tc>
        <w:tc>
          <w:tcPr>
            <w:tcW w:w="88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w w:val="84"/>
              </w:rPr>
              <w:t>-</w:t>
            </w:r>
          </w:p>
        </w:tc>
        <w:tc>
          <w:tcPr>
            <w:tcW w:w="100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w:t>
            </w:r>
          </w:p>
        </w:tc>
        <w:tc>
          <w:tcPr>
            <w:tcW w:w="920" w:type="dxa"/>
            <w:vAlign w:val="bottom"/>
            <w:tcBorders>
              <w:bottom w:val="single" w:sz="8" w:color="7F7F7F"/>
            </w:tcBorders>
          </w:tcPr>
          <w:p>
            <w:pPr>
              <w:jc w:val="center"/>
              <w:spacing w:after="0"/>
              <w:rPr>
                <w:sz w:val="20"/>
                <w:szCs w:val="20"/>
                <w:color w:val="auto"/>
              </w:rPr>
            </w:pPr>
            <w:r>
              <w:rPr>
                <w:rFonts w:ascii="Arial" w:cs="Arial" w:eastAsia="Arial" w:hAnsi="Arial"/>
                <w:sz w:val="14"/>
                <w:szCs w:val="14"/>
                <w:color w:val="3F3F3F"/>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60" w:hanging="544"/>
        <w:spacing w:after="0"/>
        <w:tabs>
          <w:tab w:leader="none" w:pos="660" w:val="left"/>
        </w:tabs>
        <w:numPr>
          <w:ilvl w:val="0"/>
          <w:numId w:val="22"/>
        </w:numPr>
        <w:rPr>
          <w:rFonts w:ascii="Arial" w:cs="Arial" w:eastAsia="Arial" w:hAnsi="Arial"/>
          <w:sz w:val="18"/>
          <w:szCs w:val="18"/>
          <w:color w:val="3F3F3F"/>
        </w:rPr>
      </w:pPr>
      <w:r>
        <w:rPr>
          <w:rFonts w:ascii="Arial" w:cs="Arial" w:eastAsia="Arial" w:hAnsi="Arial"/>
          <w:sz w:val="18"/>
          <w:szCs w:val="18"/>
          <w:color w:val="3F3F3F"/>
        </w:rPr>
        <w:t>These shares of restricted stock fully vest on February 28, 2024.</w:t>
      </w:r>
    </w:p>
    <w:p>
      <w:pPr>
        <w:spacing w:after="0" w:line="117" w:lineRule="exact"/>
        <w:rPr>
          <w:rFonts w:ascii="Arial" w:cs="Arial" w:eastAsia="Arial" w:hAnsi="Arial"/>
          <w:sz w:val="18"/>
          <w:szCs w:val="18"/>
          <w:color w:val="3F3F3F"/>
        </w:rPr>
      </w:pPr>
    </w:p>
    <w:p>
      <w:pPr>
        <w:ind w:left="660" w:hanging="544"/>
        <w:spacing w:after="0"/>
        <w:tabs>
          <w:tab w:leader="none" w:pos="660" w:val="left"/>
        </w:tabs>
        <w:numPr>
          <w:ilvl w:val="0"/>
          <w:numId w:val="22"/>
        </w:numPr>
        <w:rPr>
          <w:rFonts w:ascii="Arial" w:cs="Arial" w:eastAsia="Arial" w:hAnsi="Arial"/>
          <w:sz w:val="18"/>
          <w:szCs w:val="18"/>
          <w:color w:val="3F3F3F"/>
        </w:rPr>
      </w:pPr>
      <w:r>
        <w:rPr>
          <w:rFonts w:ascii="Arial" w:cs="Arial" w:eastAsia="Arial" w:hAnsi="Arial"/>
          <w:sz w:val="18"/>
          <w:szCs w:val="18"/>
          <w:color w:val="3F3F3F"/>
        </w:rPr>
        <w:t>This award fully vests on April 27, 2023.</w:t>
      </w:r>
    </w:p>
    <w:p>
      <w:pPr>
        <w:spacing w:after="0" w:line="117" w:lineRule="exact"/>
        <w:rPr>
          <w:rFonts w:ascii="Arial" w:cs="Arial" w:eastAsia="Arial" w:hAnsi="Arial"/>
          <w:sz w:val="18"/>
          <w:szCs w:val="18"/>
          <w:color w:val="3F3F3F"/>
        </w:rPr>
      </w:pPr>
    </w:p>
    <w:p>
      <w:pPr>
        <w:ind w:left="660" w:hanging="544"/>
        <w:spacing w:after="0"/>
        <w:tabs>
          <w:tab w:leader="none" w:pos="660" w:val="left"/>
        </w:tabs>
        <w:numPr>
          <w:ilvl w:val="0"/>
          <w:numId w:val="22"/>
        </w:numPr>
        <w:rPr>
          <w:rFonts w:ascii="Arial" w:cs="Arial" w:eastAsia="Arial" w:hAnsi="Arial"/>
          <w:sz w:val="18"/>
          <w:szCs w:val="18"/>
          <w:color w:val="3F3F3F"/>
        </w:rPr>
      </w:pPr>
      <w:r>
        <w:rPr>
          <w:rFonts w:ascii="Arial" w:cs="Arial" w:eastAsia="Arial" w:hAnsi="Arial"/>
          <w:sz w:val="18"/>
          <w:szCs w:val="18"/>
          <w:color w:val="3F3F3F"/>
        </w:rPr>
        <w:t>This award fully vests on November 12, 2022.</w:t>
      </w:r>
    </w:p>
    <w:p>
      <w:pPr>
        <w:spacing w:after="0" w:line="117" w:lineRule="exact"/>
        <w:rPr>
          <w:rFonts w:ascii="Arial" w:cs="Arial" w:eastAsia="Arial" w:hAnsi="Arial"/>
          <w:sz w:val="18"/>
          <w:szCs w:val="18"/>
          <w:color w:val="3F3F3F"/>
        </w:rPr>
      </w:pPr>
    </w:p>
    <w:p>
      <w:pPr>
        <w:ind w:left="660" w:hanging="544"/>
        <w:spacing w:after="0"/>
        <w:tabs>
          <w:tab w:leader="none" w:pos="660" w:val="left"/>
        </w:tabs>
        <w:numPr>
          <w:ilvl w:val="0"/>
          <w:numId w:val="22"/>
        </w:numPr>
        <w:rPr>
          <w:rFonts w:ascii="Arial" w:cs="Arial" w:eastAsia="Arial" w:hAnsi="Arial"/>
          <w:sz w:val="18"/>
          <w:szCs w:val="18"/>
          <w:color w:val="3F3F3F"/>
        </w:rPr>
      </w:pPr>
      <w:r>
        <w:rPr>
          <w:rFonts w:ascii="Arial" w:cs="Arial" w:eastAsia="Arial" w:hAnsi="Arial"/>
          <w:sz w:val="18"/>
          <w:szCs w:val="18"/>
          <w:color w:val="3F3F3F"/>
        </w:rPr>
        <w:t>These restricted stock units fully vest on November 12, 2022.</w:t>
      </w:r>
    </w:p>
    <w:p>
      <w:pPr>
        <w:spacing w:after="0" w:line="117" w:lineRule="exact"/>
        <w:rPr>
          <w:rFonts w:ascii="Arial" w:cs="Arial" w:eastAsia="Arial" w:hAnsi="Arial"/>
          <w:sz w:val="18"/>
          <w:szCs w:val="18"/>
          <w:color w:val="3F3F3F"/>
        </w:rPr>
      </w:pPr>
    </w:p>
    <w:p>
      <w:pPr>
        <w:ind w:left="660" w:hanging="544"/>
        <w:spacing w:after="0"/>
        <w:tabs>
          <w:tab w:leader="none" w:pos="660" w:val="left"/>
        </w:tabs>
        <w:numPr>
          <w:ilvl w:val="0"/>
          <w:numId w:val="22"/>
        </w:numPr>
        <w:rPr>
          <w:rFonts w:ascii="Arial" w:cs="Arial" w:eastAsia="Arial" w:hAnsi="Arial"/>
          <w:sz w:val="18"/>
          <w:szCs w:val="18"/>
          <w:color w:val="3F3F3F"/>
        </w:rPr>
      </w:pPr>
      <w:r>
        <w:rPr>
          <w:rFonts w:ascii="Arial" w:cs="Arial" w:eastAsia="Arial" w:hAnsi="Arial"/>
          <w:sz w:val="18"/>
          <w:szCs w:val="18"/>
          <w:color w:val="3F3F3F"/>
        </w:rPr>
        <w:t>These awards fully vest on October 27, 2025.</w:t>
      </w:r>
    </w:p>
    <w:p>
      <w:pPr>
        <w:spacing w:after="0" w:line="117" w:lineRule="exact"/>
        <w:rPr>
          <w:rFonts w:ascii="Arial" w:cs="Arial" w:eastAsia="Arial" w:hAnsi="Arial"/>
          <w:sz w:val="18"/>
          <w:szCs w:val="18"/>
          <w:color w:val="3F3F3F"/>
        </w:rPr>
      </w:pPr>
    </w:p>
    <w:p>
      <w:pPr>
        <w:ind w:left="660" w:hanging="544"/>
        <w:spacing w:after="0"/>
        <w:tabs>
          <w:tab w:leader="none" w:pos="660" w:val="left"/>
        </w:tabs>
        <w:numPr>
          <w:ilvl w:val="0"/>
          <w:numId w:val="22"/>
        </w:numPr>
        <w:rPr>
          <w:rFonts w:ascii="Arial" w:cs="Arial" w:eastAsia="Arial" w:hAnsi="Arial"/>
          <w:sz w:val="18"/>
          <w:szCs w:val="18"/>
          <w:color w:val="3F3F3F"/>
        </w:rPr>
      </w:pPr>
      <w:r>
        <w:rPr>
          <w:rFonts w:ascii="Arial" w:cs="Arial" w:eastAsia="Arial" w:hAnsi="Arial"/>
          <w:sz w:val="18"/>
          <w:szCs w:val="18"/>
          <w:color w:val="3F3F3F"/>
        </w:rPr>
        <w:t>These awards fully vested on February 28, 2022.</w:t>
      </w:r>
    </w:p>
    <w:p>
      <w:pPr>
        <w:spacing w:after="0" w:line="117" w:lineRule="exact"/>
        <w:rPr>
          <w:rFonts w:ascii="Arial" w:cs="Arial" w:eastAsia="Arial" w:hAnsi="Arial"/>
          <w:sz w:val="18"/>
          <w:szCs w:val="18"/>
          <w:color w:val="3F3F3F"/>
        </w:rPr>
      </w:pPr>
    </w:p>
    <w:p>
      <w:pPr>
        <w:ind w:left="660" w:hanging="544"/>
        <w:spacing w:after="0"/>
        <w:tabs>
          <w:tab w:leader="none" w:pos="660" w:val="left"/>
        </w:tabs>
        <w:numPr>
          <w:ilvl w:val="0"/>
          <w:numId w:val="22"/>
        </w:numPr>
        <w:rPr>
          <w:rFonts w:ascii="Arial" w:cs="Arial" w:eastAsia="Arial" w:hAnsi="Arial"/>
          <w:sz w:val="18"/>
          <w:szCs w:val="18"/>
          <w:color w:val="3F3F3F"/>
        </w:rPr>
      </w:pPr>
      <w:r>
        <w:rPr>
          <w:rFonts w:ascii="Arial" w:cs="Arial" w:eastAsia="Arial" w:hAnsi="Arial"/>
          <w:sz w:val="18"/>
          <w:szCs w:val="18"/>
          <w:color w:val="3F3F3F"/>
        </w:rPr>
        <w:t>These restricted stock units fully vest on February 28, 2024.</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F3F3F"/>
        </w:rPr>
        <w:t>40</w:t>
      </w:r>
    </w:p>
    <w:p>
      <w:pPr>
        <w:sectPr>
          <w:pgSz w:w="11900" w:h="16838" w:orient="portrait"/>
          <w:cols w:equalWidth="0" w:num="1">
            <w:col w:w="11140"/>
          </w:cols>
          <w:pgMar w:left="320" w:top="455"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EXECUTIVE COMPENSATION</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Option Exercises and Stock Vested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following table summarizes option exercises and stock vested with respect to each of the NEOs during the fiscal year ended</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December 31, 2021:</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2760" w:type="dxa"/>
            <w:vAlign w:val="bottom"/>
          </w:tcPr>
          <w:p>
            <w:pPr>
              <w:spacing w:after="0"/>
              <w:rPr>
                <w:sz w:val="15"/>
                <w:szCs w:val="15"/>
                <w:color w:val="auto"/>
              </w:rPr>
            </w:pPr>
          </w:p>
        </w:tc>
        <w:tc>
          <w:tcPr>
            <w:tcW w:w="3900" w:type="dxa"/>
            <w:vAlign w:val="bottom"/>
            <w:tcBorders>
              <w:bottom w:val="single" w:sz="8" w:color="83BA90"/>
            </w:tcBorders>
            <w:gridSpan w:val="2"/>
          </w:tcPr>
          <w:p>
            <w:pPr>
              <w:ind w:left="1720"/>
              <w:spacing w:after="0"/>
              <w:rPr>
                <w:sz w:val="20"/>
                <w:szCs w:val="20"/>
                <w:color w:val="auto"/>
              </w:rPr>
            </w:pPr>
            <w:r>
              <w:rPr>
                <w:rFonts w:ascii="Arial" w:cs="Arial" w:eastAsia="Arial" w:hAnsi="Arial"/>
                <w:sz w:val="15"/>
                <w:szCs w:val="15"/>
                <w:b w:val="1"/>
                <w:bCs w:val="1"/>
                <w:color w:val="006098"/>
              </w:rPr>
              <w:t>Option Awards</w:t>
            </w:r>
          </w:p>
        </w:tc>
        <w:tc>
          <w:tcPr>
            <w:tcW w:w="660" w:type="dxa"/>
            <w:vAlign w:val="bottom"/>
          </w:tcPr>
          <w:p>
            <w:pPr>
              <w:spacing w:after="0"/>
              <w:rPr>
                <w:sz w:val="15"/>
                <w:szCs w:val="15"/>
                <w:color w:val="auto"/>
              </w:rPr>
            </w:pPr>
          </w:p>
        </w:tc>
        <w:tc>
          <w:tcPr>
            <w:tcW w:w="3700" w:type="dxa"/>
            <w:vAlign w:val="bottom"/>
            <w:tcBorders>
              <w:bottom w:val="single" w:sz="8" w:color="83BA90"/>
            </w:tcBorders>
            <w:gridSpan w:val="2"/>
          </w:tcPr>
          <w:p>
            <w:pPr>
              <w:ind w:left="1660"/>
              <w:spacing w:after="0"/>
              <w:rPr>
                <w:sz w:val="20"/>
                <w:szCs w:val="20"/>
                <w:color w:val="auto"/>
              </w:rPr>
            </w:pPr>
            <w:r>
              <w:rPr>
                <w:rFonts w:ascii="Arial" w:cs="Arial" w:eastAsia="Arial" w:hAnsi="Arial"/>
                <w:sz w:val="15"/>
                <w:szCs w:val="15"/>
                <w:b w:val="1"/>
                <w:bCs w:val="1"/>
                <w:color w:val="006098"/>
              </w:rPr>
              <w:t>Stock Awards</w:t>
            </w:r>
          </w:p>
        </w:tc>
        <w:tc>
          <w:tcPr>
            <w:tcW w:w="0" w:type="dxa"/>
            <w:vAlign w:val="bottom"/>
          </w:tcPr>
          <w:p>
            <w:pPr>
              <w:spacing w:after="0"/>
              <w:rPr>
                <w:sz w:val="1"/>
                <w:szCs w:val="1"/>
                <w:color w:val="auto"/>
              </w:rPr>
            </w:pPr>
          </w:p>
        </w:tc>
      </w:tr>
      <w:tr>
        <w:trPr>
          <w:trHeight w:val="136"/>
        </w:trPr>
        <w:tc>
          <w:tcPr>
            <w:tcW w:w="2760" w:type="dxa"/>
            <w:vAlign w:val="bottom"/>
          </w:tcPr>
          <w:p>
            <w:pPr>
              <w:spacing w:after="0"/>
              <w:rPr>
                <w:sz w:val="11"/>
                <w:szCs w:val="11"/>
                <w:color w:val="auto"/>
              </w:rPr>
            </w:pPr>
          </w:p>
        </w:tc>
        <w:tc>
          <w:tcPr>
            <w:tcW w:w="2280" w:type="dxa"/>
            <w:vAlign w:val="bottom"/>
          </w:tcPr>
          <w:p>
            <w:pPr>
              <w:jc w:val="center"/>
              <w:ind w:left="281"/>
              <w:spacing w:after="0" w:line="136" w:lineRule="exact"/>
              <w:rPr>
                <w:sz w:val="20"/>
                <w:szCs w:val="20"/>
                <w:color w:val="auto"/>
              </w:rPr>
            </w:pPr>
            <w:r>
              <w:rPr>
                <w:rFonts w:ascii="Arial" w:cs="Arial" w:eastAsia="Arial" w:hAnsi="Arial"/>
                <w:sz w:val="15"/>
                <w:szCs w:val="15"/>
                <w:b w:val="1"/>
                <w:bCs w:val="1"/>
                <w:color w:val="006098"/>
              </w:rPr>
              <w:t>Number of Shares</w:t>
            </w:r>
          </w:p>
        </w:tc>
        <w:tc>
          <w:tcPr>
            <w:tcW w:w="2280" w:type="dxa"/>
            <w:vAlign w:val="bottom"/>
            <w:gridSpan w:val="2"/>
            <w:vMerge w:val="restart"/>
          </w:tcPr>
          <w:p>
            <w:pPr>
              <w:jc w:val="center"/>
              <w:ind w:right="360"/>
              <w:spacing w:after="0"/>
              <w:rPr>
                <w:sz w:val="20"/>
                <w:szCs w:val="20"/>
                <w:color w:val="auto"/>
              </w:rPr>
            </w:pPr>
            <w:r>
              <w:rPr>
                <w:rFonts w:ascii="Arial" w:cs="Arial" w:eastAsia="Arial" w:hAnsi="Arial"/>
                <w:sz w:val="15"/>
                <w:szCs w:val="15"/>
                <w:b w:val="1"/>
                <w:bCs w:val="1"/>
                <w:color w:val="006098"/>
              </w:rPr>
              <w:t>Value Realized on</w:t>
            </w:r>
          </w:p>
        </w:tc>
        <w:tc>
          <w:tcPr>
            <w:tcW w:w="2300" w:type="dxa"/>
            <w:vAlign w:val="bottom"/>
          </w:tcPr>
          <w:p>
            <w:pPr>
              <w:jc w:val="center"/>
              <w:ind w:left="261"/>
              <w:spacing w:after="0" w:line="136" w:lineRule="exact"/>
              <w:rPr>
                <w:sz w:val="20"/>
                <w:szCs w:val="20"/>
                <w:color w:val="auto"/>
              </w:rPr>
            </w:pPr>
            <w:r>
              <w:rPr>
                <w:rFonts w:ascii="Arial" w:cs="Arial" w:eastAsia="Arial" w:hAnsi="Arial"/>
                <w:sz w:val="15"/>
                <w:szCs w:val="15"/>
                <w:b w:val="1"/>
                <w:bCs w:val="1"/>
                <w:color w:val="006098"/>
              </w:rPr>
              <w:t>Number of Shares</w:t>
            </w:r>
          </w:p>
        </w:tc>
        <w:tc>
          <w:tcPr>
            <w:tcW w:w="1400" w:type="dxa"/>
            <w:vAlign w:val="bottom"/>
          </w:tcPr>
          <w:p>
            <w:pPr>
              <w:jc w:val="center"/>
              <w:ind w:left="241"/>
              <w:spacing w:after="0" w:line="136" w:lineRule="exact"/>
              <w:rPr>
                <w:sz w:val="20"/>
                <w:szCs w:val="20"/>
                <w:color w:val="auto"/>
              </w:rPr>
            </w:pPr>
            <w:r>
              <w:rPr>
                <w:rFonts w:ascii="Arial" w:cs="Arial" w:eastAsia="Arial" w:hAnsi="Arial"/>
                <w:sz w:val="15"/>
                <w:szCs w:val="15"/>
                <w:b w:val="1"/>
                <w:bCs w:val="1"/>
                <w:color w:val="006098"/>
              </w:rPr>
              <w:t>Value Realized</w:t>
            </w:r>
          </w:p>
        </w:tc>
        <w:tc>
          <w:tcPr>
            <w:tcW w:w="0" w:type="dxa"/>
            <w:vAlign w:val="bottom"/>
          </w:tcPr>
          <w:p>
            <w:pPr>
              <w:spacing w:after="0"/>
              <w:rPr>
                <w:sz w:val="1"/>
                <w:szCs w:val="1"/>
                <w:color w:val="auto"/>
              </w:rPr>
            </w:pPr>
          </w:p>
        </w:tc>
      </w:tr>
      <w:tr>
        <w:trPr>
          <w:trHeight w:val="162"/>
        </w:trPr>
        <w:tc>
          <w:tcPr>
            <w:tcW w:w="2760" w:type="dxa"/>
            <w:vAlign w:val="bottom"/>
            <w:vMerge w:val="restart"/>
          </w:tcPr>
          <w:p>
            <w:pPr>
              <w:spacing w:after="0"/>
              <w:rPr>
                <w:sz w:val="20"/>
                <w:szCs w:val="20"/>
                <w:color w:val="auto"/>
              </w:rPr>
            </w:pPr>
            <w:r>
              <w:rPr>
                <w:rFonts w:ascii="Arial" w:cs="Arial" w:eastAsia="Arial" w:hAnsi="Arial"/>
                <w:sz w:val="15"/>
                <w:szCs w:val="15"/>
                <w:b w:val="1"/>
                <w:bCs w:val="1"/>
                <w:color w:val="006098"/>
              </w:rPr>
              <w:t>Name</w:t>
            </w:r>
          </w:p>
        </w:tc>
        <w:tc>
          <w:tcPr>
            <w:tcW w:w="2280" w:type="dxa"/>
            <w:vAlign w:val="bottom"/>
          </w:tcPr>
          <w:p>
            <w:pPr>
              <w:jc w:val="center"/>
              <w:ind w:left="261"/>
              <w:spacing w:after="0" w:line="162" w:lineRule="exact"/>
              <w:rPr>
                <w:sz w:val="20"/>
                <w:szCs w:val="20"/>
                <w:color w:val="auto"/>
              </w:rPr>
            </w:pPr>
            <w:r>
              <w:rPr>
                <w:rFonts w:ascii="Arial" w:cs="Arial" w:eastAsia="Arial" w:hAnsi="Arial"/>
                <w:sz w:val="15"/>
                <w:szCs w:val="15"/>
                <w:b w:val="1"/>
                <w:bCs w:val="1"/>
                <w:color w:val="006098"/>
              </w:rPr>
              <w:t>Acquired on</w:t>
            </w:r>
          </w:p>
        </w:tc>
        <w:tc>
          <w:tcPr>
            <w:tcW w:w="2280" w:type="dxa"/>
            <w:vAlign w:val="bottom"/>
            <w:gridSpan w:val="2"/>
            <w:vMerge w:val="continue"/>
          </w:tcPr>
          <w:p>
            <w:pPr>
              <w:spacing w:after="0"/>
              <w:rPr>
                <w:sz w:val="14"/>
                <w:szCs w:val="14"/>
                <w:color w:val="auto"/>
              </w:rPr>
            </w:pPr>
          </w:p>
        </w:tc>
        <w:tc>
          <w:tcPr>
            <w:tcW w:w="2300" w:type="dxa"/>
            <w:vAlign w:val="bottom"/>
          </w:tcPr>
          <w:p>
            <w:pPr>
              <w:jc w:val="center"/>
              <w:ind w:left="241"/>
              <w:spacing w:after="0" w:line="162" w:lineRule="exact"/>
              <w:rPr>
                <w:sz w:val="20"/>
                <w:szCs w:val="20"/>
                <w:color w:val="auto"/>
              </w:rPr>
            </w:pPr>
            <w:r>
              <w:rPr>
                <w:rFonts w:ascii="Arial" w:cs="Arial" w:eastAsia="Arial" w:hAnsi="Arial"/>
                <w:sz w:val="15"/>
                <w:szCs w:val="15"/>
                <w:b w:val="1"/>
                <w:bCs w:val="1"/>
                <w:color w:val="006098"/>
              </w:rPr>
              <w:t>Acquired on</w:t>
            </w:r>
          </w:p>
        </w:tc>
        <w:tc>
          <w:tcPr>
            <w:tcW w:w="1400" w:type="dxa"/>
            <w:vAlign w:val="bottom"/>
          </w:tcPr>
          <w:p>
            <w:pPr>
              <w:jc w:val="center"/>
              <w:ind w:left="241"/>
              <w:spacing w:after="0" w:line="162" w:lineRule="exact"/>
              <w:rPr>
                <w:sz w:val="20"/>
                <w:szCs w:val="20"/>
                <w:color w:val="auto"/>
              </w:rPr>
            </w:pPr>
            <w:r>
              <w:rPr>
                <w:rFonts w:ascii="Arial" w:cs="Arial" w:eastAsia="Arial" w:hAnsi="Arial"/>
                <w:sz w:val="15"/>
                <w:szCs w:val="15"/>
                <w:b w:val="1"/>
                <w:bCs w:val="1"/>
                <w:color w:val="006098"/>
                <w:w w:val="99"/>
              </w:rPr>
              <w:t>on Vesting</w:t>
            </w:r>
          </w:p>
        </w:tc>
        <w:tc>
          <w:tcPr>
            <w:tcW w:w="0" w:type="dxa"/>
            <w:vAlign w:val="bottom"/>
          </w:tcPr>
          <w:p>
            <w:pPr>
              <w:spacing w:after="0"/>
              <w:rPr>
                <w:sz w:val="1"/>
                <w:szCs w:val="1"/>
                <w:color w:val="auto"/>
              </w:rPr>
            </w:pPr>
          </w:p>
        </w:tc>
      </w:tr>
      <w:tr>
        <w:trPr>
          <w:trHeight w:val="181"/>
        </w:trPr>
        <w:tc>
          <w:tcPr>
            <w:tcW w:w="2760" w:type="dxa"/>
            <w:vAlign w:val="bottom"/>
            <w:tcBorders>
              <w:bottom w:val="single" w:sz="8" w:color="83BA90"/>
            </w:tcBorders>
            <w:vMerge w:val="continue"/>
          </w:tcPr>
          <w:p>
            <w:pPr>
              <w:spacing w:after="0"/>
              <w:rPr>
                <w:sz w:val="15"/>
                <w:szCs w:val="15"/>
                <w:color w:val="auto"/>
              </w:rPr>
            </w:pPr>
          </w:p>
        </w:tc>
        <w:tc>
          <w:tcPr>
            <w:tcW w:w="2280" w:type="dxa"/>
            <w:vAlign w:val="bottom"/>
            <w:tcBorders>
              <w:bottom w:val="single" w:sz="8" w:color="83BA90"/>
            </w:tcBorders>
          </w:tcPr>
          <w:p>
            <w:pPr>
              <w:jc w:val="center"/>
              <w:ind w:left="281"/>
              <w:spacing w:after="0"/>
              <w:rPr>
                <w:sz w:val="20"/>
                <w:szCs w:val="20"/>
                <w:color w:val="auto"/>
              </w:rPr>
            </w:pPr>
            <w:r>
              <w:rPr>
                <w:rFonts w:ascii="Arial" w:cs="Arial" w:eastAsia="Arial" w:hAnsi="Arial"/>
                <w:sz w:val="15"/>
                <w:szCs w:val="15"/>
                <w:b w:val="1"/>
                <w:bCs w:val="1"/>
                <w:color w:val="006098"/>
              </w:rPr>
              <w:t>Exercise (#)(1)</w:t>
            </w:r>
          </w:p>
        </w:tc>
        <w:tc>
          <w:tcPr>
            <w:tcW w:w="2280" w:type="dxa"/>
            <w:vAlign w:val="bottom"/>
            <w:tcBorders>
              <w:bottom w:val="single" w:sz="8" w:color="83BA90"/>
            </w:tcBorders>
            <w:gridSpan w:val="2"/>
          </w:tcPr>
          <w:p>
            <w:pPr>
              <w:jc w:val="center"/>
              <w:ind w:right="360"/>
              <w:spacing w:after="0"/>
              <w:rPr>
                <w:sz w:val="20"/>
                <w:szCs w:val="20"/>
                <w:color w:val="auto"/>
              </w:rPr>
            </w:pPr>
            <w:r>
              <w:rPr>
                <w:rFonts w:ascii="Arial" w:cs="Arial" w:eastAsia="Arial" w:hAnsi="Arial"/>
                <w:sz w:val="15"/>
                <w:szCs w:val="15"/>
                <w:b w:val="1"/>
                <w:bCs w:val="1"/>
                <w:color w:val="006098"/>
              </w:rPr>
              <w:t>Exercise ($)(2)</w:t>
            </w:r>
          </w:p>
        </w:tc>
        <w:tc>
          <w:tcPr>
            <w:tcW w:w="2300" w:type="dxa"/>
            <w:vAlign w:val="bottom"/>
            <w:tcBorders>
              <w:bottom w:val="single" w:sz="8" w:color="83BA90"/>
            </w:tcBorders>
          </w:tcPr>
          <w:p>
            <w:pPr>
              <w:jc w:val="center"/>
              <w:ind w:left="261"/>
              <w:spacing w:after="0"/>
              <w:rPr>
                <w:sz w:val="20"/>
                <w:szCs w:val="20"/>
                <w:color w:val="auto"/>
              </w:rPr>
            </w:pPr>
            <w:r>
              <w:rPr>
                <w:rFonts w:ascii="Arial" w:cs="Arial" w:eastAsia="Arial" w:hAnsi="Arial"/>
                <w:sz w:val="15"/>
                <w:szCs w:val="15"/>
                <w:b w:val="1"/>
                <w:bCs w:val="1"/>
                <w:color w:val="006098"/>
              </w:rPr>
              <w:t>Vesting (#)(3)</w:t>
            </w:r>
          </w:p>
        </w:tc>
        <w:tc>
          <w:tcPr>
            <w:tcW w:w="1400" w:type="dxa"/>
            <w:vAlign w:val="bottom"/>
            <w:tcBorders>
              <w:bottom w:val="single" w:sz="8" w:color="83BA90"/>
            </w:tcBorders>
          </w:tcPr>
          <w:p>
            <w:pPr>
              <w:jc w:val="center"/>
              <w:ind w:left="241"/>
              <w:spacing w:after="0"/>
              <w:rPr>
                <w:sz w:val="20"/>
                <w:szCs w:val="20"/>
                <w:color w:val="auto"/>
              </w:rPr>
            </w:pPr>
            <w:r>
              <w:rPr>
                <w:rFonts w:ascii="Arial" w:cs="Arial" w:eastAsia="Arial" w:hAnsi="Arial"/>
                <w:sz w:val="15"/>
                <w:szCs w:val="15"/>
                <w:b w:val="1"/>
                <w:bCs w:val="1"/>
                <w:color w:val="006098"/>
                <w:w w:val="98"/>
              </w:rPr>
              <w:t>($)(4)</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BFBFBF"/>
            </w:tcBorders>
          </w:tcPr>
          <w:p>
            <w:pPr>
              <w:spacing w:after="0" w:line="183" w:lineRule="exact"/>
              <w:rPr>
                <w:sz w:val="20"/>
                <w:szCs w:val="20"/>
                <w:color w:val="auto"/>
              </w:rPr>
            </w:pPr>
            <w:r>
              <w:rPr>
                <w:rFonts w:ascii="Arial" w:cs="Arial" w:eastAsia="Arial" w:hAnsi="Arial"/>
                <w:sz w:val="16"/>
                <w:szCs w:val="16"/>
                <w:color w:val="006098"/>
              </w:rPr>
              <w:t>August J. Troendle</w:t>
            </w:r>
          </w:p>
        </w:tc>
        <w:tc>
          <w:tcPr>
            <w:tcW w:w="2280" w:type="dxa"/>
            <w:vAlign w:val="bottom"/>
            <w:tcBorders>
              <w:bottom w:val="single" w:sz="8" w:color="BFBFBF"/>
            </w:tcBorders>
          </w:tcPr>
          <w:p>
            <w:pPr>
              <w:jc w:val="center"/>
              <w:ind w:left="281"/>
              <w:spacing w:after="0" w:line="183" w:lineRule="exact"/>
              <w:rPr>
                <w:sz w:val="20"/>
                <w:szCs w:val="20"/>
                <w:color w:val="auto"/>
              </w:rPr>
            </w:pPr>
            <w:r>
              <w:rPr>
                <w:rFonts w:ascii="Arial" w:cs="Arial" w:eastAsia="Arial" w:hAnsi="Arial"/>
                <w:sz w:val="16"/>
                <w:szCs w:val="16"/>
                <w:color w:val="3F3F3F"/>
                <w:w w:val="99"/>
              </w:rPr>
              <w:t>— (5)</w:t>
            </w:r>
          </w:p>
        </w:tc>
        <w:tc>
          <w:tcPr>
            <w:tcW w:w="2280" w:type="dxa"/>
            <w:vAlign w:val="bottom"/>
            <w:tcBorders>
              <w:bottom w:val="single" w:sz="8" w:color="BFBFBF"/>
            </w:tcBorders>
            <w:gridSpan w:val="2"/>
          </w:tcPr>
          <w:p>
            <w:pPr>
              <w:jc w:val="center"/>
              <w:ind w:right="360"/>
              <w:spacing w:after="0" w:line="183" w:lineRule="exact"/>
              <w:rPr>
                <w:sz w:val="20"/>
                <w:szCs w:val="20"/>
                <w:color w:val="auto"/>
              </w:rPr>
            </w:pPr>
            <w:r>
              <w:rPr>
                <w:rFonts w:ascii="Arial" w:cs="Arial" w:eastAsia="Arial" w:hAnsi="Arial"/>
                <w:sz w:val="16"/>
                <w:szCs w:val="16"/>
                <w:color w:val="3F3F3F"/>
                <w:w w:val="99"/>
              </w:rPr>
              <w:t>—</w:t>
            </w:r>
          </w:p>
        </w:tc>
        <w:tc>
          <w:tcPr>
            <w:tcW w:w="2300" w:type="dxa"/>
            <w:vAlign w:val="bottom"/>
            <w:tcBorders>
              <w:bottom w:val="single" w:sz="8" w:color="BFBFBF"/>
            </w:tcBorders>
          </w:tcPr>
          <w:p>
            <w:pPr>
              <w:jc w:val="center"/>
              <w:ind w:left="261"/>
              <w:spacing w:after="0" w:line="183" w:lineRule="exact"/>
              <w:rPr>
                <w:sz w:val="20"/>
                <w:szCs w:val="20"/>
                <w:color w:val="auto"/>
              </w:rPr>
            </w:pPr>
            <w:r>
              <w:rPr>
                <w:rFonts w:ascii="Arial" w:cs="Arial" w:eastAsia="Arial" w:hAnsi="Arial"/>
                <w:sz w:val="16"/>
                <w:szCs w:val="16"/>
                <w:color w:val="3F3F3F"/>
                <w:w w:val="99"/>
              </w:rPr>
              <w:t>—</w:t>
            </w:r>
          </w:p>
        </w:tc>
        <w:tc>
          <w:tcPr>
            <w:tcW w:w="1400" w:type="dxa"/>
            <w:vAlign w:val="bottom"/>
            <w:tcBorders>
              <w:bottom w:val="single" w:sz="8" w:color="BFBFBF"/>
            </w:tcBorders>
          </w:tcPr>
          <w:p>
            <w:pPr>
              <w:jc w:val="center"/>
              <w:ind w:left="241"/>
              <w:spacing w:after="0" w:line="183" w:lineRule="exact"/>
              <w:rPr>
                <w:sz w:val="20"/>
                <w:szCs w:val="20"/>
                <w:color w:val="auto"/>
              </w:rPr>
            </w:pPr>
            <w:r>
              <w:rPr>
                <w:rFonts w:ascii="Arial" w:cs="Arial" w:eastAsia="Arial" w:hAnsi="Arial"/>
                <w:sz w:val="16"/>
                <w:szCs w:val="16"/>
                <w:color w:val="3F3F3F"/>
                <w:w w:val="99"/>
              </w:rPr>
              <w:t>—</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BFBFBF"/>
            </w:tcBorders>
          </w:tcPr>
          <w:p>
            <w:pPr>
              <w:spacing w:after="0" w:line="183" w:lineRule="exact"/>
              <w:rPr>
                <w:sz w:val="20"/>
                <w:szCs w:val="20"/>
                <w:color w:val="auto"/>
              </w:rPr>
            </w:pPr>
            <w:r>
              <w:rPr>
                <w:rFonts w:ascii="Arial" w:cs="Arial" w:eastAsia="Arial" w:hAnsi="Arial"/>
                <w:sz w:val="16"/>
                <w:szCs w:val="16"/>
                <w:color w:val="006098"/>
              </w:rPr>
              <w:t>Kevin M. Brady</w:t>
            </w:r>
          </w:p>
        </w:tc>
        <w:tc>
          <w:tcPr>
            <w:tcW w:w="2280" w:type="dxa"/>
            <w:vAlign w:val="bottom"/>
            <w:tcBorders>
              <w:bottom w:val="single" w:sz="8" w:color="BFBFBF"/>
            </w:tcBorders>
          </w:tcPr>
          <w:p>
            <w:pPr>
              <w:jc w:val="center"/>
              <w:ind w:left="281"/>
              <w:spacing w:after="0" w:line="183" w:lineRule="exact"/>
              <w:rPr>
                <w:sz w:val="20"/>
                <w:szCs w:val="20"/>
                <w:color w:val="auto"/>
              </w:rPr>
            </w:pPr>
            <w:r>
              <w:rPr>
                <w:rFonts w:ascii="Arial" w:cs="Arial" w:eastAsia="Arial" w:hAnsi="Arial"/>
                <w:sz w:val="16"/>
                <w:szCs w:val="16"/>
                <w:color w:val="3F3F3F"/>
                <w:w w:val="99"/>
              </w:rPr>
              <w:t>1,250</w:t>
            </w:r>
          </w:p>
        </w:tc>
        <w:tc>
          <w:tcPr>
            <w:tcW w:w="1620" w:type="dxa"/>
            <w:vAlign w:val="bottom"/>
            <w:tcBorders>
              <w:bottom w:val="single" w:sz="8" w:color="BFBFBF"/>
            </w:tcBorders>
          </w:tcPr>
          <w:p>
            <w:pPr>
              <w:jc w:val="center"/>
              <w:ind w:left="220"/>
              <w:spacing w:after="0" w:line="183" w:lineRule="exact"/>
              <w:rPr>
                <w:sz w:val="20"/>
                <w:szCs w:val="20"/>
                <w:color w:val="auto"/>
              </w:rPr>
            </w:pPr>
            <w:r>
              <w:rPr>
                <w:rFonts w:ascii="Arial" w:cs="Arial" w:eastAsia="Arial" w:hAnsi="Arial"/>
                <w:sz w:val="16"/>
                <w:szCs w:val="16"/>
                <w:color w:val="3F3F3F"/>
              </w:rPr>
              <w:t>$169,813</w:t>
            </w:r>
          </w:p>
        </w:tc>
        <w:tc>
          <w:tcPr>
            <w:tcW w:w="660" w:type="dxa"/>
            <w:vAlign w:val="bottom"/>
            <w:tcBorders>
              <w:bottom w:val="single" w:sz="8" w:color="BFBFBF"/>
            </w:tcBorders>
          </w:tcPr>
          <w:p>
            <w:pPr>
              <w:spacing w:after="0"/>
              <w:rPr>
                <w:sz w:val="15"/>
                <w:szCs w:val="15"/>
                <w:color w:val="auto"/>
              </w:rPr>
            </w:pPr>
          </w:p>
        </w:tc>
        <w:tc>
          <w:tcPr>
            <w:tcW w:w="2300" w:type="dxa"/>
            <w:vAlign w:val="bottom"/>
            <w:tcBorders>
              <w:bottom w:val="single" w:sz="8" w:color="BFBFBF"/>
            </w:tcBorders>
          </w:tcPr>
          <w:p>
            <w:pPr>
              <w:jc w:val="center"/>
              <w:ind w:left="261"/>
              <w:spacing w:after="0" w:line="183" w:lineRule="exact"/>
              <w:rPr>
                <w:sz w:val="20"/>
                <w:szCs w:val="20"/>
                <w:color w:val="auto"/>
              </w:rPr>
            </w:pPr>
            <w:r>
              <w:rPr>
                <w:rFonts w:ascii="Arial" w:cs="Arial" w:eastAsia="Arial" w:hAnsi="Arial"/>
                <w:sz w:val="16"/>
                <w:szCs w:val="16"/>
                <w:color w:val="3F3F3F"/>
                <w:w w:val="99"/>
              </w:rPr>
              <w:t>—</w:t>
            </w:r>
          </w:p>
        </w:tc>
        <w:tc>
          <w:tcPr>
            <w:tcW w:w="1400" w:type="dxa"/>
            <w:vAlign w:val="bottom"/>
            <w:tcBorders>
              <w:bottom w:val="single" w:sz="8" w:color="BFBFBF"/>
            </w:tcBorders>
          </w:tcPr>
          <w:p>
            <w:pPr>
              <w:jc w:val="center"/>
              <w:ind w:left="241"/>
              <w:spacing w:after="0" w:line="183" w:lineRule="exact"/>
              <w:rPr>
                <w:sz w:val="20"/>
                <w:szCs w:val="20"/>
                <w:color w:val="auto"/>
              </w:rPr>
            </w:pPr>
            <w:r>
              <w:rPr>
                <w:rFonts w:ascii="Arial" w:cs="Arial" w:eastAsia="Arial" w:hAnsi="Arial"/>
                <w:sz w:val="16"/>
                <w:szCs w:val="16"/>
                <w:color w:val="3F3F3F"/>
                <w:w w:val="99"/>
              </w:rPr>
              <w:t>—</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BFBFBF"/>
            </w:tcBorders>
          </w:tcPr>
          <w:p>
            <w:pPr>
              <w:spacing w:after="0" w:line="183" w:lineRule="exact"/>
              <w:rPr>
                <w:sz w:val="20"/>
                <w:szCs w:val="20"/>
                <w:color w:val="auto"/>
              </w:rPr>
            </w:pPr>
            <w:r>
              <w:rPr>
                <w:rFonts w:ascii="Arial" w:cs="Arial" w:eastAsia="Arial" w:hAnsi="Arial"/>
                <w:sz w:val="16"/>
                <w:szCs w:val="16"/>
                <w:color w:val="006098"/>
              </w:rPr>
              <w:t>Jesse J. Geiger</w:t>
            </w:r>
          </w:p>
        </w:tc>
        <w:tc>
          <w:tcPr>
            <w:tcW w:w="2280" w:type="dxa"/>
            <w:vAlign w:val="bottom"/>
            <w:tcBorders>
              <w:bottom w:val="single" w:sz="8" w:color="BFBFBF"/>
            </w:tcBorders>
          </w:tcPr>
          <w:p>
            <w:pPr>
              <w:jc w:val="center"/>
              <w:ind w:left="261"/>
              <w:spacing w:after="0" w:line="183" w:lineRule="exact"/>
              <w:rPr>
                <w:sz w:val="20"/>
                <w:szCs w:val="20"/>
                <w:color w:val="auto"/>
              </w:rPr>
            </w:pPr>
            <w:r>
              <w:rPr>
                <w:rFonts w:ascii="Arial" w:cs="Arial" w:eastAsia="Arial" w:hAnsi="Arial"/>
                <w:sz w:val="16"/>
                <w:szCs w:val="16"/>
                <w:color w:val="3F3F3F"/>
              </w:rPr>
              <w:t>17,000</w:t>
            </w:r>
          </w:p>
        </w:tc>
        <w:tc>
          <w:tcPr>
            <w:tcW w:w="1620" w:type="dxa"/>
            <w:vAlign w:val="bottom"/>
            <w:tcBorders>
              <w:bottom w:val="single" w:sz="8" w:color="BFBFBF"/>
            </w:tcBorders>
          </w:tcPr>
          <w:p>
            <w:pPr>
              <w:jc w:val="center"/>
              <w:ind w:left="220"/>
              <w:spacing w:after="0" w:line="183" w:lineRule="exact"/>
              <w:rPr>
                <w:sz w:val="20"/>
                <w:szCs w:val="20"/>
                <w:color w:val="auto"/>
              </w:rPr>
            </w:pPr>
            <w:r>
              <w:rPr>
                <w:rFonts w:ascii="Arial" w:cs="Arial" w:eastAsia="Arial" w:hAnsi="Arial"/>
                <w:sz w:val="16"/>
                <w:szCs w:val="16"/>
                <w:color w:val="3F3F3F"/>
                <w:w w:val="99"/>
              </w:rPr>
              <w:t>$2,833,417</w:t>
            </w:r>
          </w:p>
        </w:tc>
        <w:tc>
          <w:tcPr>
            <w:tcW w:w="660" w:type="dxa"/>
            <w:vAlign w:val="bottom"/>
            <w:tcBorders>
              <w:bottom w:val="single" w:sz="8" w:color="BFBFBF"/>
            </w:tcBorders>
          </w:tcPr>
          <w:p>
            <w:pPr>
              <w:spacing w:after="0"/>
              <w:rPr>
                <w:sz w:val="15"/>
                <w:szCs w:val="15"/>
                <w:color w:val="auto"/>
              </w:rPr>
            </w:pPr>
          </w:p>
        </w:tc>
        <w:tc>
          <w:tcPr>
            <w:tcW w:w="2300" w:type="dxa"/>
            <w:vAlign w:val="bottom"/>
            <w:tcBorders>
              <w:bottom w:val="single" w:sz="8" w:color="BFBFBF"/>
            </w:tcBorders>
          </w:tcPr>
          <w:p>
            <w:pPr>
              <w:jc w:val="center"/>
              <w:ind w:left="261"/>
              <w:spacing w:after="0" w:line="183" w:lineRule="exact"/>
              <w:rPr>
                <w:sz w:val="20"/>
                <w:szCs w:val="20"/>
                <w:color w:val="auto"/>
              </w:rPr>
            </w:pPr>
            <w:r>
              <w:rPr>
                <w:rFonts w:ascii="Arial" w:cs="Arial" w:eastAsia="Arial" w:hAnsi="Arial"/>
                <w:sz w:val="16"/>
                <w:szCs w:val="16"/>
                <w:color w:val="3F3F3F"/>
                <w:w w:val="99"/>
              </w:rPr>
              <w:t>—</w:t>
            </w:r>
          </w:p>
        </w:tc>
        <w:tc>
          <w:tcPr>
            <w:tcW w:w="1400" w:type="dxa"/>
            <w:vAlign w:val="bottom"/>
            <w:tcBorders>
              <w:bottom w:val="single" w:sz="8" w:color="BFBFBF"/>
            </w:tcBorders>
          </w:tcPr>
          <w:p>
            <w:pPr>
              <w:jc w:val="center"/>
              <w:ind w:left="241"/>
              <w:spacing w:after="0" w:line="183" w:lineRule="exact"/>
              <w:rPr>
                <w:sz w:val="20"/>
                <w:szCs w:val="20"/>
                <w:color w:val="auto"/>
              </w:rPr>
            </w:pPr>
            <w:r>
              <w:rPr>
                <w:rFonts w:ascii="Arial" w:cs="Arial" w:eastAsia="Arial" w:hAnsi="Arial"/>
                <w:sz w:val="16"/>
                <w:szCs w:val="16"/>
                <w:color w:val="3F3F3F"/>
                <w:w w:val="99"/>
              </w:rPr>
              <w:t>—</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BFBFBF"/>
            </w:tcBorders>
          </w:tcPr>
          <w:p>
            <w:pPr>
              <w:spacing w:after="0" w:line="183" w:lineRule="exact"/>
              <w:rPr>
                <w:sz w:val="20"/>
                <w:szCs w:val="20"/>
                <w:color w:val="auto"/>
              </w:rPr>
            </w:pPr>
            <w:r>
              <w:rPr>
                <w:rFonts w:ascii="Arial" w:cs="Arial" w:eastAsia="Arial" w:hAnsi="Arial"/>
                <w:sz w:val="16"/>
                <w:szCs w:val="16"/>
                <w:color w:val="006098"/>
              </w:rPr>
              <w:t>Susan E. Burwig</w:t>
            </w:r>
          </w:p>
        </w:tc>
        <w:tc>
          <w:tcPr>
            <w:tcW w:w="2280" w:type="dxa"/>
            <w:vAlign w:val="bottom"/>
            <w:tcBorders>
              <w:bottom w:val="single" w:sz="8" w:color="BFBFBF"/>
            </w:tcBorders>
          </w:tcPr>
          <w:p>
            <w:pPr>
              <w:jc w:val="center"/>
              <w:ind w:left="261"/>
              <w:spacing w:after="0" w:line="183" w:lineRule="exact"/>
              <w:rPr>
                <w:sz w:val="20"/>
                <w:szCs w:val="20"/>
                <w:color w:val="auto"/>
              </w:rPr>
            </w:pPr>
            <w:r>
              <w:rPr>
                <w:rFonts w:ascii="Arial" w:cs="Arial" w:eastAsia="Arial" w:hAnsi="Arial"/>
                <w:sz w:val="16"/>
                <w:szCs w:val="16"/>
                <w:color w:val="3F3F3F"/>
              </w:rPr>
              <w:t>15,000</w:t>
            </w:r>
          </w:p>
        </w:tc>
        <w:tc>
          <w:tcPr>
            <w:tcW w:w="1620" w:type="dxa"/>
            <w:vAlign w:val="bottom"/>
            <w:tcBorders>
              <w:bottom w:val="single" w:sz="8" w:color="BFBFBF"/>
            </w:tcBorders>
          </w:tcPr>
          <w:p>
            <w:pPr>
              <w:jc w:val="center"/>
              <w:ind w:left="220"/>
              <w:spacing w:after="0" w:line="183" w:lineRule="exact"/>
              <w:rPr>
                <w:sz w:val="20"/>
                <w:szCs w:val="20"/>
                <w:color w:val="auto"/>
              </w:rPr>
            </w:pPr>
            <w:r>
              <w:rPr>
                <w:rFonts w:ascii="Arial" w:cs="Arial" w:eastAsia="Arial" w:hAnsi="Arial"/>
                <w:sz w:val="16"/>
                <w:szCs w:val="16"/>
                <w:color w:val="3F3F3F"/>
                <w:w w:val="99"/>
              </w:rPr>
              <w:t>$2,298,941</w:t>
            </w:r>
          </w:p>
        </w:tc>
        <w:tc>
          <w:tcPr>
            <w:tcW w:w="660" w:type="dxa"/>
            <w:vAlign w:val="bottom"/>
            <w:tcBorders>
              <w:bottom w:val="single" w:sz="8" w:color="BFBFBF"/>
            </w:tcBorders>
          </w:tcPr>
          <w:p>
            <w:pPr>
              <w:spacing w:after="0"/>
              <w:rPr>
                <w:sz w:val="15"/>
                <w:szCs w:val="15"/>
                <w:color w:val="auto"/>
              </w:rPr>
            </w:pPr>
          </w:p>
        </w:tc>
        <w:tc>
          <w:tcPr>
            <w:tcW w:w="2300" w:type="dxa"/>
            <w:vAlign w:val="bottom"/>
            <w:tcBorders>
              <w:bottom w:val="single" w:sz="8" w:color="BFBFBF"/>
            </w:tcBorders>
          </w:tcPr>
          <w:p>
            <w:pPr>
              <w:jc w:val="center"/>
              <w:ind w:left="261"/>
              <w:spacing w:after="0" w:line="183" w:lineRule="exact"/>
              <w:rPr>
                <w:sz w:val="20"/>
                <w:szCs w:val="20"/>
                <w:color w:val="auto"/>
              </w:rPr>
            </w:pPr>
            <w:r>
              <w:rPr>
                <w:rFonts w:ascii="Arial" w:cs="Arial" w:eastAsia="Arial" w:hAnsi="Arial"/>
                <w:sz w:val="16"/>
                <w:szCs w:val="16"/>
                <w:color w:val="3F3F3F"/>
                <w:w w:val="99"/>
              </w:rPr>
              <w:t>—</w:t>
            </w:r>
          </w:p>
        </w:tc>
        <w:tc>
          <w:tcPr>
            <w:tcW w:w="1400" w:type="dxa"/>
            <w:vAlign w:val="bottom"/>
            <w:tcBorders>
              <w:bottom w:val="single" w:sz="8" w:color="BFBFBF"/>
            </w:tcBorders>
          </w:tcPr>
          <w:p>
            <w:pPr>
              <w:jc w:val="center"/>
              <w:ind w:left="241"/>
              <w:spacing w:after="0" w:line="183" w:lineRule="exact"/>
              <w:rPr>
                <w:sz w:val="20"/>
                <w:szCs w:val="20"/>
                <w:color w:val="auto"/>
              </w:rPr>
            </w:pPr>
            <w:r>
              <w:rPr>
                <w:rFonts w:ascii="Arial" w:cs="Arial" w:eastAsia="Arial" w:hAnsi="Arial"/>
                <w:sz w:val="16"/>
                <w:szCs w:val="16"/>
                <w:color w:val="3F3F3F"/>
                <w:w w:val="99"/>
              </w:rPr>
              <w:t>—</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BFBFBF"/>
            </w:tcBorders>
          </w:tcPr>
          <w:p>
            <w:pPr>
              <w:spacing w:after="0" w:line="183" w:lineRule="exact"/>
              <w:rPr>
                <w:sz w:val="20"/>
                <w:szCs w:val="20"/>
                <w:color w:val="auto"/>
              </w:rPr>
            </w:pPr>
            <w:r>
              <w:rPr>
                <w:rFonts w:ascii="Arial" w:cs="Arial" w:eastAsia="Arial" w:hAnsi="Arial"/>
                <w:sz w:val="16"/>
                <w:szCs w:val="16"/>
                <w:color w:val="006098"/>
              </w:rPr>
              <w:t>Stephen P. Ewald</w:t>
            </w:r>
          </w:p>
        </w:tc>
        <w:tc>
          <w:tcPr>
            <w:tcW w:w="2280" w:type="dxa"/>
            <w:vAlign w:val="bottom"/>
            <w:tcBorders>
              <w:bottom w:val="single" w:sz="8" w:color="BFBFBF"/>
            </w:tcBorders>
          </w:tcPr>
          <w:p>
            <w:pPr>
              <w:jc w:val="center"/>
              <w:ind w:left="261"/>
              <w:spacing w:after="0" w:line="183" w:lineRule="exact"/>
              <w:rPr>
                <w:sz w:val="20"/>
                <w:szCs w:val="20"/>
                <w:color w:val="auto"/>
              </w:rPr>
            </w:pPr>
            <w:r>
              <w:rPr>
                <w:rFonts w:ascii="Arial" w:cs="Arial" w:eastAsia="Arial" w:hAnsi="Arial"/>
                <w:sz w:val="16"/>
                <w:szCs w:val="16"/>
                <w:color w:val="3F3F3F"/>
              </w:rPr>
              <w:t>25,000</w:t>
            </w:r>
          </w:p>
        </w:tc>
        <w:tc>
          <w:tcPr>
            <w:tcW w:w="1620" w:type="dxa"/>
            <w:vAlign w:val="bottom"/>
            <w:tcBorders>
              <w:bottom w:val="single" w:sz="8" w:color="BFBFBF"/>
            </w:tcBorders>
          </w:tcPr>
          <w:p>
            <w:pPr>
              <w:jc w:val="center"/>
              <w:ind w:left="220"/>
              <w:spacing w:after="0" w:line="183" w:lineRule="exact"/>
              <w:rPr>
                <w:sz w:val="20"/>
                <w:szCs w:val="20"/>
                <w:color w:val="auto"/>
              </w:rPr>
            </w:pPr>
            <w:r>
              <w:rPr>
                <w:rFonts w:ascii="Arial" w:cs="Arial" w:eastAsia="Arial" w:hAnsi="Arial"/>
                <w:sz w:val="16"/>
                <w:szCs w:val="16"/>
                <w:color w:val="3F3F3F"/>
                <w:w w:val="99"/>
              </w:rPr>
              <w:t>$2,611,937</w:t>
            </w:r>
          </w:p>
        </w:tc>
        <w:tc>
          <w:tcPr>
            <w:tcW w:w="660" w:type="dxa"/>
            <w:vAlign w:val="bottom"/>
            <w:tcBorders>
              <w:bottom w:val="single" w:sz="8" w:color="BFBFBF"/>
            </w:tcBorders>
          </w:tcPr>
          <w:p>
            <w:pPr>
              <w:spacing w:after="0"/>
              <w:rPr>
                <w:sz w:val="15"/>
                <w:szCs w:val="15"/>
                <w:color w:val="auto"/>
              </w:rPr>
            </w:pPr>
          </w:p>
        </w:tc>
        <w:tc>
          <w:tcPr>
            <w:tcW w:w="2300" w:type="dxa"/>
            <w:vAlign w:val="bottom"/>
            <w:tcBorders>
              <w:bottom w:val="single" w:sz="8" w:color="BFBFBF"/>
            </w:tcBorders>
          </w:tcPr>
          <w:p>
            <w:pPr>
              <w:jc w:val="center"/>
              <w:ind w:left="261"/>
              <w:spacing w:after="0" w:line="183" w:lineRule="exact"/>
              <w:rPr>
                <w:sz w:val="20"/>
                <w:szCs w:val="20"/>
                <w:color w:val="auto"/>
              </w:rPr>
            </w:pPr>
            <w:r>
              <w:rPr>
                <w:rFonts w:ascii="Arial" w:cs="Arial" w:eastAsia="Arial" w:hAnsi="Arial"/>
                <w:sz w:val="16"/>
                <w:szCs w:val="16"/>
                <w:color w:val="3F3F3F"/>
                <w:w w:val="99"/>
              </w:rPr>
              <w:t>—</w:t>
            </w:r>
          </w:p>
        </w:tc>
        <w:tc>
          <w:tcPr>
            <w:tcW w:w="1400" w:type="dxa"/>
            <w:vAlign w:val="bottom"/>
            <w:tcBorders>
              <w:bottom w:val="single" w:sz="8" w:color="BFBFBF"/>
            </w:tcBorders>
          </w:tcPr>
          <w:p>
            <w:pPr>
              <w:jc w:val="center"/>
              <w:ind w:left="241"/>
              <w:spacing w:after="0" w:line="183" w:lineRule="exact"/>
              <w:rPr>
                <w:sz w:val="20"/>
                <w:szCs w:val="20"/>
                <w:color w:val="auto"/>
              </w:rPr>
            </w:pPr>
            <w:r>
              <w:rPr>
                <w:rFonts w:ascii="Arial" w:cs="Arial" w:eastAsia="Arial" w:hAnsi="Arial"/>
                <w:sz w:val="16"/>
                <w:szCs w:val="16"/>
                <w:color w:val="3F3F3F"/>
                <w:w w:val="99"/>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60" w:hanging="544"/>
        <w:spacing w:after="0"/>
        <w:tabs>
          <w:tab w:leader="none" w:pos="660" w:val="left"/>
        </w:tabs>
        <w:numPr>
          <w:ilvl w:val="0"/>
          <w:numId w:val="23"/>
        </w:numPr>
        <w:rPr>
          <w:rFonts w:ascii="Arial" w:cs="Arial" w:eastAsia="Arial" w:hAnsi="Arial"/>
          <w:sz w:val="18"/>
          <w:szCs w:val="18"/>
          <w:color w:val="3F3F3F"/>
        </w:rPr>
      </w:pPr>
      <w:r>
        <w:rPr>
          <w:rFonts w:ascii="Arial" w:cs="Arial" w:eastAsia="Arial" w:hAnsi="Arial"/>
          <w:sz w:val="18"/>
          <w:szCs w:val="18"/>
          <w:color w:val="3F3F3F"/>
        </w:rPr>
        <w:t>This column represents the number of shares for which the options were exercised.</w:t>
      </w:r>
    </w:p>
    <w:p>
      <w:pPr>
        <w:spacing w:after="0" w:line="117" w:lineRule="exact"/>
        <w:rPr>
          <w:rFonts w:ascii="Arial" w:cs="Arial" w:eastAsia="Arial" w:hAnsi="Arial"/>
          <w:sz w:val="18"/>
          <w:szCs w:val="18"/>
          <w:color w:val="3F3F3F"/>
        </w:rPr>
      </w:pPr>
    </w:p>
    <w:p>
      <w:pPr>
        <w:ind w:left="660" w:hanging="544"/>
        <w:spacing w:after="0"/>
        <w:tabs>
          <w:tab w:leader="none" w:pos="660" w:val="left"/>
        </w:tabs>
        <w:numPr>
          <w:ilvl w:val="0"/>
          <w:numId w:val="23"/>
        </w:numPr>
        <w:rPr>
          <w:rFonts w:ascii="Arial" w:cs="Arial" w:eastAsia="Arial" w:hAnsi="Arial"/>
          <w:sz w:val="18"/>
          <w:szCs w:val="18"/>
          <w:color w:val="3F3F3F"/>
        </w:rPr>
      </w:pPr>
      <w:r>
        <w:rPr>
          <w:rFonts w:ascii="Arial" w:cs="Arial" w:eastAsia="Arial" w:hAnsi="Arial"/>
          <w:sz w:val="18"/>
          <w:szCs w:val="18"/>
          <w:color w:val="3F3F3F"/>
        </w:rPr>
        <w:t>The amounts in this column represent the aggregate dollar value realized upon exercise of options.</w:t>
      </w:r>
    </w:p>
    <w:p>
      <w:pPr>
        <w:spacing w:after="0" w:line="117" w:lineRule="exact"/>
        <w:rPr>
          <w:rFonts w:ascii="Arial" w:cs="Arial" w:eastAsia="Arial" w:hAnsi="Arial"/>
          <w:sz w:val="18"/>
          <w:szCs w:val="18"/>
          <w:color w:val="3F3F3F"/>
        </w:rPr>
      </w:pPr>
    </w:p>
    <w:p>
      <w:pPr>
        <w:ind w:left="660" w:hanging="544"/>
        <w:spacing w:after="0"/>
        <w:tabs>
          <w:tab w:leader="none" w:pos="660" w:val="left"/>
        </w:tabs>
        <w:numPr>
          <w:ilvl w:val="0"/>
          <w:numId w:val="23"/>
        </w:numPr>
        <w:rPr>
          <w:rFonts w:ascii="Arial" w:cs="Arial" w:eastAsia="Arial" w:hAnsi="Arial"/>
          <w:sz w:val="18"/>
          <w:szCs w:val="18"/>
          <w:color w:val="3F3F3F"/>
        </w:rPr>
      </w:pPr>
      <w:r>
        <w:rPr>
          <w:rFonts w:ascii="Arial" w:cs="Arial" w:eastAsia="Arial" w:hAnsi="Arial"/>
          <w:sz w:val="18"/>
          <w:szCs w:val="18"/>
          <w:color w:val="3F3F3F"/>
        </w:rPr>
        <w:t>This column represents the number of shares of stock that have vested.</w:t>
      </w:r>
    </w:p>
    <w:p>
      <w:pPr>
        <w:spacing w:after="0" w:line="117" w:lineRule="exact"/>
        <w:rPr>
          <w:rFonts w:ascii="Arial" w:cs="Arial" w:eastAsia="Arial" w:hAnsi="Arial"/>
          <w:sz w:val="18"/>
          <w:szCs w:val="18"/>
          <w:color w:val="3F3F3F"/>
        </w:rPr>
      </w:pPr>
    </w:p>
    <w:p>
      <w:pPr>
        <w:ind w:left="660" w:hanging="544"/>
        <w:spacing w:after="0"/>
        <w:tabs>
          <w:tab w:leader="none" w:pos="660" w:val="left"/>
        </w:tabs>
        <w:numPr>
          <w:ilvl w:val="0"/>
          <w:numId w:val="23"/>
        </w:numPr>
        <w:rPr>
          <w:rFonts w:ascii="Arial" w:cs="Arial" w:eastAsia="Arial" w:hAnsi="Arial"/>
          <w:sz w:val="18"/>
          <w:szCs w:val="18"/>
          <w:color w:val="3F3F3F"/>
        </w:rPr>
      </w:pPr>
      <w:r>
        <w:rPr>
          <w:rFonts w:ascii="Arial" w:cs="Arial" w:eastAsia="Arial" w:hAnsi="Arial"/>
          <w:sz w:val="18"/>
          <w:szCs w:val="18"/>
          <w:color w:val="3F3F3F"/>
        </w:rPr>
        <w:t>The amounts in this column represent the aggregate dollar value realized upon vesting of stock.</w:t>
      </w:r>
    </w:p>
    <w:p>
      <w:pPr>
        <w:spacing w:after="0" w:line="117" w:lineRule="exact"/>
        <w:rPr>
          <w:rFonts w:ascii="Arial" w:cs="Arial" w:eastAsia="Arial" w:hAnsi="Arial"/>
          <w:sz w:val="18"/>
          <w:szCs w:val="18"/>
          <w:color w:val="3F3F3F"/>
        </w:rPr>
      </w:pPr>
    </w:p>
    <w:p>
      <w:pPr>
        <w:ind w:left="660" w:right="80" w:hanging="544"/>
        <w:spacing w:after="0" w:line="247" w:lineRule="auto"/>
        <w:tabs>
          <w:tab w:leader="none" w:pos="660" w:val="left"/>
        </w:tabs>
        <w:numPr>
          <w:ilvl w:val="0"/>
          <w:numId w:val="23"/>
        </w:numPr>
        <w:rPr>
          <w:rFonts w:ascii="Arial" w:cs="Arial" w:eastAsia="Arial" w:hAnsi="Arial"/>
          <w:sz w:val="18"/>
          <w:szCs w:val="18"/>
          <w:color w:val="3F3F3F"/>
        </w:rPr>
      </w:pPr>
      <w:r>
        <w:rPr>
          <w:rFonts w:ascii="Arial" w:cs="Arial" w:eastAsia="Arial" w:hAnsi="Arial"/>
          <w:sz w:val="18"/>
          <w:szCs w:val="18"/>
          <w:color w:val="3F3F3F"/>
        </w:rPr>
        <w:t>The amounts reported for Mr. Troendle do not include the 185,347 options exercised by Medpace Investors, LLC (“MPI”) during the 2021 fiscal year that had a value realized on exercise totaling $23,069,253. Mr. Troendle is the sole manager and controlling unit holder of MPI and has sole voting and investment control with respect to the securities held by MPI. Mr. Troendle disclaims beneficial ownership of such securities except to the extent of his pecuniary interest therein.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Pension Benefits</w:t>
      </w:r>
    </w:p>
    <w:p>
      <w:pPr>
        <w:spacing w:after="0" w:line="104"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3F3F3F"/>
        </w:rPr>
        <w:t>We did not maintain any plan for our NEOs providing for payments or other benefits at, following, or in connection with retirement, during the fiscal year ended December 31, 2021.</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Nonqualified Deferred Compensation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We did not maintain any deferred compensation plans for our NEOs for the fiscal year ended December 31, 2021.</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Potential Payments Upon Termination or Change in Control</w:t>
      </w:r>
    </w:p>
    <w:p>
      <w:pPr>
        <w:spacing w:after="0" w:line="104"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3F3F3F"/>
        </w:rPr>
        <w:t>None of our NEOs has change in control agreements and we do not have a change in control policy. The 2016 Incentive Plan provides the Compensation Committee with discretion to accelerate the vesting of equity awards upon an employee’s death, disability, termination of service or the consummation of a change in control, subject to the terms and conditions of the 2016 Incentive Plan.</w:t>
      </w:r>
    </w:p>
    <w:p>
      <w:pPr>
        <w:spacing w:after="0" w:line="169"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3F3F3F"/>
        </w:rPr>
        <w:t>The payments to which our NEOs would be entitled in the event of these termination of employment events, or as a result of a change in control, assuming the Compensation Committee exercised its discretion under the 2016 Incentive Plan to accelerate the vesting of all equity awards, are set forth in the table below, assuming the event occurred on December 31, 2021 and assuming that the maximum amount of unvested shares will vest. For this purpose, we have assumed a value of $217.64 per share of our common stock, which was the closing price of the Company’s common stock on December 31, 2021.</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F3F3F"/>
        </w:rPr>
        <w:t>41</w:t>
      </w:r>
    </w:p>
    <w:p>
      <w:pPr>
        <w:sectPr>
          <w:pgSz w:w="11900" w:h="16838" w:orient="portrait"/>
          <w:cols w:equalWidth="0" w:num="1">
            <w:col w:w="11140"/>
          </w:cols>
          <w:pgMar w:left="320" w:top="455"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EXECUTIVE COMPENSATION</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940" w:type="dxa"/>
            <w:vAlign w:val="bottom"/>
          </w:tcPr>
          <w:p>
            <w:pPr>
              <w:spacing w:after="0"/>
              <w:rPr>
                <w:sz w:val="14"/>
                <w:szCs w:val="14"/>
                <w:color w:val="auto"/>
              </w:rPr>
            </w:pPr>
          </w:p>
        </w:tc>
        <w:tc>
          <w:tcPr>
            <w:tcW w:w="7080" w:type="dxa"/>
            <w:vAlign w:val="bottom"/>
          </w:tcPr>
          <w:p>
            <w:pPr>
              <w:ind w:left="2460"/>
              <w:spacing w:after="0"/>
              <w:rPr>
                <w:sz w:val="20"/>
                <w:szCs w:val="20"/>
                <w:color w:val="auto"/>
              </w:rPr>
            </w:pPr>
            <w:r>
              <w:rPr>
                <w:rFonts w:ascii="Arial" w:cs="Arial" w:eastAsia="Arial" w:hAnsi="Arial"/>
                <w:sz w:val="15"/>
                <w:szCs w:val="15"/>
                <w:b w:val="1"/>
                <w:bCs w:val="1"/>
                <w:color w:val="006098"/>
              </w:rPr>
              <w:t>Value of Equity Upon Acceleration or Change in Control</w:t>
            </w:r>
          </w:p>
        </w:tc>
      </w:tr>
      <w:tr>
        <w:trPr>
          <w:trHeight w:val="195"/>
        </w:trPr>
        <w:tc>
          <w:tcPr>
            <w:tcW w:w="3940" w:type="dxa"/>
            <w:vAlign w:val="bottom"/>
            <w:tcBorders>
              <w:bottom w:val="single" w:sz="8" w:color="83BA90"/>
            </w:tcBorders>
          </w:tcPr>
          <w:p>
            <w:pPr>
              <w:spacing w:after="0"/>
              <w:rPr>
                <w:sz w:val="20"/>
                <w:szCs w:val="20"/>
                <w:color w:val="auto"/>
              </w:rPr>
            </w:pPr>
            <w:r>
              <w:rPr>
                <w:rFonts w:ascii="Arial" w:cs="Arial" w:eastAsia="Arial" w:hAnsi="Arial"/>
                <w:sz w:val="15"/>
                <w:szCs w:val="15"/>
                <w:b w:val="1"/>
                <w:bCs w:val="1"/>
                <w:color w:val="006098"/>
              </w:rPr>
              <w:t>Name</w:t>
            </w:r>
          </w:p>
        </w:tc>
        <w:tc>
          <w:tcPr>
            <w:tcW w:w="7080" w:type="dxa"/>
            <w:vAlign w:val="bottom"/>
            <w:tcBorders>
              <w:bottom w:val="single" w:sz="8" w:color="83BA90"/>
            </w:tcBorders>
          </w:tcPr>
          <w:p>
            <w:pPr>
              <w:jc w:val="center"/>
              <w:ind w:left="1794"/>
              <w:spacing w:after="0"/>
              <w:rPr>
                <w:sz w:val="20"/>
                <w:szCs w:val="20"/>
                <w:color w:val="auto"/>
              </w:rPr>
            </w:pPr>
            <w:r>
              <w:rPr>
                <w:rFonts w:ascii="Arial" w:cs="Arial" w:eastAsia="Arial" w:hAnsi="Arial"/>
                <w:sz w:val="15"/>
                <w:szCs w:val="15"/>
                <w:b w:val="1"/>
                <w:bCs w:val="1"/>
                <w:color w:val="006098"/>
              </w:rPr>
              <w:t>($)</w:t>
            </w:r>
          </w:p>
        </w:tc>
      </w:tr>
      <w:tr>
        <w:trPr>
          <w:trHeight w:val="196"/>
        </w:trPr>
        <w:tc>
          <w:tcPr>
            <w:tcW w:w="39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006098"/>
              </w:rPr>
              <w:t>August J. Troendle</w:t>
            </w:r>
          </w:p>
        </w:tc>
        <w:tc>
          <w:tcPr>
            <w:tcW w:w="7080" w:type="dxa"/>
            <w:vAlign w:val="bottom"/>
            <w:tcBorders>
              <w:bottom w:val="single" w:sz="8" w:color="BFBFBF"/>
            </w:tcBorders>
          </w:tcPr>
          <w:p>
            <w:pPr>
              <w:jc w:val="center"/>
              <w:ind w:left="1794"/>
              <w:spacing w:after="0" w:line="196" w:lineRule="exact"/>
              <w:rPr>
                <w:sz w:val="20"/>
                <w:szCs w:val="20"/>
                <w:color w:val="auto"/>
              </w:rPr>
            </w:pPr>
            <w:r>
              <w:rPr>
                <w:rFonts w:ascii="Arial" w:cs="Arial" w:eastAsia="Arial" w:hAnsi="Arial"/>
                <w:sz w:val="18"/>
                <w:szCs w:val="18"/>
                <w:color w:val="3F3F3F"/>
              </w:rPr>
              <w:t>$5,747,368</w:t>
            </w:r>
          </w:p>
        </w:tc>
      </w:tr>
      <w:tr>
        <w:trPr>
          <w:trHeight w:val="196"/>
        </w:trPr>
        <w:tc>
          <w:tcPr>
            <w:tcW w:w="39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006098"/>
              </w:rPr>
              <w:t>Kevin M. Brady</w:t>
            </w:r>
          </w:p>
        </w:tc>
        <w:tc>
          <w:tcPr>
            <w:tcW w:w="7080" w:type="dxa"/>
            <w:vAlign w:val="bottom"/>
            <w:tcBorders>
              <w:bottom w:val="single" w:sz="8" w:color="BFBFBF"/>
            </w:tcBorders>
          </w:tcPr>
          <w:p>
            <w:pPr>
              <w:jc w:val="center"/>
              <w:ind w:left="1794"/>
              <w:spacing w:after="0" w:line="196" w:lineRule="exact"/>
              <w:rPr>
                <w:sz w:val="20"/>
                <w:szCs w:val="20"/>
                <w:color w:val="auto"/>
              </w:rPr>
            </w:pPr>
            <w:r>
              <w:rPr>
                <w:rFonts w:ascii="Arial" w:cs="Arial" w:eastAsia="Arial" w:hAnsi="Arial"/>
                <w:sz w:val="18"/>
                <w:szCs w:val="18"/>
                <w:color w:val="3F3F3F"/>
              </w:rPr>
              <w:t>$3,157,330</w:t>
            </w:r>
          </w:p>
        </w:tc>
      </w:tr>
      <w:tr>
        <w:trPr>
          <w:trHeight w:val="196"/>
        </w:trPr>
        <w:tc>
          <w:tcPr>
            <w:tcW w:w="39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006098"/>
              </w:rPr>
              <w:t>Jesse J. Geiger</w:t>
            </w:r>
          </w:p>
        </w:tc>
        <w:tc>
          <w:tcPr>
            <w:tcW w:w="7080" w:type="dxa"/>
            <w:vAlign w:val="bottom"/>
            <w:tcBorders>
              <w:bottom w:val="single" w:sz="8" w:color="BFBFBF"/>
            </w:tcBorders>
          </w:tcPr>
          <w:p>
            <w:pPr>
              <w:jc w:val="center"/>
              <w:ind w:left="1794"/>
              <w:spacing w:after="0" w:line="196" w:lineRule="exact"/>
              <w:rPr>
                <w:sz w:val="20"/>
                <w:szCs w:val="20"/>
                <w:color w:val="auto"/>
              </w:rPr>
            </w:pPr>
            <w:r>
              <w:rPr>
                <w:rFonts w:ascii="Arial" w:cs="Arial" w:eastAsia="Arial" w:hAnsi="Arial"/>
                <w:sz w:val="18"/>
                <w:szCs w:val="18"/>
                <w:color w:val="3F3F3F"/>
              </w:rPr>
              <w:t>$5,345,184</w:t>
            </w:r>
          </w:p>
        </w:tc>
      </w:tr>
      <w:tr>
        <w:trPr>
          <w:trHeight w:val="196"/>
        </w:trPr>
        <w:tc>
          <w:tcPr>
            <w:tcW w:w="39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006098"/>
              </w:rPr>
              <w:t>Susan E. Burwig</w:t>
            </w:r>
          </w:p>
        </w:tc>
        <w:tc>
          <w:tcPr>
            <w:tcW w:w="7080" w:type="dxa"/>
            <w:vAlign w:val="bottom"/>
            <w:tcBorders>
              <w:bottom w:val="single" w:sz="8" w:color="BFBFBF"/>
            </w:tcBorders>
          </w:tcPr>
          <w:p>
            <w:pPr>
              <w:jc w:val="center"/>
              <w:ind w:left="1794"/>
              <w:spacing w:after="0" w:line="196" w:lineRule="exact"/>
              <w:rPr>
                <w:sz w:val="20"/>
                <w:szCs w:val="20"/>
                <w:color w:val="auto"/>
              </w:rPr>
            </w:pPr>
            <w:r>
              <w:rPr>
                <w:rFonts w:ascii="Arial" w:cs="Arial" w:eastAsia="Arial" w:hAnsi="Arial"/>
                <w:sz w:val="18"/>
                <w:szCs w:val="18"/>
                <w:color w:val="3F3F3F"/>
              </w:rPr>
              <w:t>$5,650,098</w:t>
            </w:r>
          </w:p>
        </w:tc>
      </w:tr>
      <w:tr>
        <w:trPr>
          <w:trHeight w:val="196"/>
        </w:trPr>
        <w:tc>
          <w:tcPr>
            <w:tcW w:w="39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006098"/>
              </w:rPr>
              <w:t>Stephen P. Ewald</w:t>
            </w:r>
          </w:p>
        </w:tc>
        <w:tc>
          <w:tcPr>
            <w:tcW w:w="7080" w:type="dxa"/>
            <w:vAlign w:val="bottom"/>
            <w:tcBorders>
              <w:bottom w:val="single" w:sz="8" w:color="BFBFBF"/>
            </w:tcBorders>
          </w:tcPr>
          <w:p>
            <w:pPr>
              <w:jc w:val="center"/>
              <w:ind w:left="1794"/>
              <w:spacing w:after="0" w:line="196" w:lineRule="exact"/>
              <w:rPr>
                <w:sz w:val="20"/>
                <w:szCs w:val="20"/>
                <w:color w:val="auto"/>
              </w:rPr>
            </w:pPr>
            <w:r>
              <w:rPr>
                <w:rFonts w:ascii="Arial" w:cs="Arial" w:eastAsia="Arial" w:hAnsi="Arial"/>
                <w:sz w:val="18"/>
                <w:szCs w:val="18"/>
                <w:color w:val="3F3F3F"/>
              </w:rPr>
              <w:t>$3,046,061</w:t>
            </w: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Pay Ratio Disclosure</w:t>
      </w:r>
    </w:p>
    <w:p>
      <w:pPr>
        <w:spacing w:after="0" w:line="104"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3F3F3F"/>
        </w:rPr>
        <w:t>Pursuant to Item 402(u) of Regulation S-K promulgated by the SEC and Section 953(b) of the Dodd—Frank Wall Street Reform and Consumer Protection Act, presented below is the ratio of annual total compensation of our CEO to the annual total compensation of our median employee (excluding our CEO).</w:t>
      </w:r>
    </w:p>
    <w:p>
      <w:pPr>
        <w:spacing w:after="0" w:line="169"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3F3F3F"/>
        </w:rPr>
        <w:t>The 2021 annual total compensation as determined under Item 402 of Regulation S-K for our CEO was $5,947,423 as reported in the Summary Compensation Table of this Proxy Statement. For 2021 we identified a new median employee. The 2021 annual total compensation as determined under Item 402 of Regulation S-K for our median employee (excluding our CEO) was $65,209. The ratio of our CEO’s annual total compensation to our median employee’s total compensation for fiscal year 2021 is 91 to 1. To identify, and to determine the annual total compensation of, the median employee, we used the methodology set forth below.</w:t>
      </w:r>
    </w:p>
    <w:p>
      <w:pPr>
        <w:spacing w:after="0" w:line="176"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3F3F3F"/>
        </w:rPr>
        <w:t>Our diverse employee population includes employees located in the United States, Europe, Canada, Africa, Latin America and Asia Pacific, none of whom are currently covered by a collective bargaining agreement specific to our Company. The diverse employee population varies in areas such as experience, education and specialized training. For purposes of this pay ratio analysis, we selected the median employee based on the approximately 4,477 individuals who were employed by the Company and our consolidated subsidiaries (whether as full-time, part-time, temporary or seasonal workers) as of December 31, 2021. For full-time and part-time employees that were hired in 2021 but did not work the full year, we utilized their compensation as of December 31, 2021, but did not make any full-time equivalent adjustments. As permitted by SEC rules, the Company is permitted to exclude up to 5% of its total employees who are non-US employees. The Company excluded the following number of employees in the following locations: India (42 employees), Russia (57 employees), and Thailand (2 employees).</w:t>
      </w:r>
    </w:p>
    <w:p>
      <w:pPr>
        <w:spacing w:after="0" w:line="183"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3F3F3F"/>
        </w:rPr>
        <w:t>In identifying our median employee, we gathered the annual base salary from internal payroll records of each such employee as of December 31, 2021, and made certain direct cash adjustments, using such measure as our consistently applied compensation measure. The direct cash adjustments consist of all cash compensation elements, aside from annual base salary, appearing in such payroll records for each individual, including bonuses, retirement benefits and other cash components. We converted the annual base salary and direct cash adjustments for non-U.S. employees to U.S. dollars using applicable foreign exchange rates as of December 31, 2021 and did not make any cost-of-living adjustments for non-U.S. employees.</w:t>
      </w:r>
    </w:p>
    <w:p>
      <w:pPr>
        <w:spacing w:after="0" w:line="179" w:lineRule="exact"/>
        <w:rPr>
          <w:sz w:val="20"/>
          <w:szCs w:val="20"/>
          <w:color w:val="auto"/>
        </w:rPr>
      </w:pPr>
    </w:p>
    <w:p>
      <w:pPr>
        <w:ind w:left="120" w:right="300"/>
        <w:spacing w:after="0"/>
        <w:rPr>
          <w:sz w:val="20"/>
          <w:szCs w:val="20"/>
          <w:color w:val="auto"/>
        </w:rPr>
      </w:pPr>
      <w:r>
        <w:rPr>
          <w:rFonts w:ascii="Arial" w:cs="Arial" w:eastAsia="Arial" w:hAnsi="Arial"/>
          <w:sz w:val="18"/>
          <w:szCs w:val="18"/>
          <w:color w:val="3F3F3F"/>
        </w:rPr>
        <w:t>The ratio presented above is a reasonable estimate calculated in a manner consistent with Item 402(u) based on our payroll and employment records and the methodology described herein.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F3F3F"/>
        </w:rPr>
        <w:t>42</w:t>
      </w:r>
    </w:p>
    <w:p>
      <w:pPr>
        <w:sectPr>
          <w:pgSz w:w="11900" w:h="16838" w:orient="portrait"/>
          <w:cols w:equalWidth="0" w:num="1">
            <w:col w:w="11140"/>
          </w:cols>
          <w:pgMar w:left="32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PROPOSAL 3</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Advisory Vote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3F3F3F"/>
        </w:rPr>
        <w:t>In accordance with Section 14A of the Exchange Act, we are asking that our stockholders approve, on an advisory basis, the compensation of the executive officers named in the Summary Compensation Table of this proxy statement. This proposal gives our stockholders the opportunity to express their views on the compensation of our named executive officers. Stockholders also may, if they wish, abstain from casting a vote on this proposal.</w:t>
      </w:r>
    </w:p>
    <w:p>
      <w:pPr>
        <w:spacing w:after="0" w:line="174"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3F3F3F"/>
        </w:rPr>
        <w:t>In connection with this proposal, the Board of Directors encourages stockholders to review in detail the description of the compensation program for our named executive officers that is set forth in the Compensation Discussion and Analysis beginning on page 26, as well as the information contained in the compensation related tables and narrative discussion in this proxy statement.</w:t>
      </w:r>
    </w:p>
    <w:p>
      <w:pPr>
        <w:spacing w:after="0" w:line="169" w:lineRule="exact"/>
        <w:rPr>
          <w:sz w:val="20"/>
          <w:szCs w:val="20"/>
          <w:color w:val="auto"/>
        </w:rPr>
      </w:pPr>
    </w:p>
    <w:p>
      <w:pPr>
        <w:ind w:left="120" w:right="320"/>
        <w:spacing w:after="0" w:line="242" w:lineRule="auto"/>
        <w:rPr>
          <w:sz w:val="20"/>
          <w:szCs w:val="20"/>
          <w:color w:val="auto"/>
        </w:rPr>
      </w:pPr>
      <w:r>
        <w:rPr>
          <w:rFonts w:ascii="Arial" w:cs="Arial" w:eastAsia="Arial" w:hAnsi="Arial"/>
          <w:sz w:val="18"/>
          <w:szCs w:val="18"/>
          <w:color w:val="3F3F3F"/>
        </w:rPr>
        <w:t>As described in more detail in the Compensation Discussion and Analysis beginning on page 26, our overarching compensation philosophy is to pay for performance. This has been accomplished in a number of ways, including by structuring our program so that a significant portion of the ultimate amount of compensation earned by our named executive officers is earned through bonuses and an increase in the intrinsic value of equity grants. Further, our compensation program is designed to align the compensation of our named executive officers with the interests of our stockholders, and therefore provide material compensation in the form of long-term equity incentives that tie our named executive officers’ compensation directly to the performance of our stock.</w:t>
      </w:r>
    </w:p>
    <w:p>
      <w:pPr>
        <w:spacing w:after="0" w:line="179"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3F3F3F"/>
        </w:rPr>
        <w:t>Although the advisory vote is non-binding, the Board of Directors values stockholders’ opinions. The Compensation Committee will review the results of the vote and consistent with our record of stockholder responsiveness, the Compensation Committee will consider stockholders’ views and take into account the outcome of the vote when considering future decisions concerning our executive compensation program.</w:t>
      </w:r>
    </w:p>
    <w:p>
      <w:pPr>
        <w:spacing w:after="0" w:line="174"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3F3F3F"/>
        </w:rPr>
        <w:t>We are asking our stockholders to indicate their support for the compensation of our named executive officers as disclosed in this proxy statement by voting “FOR” the following resolution:</w:t>
      </w:r>
    </w:p>
    <w:p>
      <w:pPr>
        <w:spacing w:after="0" w:line="154" w:lineRule="exact"/>
        <w:rPr>
          <w:sz w:val="20"/>
          <w:szCs w:val="20"/>
          <w:color w:val="auto"/>
        </w:rPr>
      </w:pPr>
    </w:p>
    <w:p>
      <w:pPr>
        <w:ind w:left="120" w:right="380"/>
        <w:spacing w:after="0" w:line="247" w:lineRule="auto"/>
        <w:rPr>
          <w:sz w:val="20"/>
          <w:szCs w:val="20"/>
          <w:color w:val="auto"/>
        </w:rPr>
      </w:pPr>
      <w:r>
        <w:rPr>
          <w:rFonts w:ascii="Arial" w:cs="Arial" w:eastAsia="Arial" w:hAnsi="Arial"/>
          <w:sz w:val="18"/>
          <w:szCs w:val="18"/>
          <w:color w:val="3F3F3F"/>
        </w:rPr>
        <w:t>“RESOLVED, that the stockholders of Medpace Holdings, Inc. approve, on an advisory basis, the compensation paid to Medpace Holdings, Inc.’s named executive officers, as disclosed pursuant to the compensation disclosure rules of the Securities and Exchange Commission, including the Compensation Discussion and Analysis, the compensation tables and the narrative discussion in Medpace Holdings, Inc.’s 2022 Proxy Statement.”</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VOTE REQUIRED</w:t>
      </w:r>
    </w:p>
    <w:p>
      <w:pPr>
        <w:spacing w:after="0" w:line="21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3F3F3F"/>
        </w:rPr>
        <w:t>The proposal to approve, on an advisory basis, the compensation of our named executive officers requires an affirmative vote of a majority of the votes cast at the Annual Meeting by the holders of shares present virtually or represented by proxy and entitled to vote on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247650</wp:posOffset>
            </wp:positionV>
            <wp:extent cx="6995160" cy="4457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44577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1020" w:right="1240"/>
        <w:spacing w:after="0" w:line="281" w:lineRule="auto"/>
        <w:rPr>
          <w:sz w:val="20"/>
          <w:szCs w:val="20"/>
          <w:color w:val="auto"/>
        </w:rPr>
      </w:pPr>
      <w:r>
        <w:rPr>
          <w:rFonts w:ascii="Arial" w:cs="Arial" w:eastAsia="Arial" w:hAnsi="Arial"/>
          <w:sz w:val="18"/>
          <w:szCs w:val="18"/>
          <w:b w:val="1"/>
          <w:bCs w:val="1"/>
          <w:color w:val="FFFFFF"/>
        </w:rPr>
        <w:t xml:space="preserve">The Board of Directors unanimously recommends a vote </w:t>
      </w:r>
      <w:r>
        <w:rPr>
          <w:rFonts w:ascii="Arial" w:cs="Arial" w:eastAsia="Arial" w:hAnsi="Arial"/>
          <w:sz w:val="18"/>
          <w:szCs w:val="18"/>
          <w:b w:val="1"/>
          <w:bCs w:val="1"/>
          <w:color w:val="83BA90"/>
        </w:rPr>
        <w:t>FOR</w:t>
      </w:r>
      <w:r>
        <w:rPr>
          <w:rFonts w:ascii="Arial" w:cs="Arial" w:eastAsia="Arial" w:hAnsi="Arial"/>
          <w:sz w:val="18"/>
          <w:szCs w:val="18"/>
          <w:b w:val="1"/>
          <w:bCs w:val="1"/>
          <w:color w:val="FFFFFF"/>
        </w:rPr>
        <w:t xml:space="preserve"> the approval, on an advisory basis, of the compensation of our Named Executive Officers.</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43</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DIRECTOR COMPENSATION</w:t>
      </w:r>
    </w:p>
    <w:p>
      <w:pPr>
        <w:spacing w:after="0" w:line="108"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3F3F3F"/>
        </w:rPr>
        <w:t>We adopted a Non-Employee Director Compensation Policy that became effective after the effectiveness of the Company’s initial public offering. This policy was revised as of October 25, 2018. Pursuant to this policy, each eligible non-employee director receives an annual retainer with a value of $40,000 for service on the Board. Each Compensation Committee member receives an additional annual retainer with a value of $7,500. Each Audit Committee member, other than the Audit Committee chairperson, receives an additional annual retainer with a value of $7,500 and the Audit Committee chairperson receives an additional annual retainer with a value of $ 20,000. Directors who serve on the Nominating and Governance Committee do not receive any additional compensation for their services on the Nominating and Governance Committee. Any director elected or appointed mid-year will receive a pro-rated portion of the annual retainer adjusted to reflect his or her period of service, unless we determine otherwise. Each annual retainer is paid quarterly in arrears. The Board may, in its discretion, permit a non-employee director to elect to receive any portion of the annual retainer in the form of fully vested and unrestricted shares of Common Stock in lieu of cash.</w:t>
      </w:r>
    </w:p>
    <w:p>
      <w:pPr>
        <w:spacing w:after="0" w:line="180"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3F3F3F"/>
        </w:rPr>
        <w:t>Also, pursuant to the Non-Employee Director Compensation Policy, on the date of any annual meeting of our stockholders, we intend to grant each non-employee director an award of an option to purchase the numbers of shares of Common Stock (at a per-share exercise price equal to the closing price per share of the Common Stock on the date of such annual meeting (or on the last preceding trading day if the date of the annual meeting is not a trading day)) that has a grant date fair value of $90,000. The terms of each such award will be set forth in a written award agreement between each director and us.</w:t>
      </w:r>
    </w:p>
    <w:p>
      <w:pPr>
        <w:spacing w:after="0" w:line="176"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3F3F3F"/>
        </w:rPr>
        <w:t>All cash and equity awards granted under the Non-Employee Director Compensation Policy will be granted under, and subject to the limits of, the 2016 Incentive Plan.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Our directors who are employed by us or our subsidiaries do not receive any compensation except as limited to expense reimbursement.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2021 DIRECTOR COMPENSATION TABLE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following table sets forth summary compensation information for our directors for the fiscal year ended December 31, 2021:</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3880" w:type="dxa"/>
            <w:vAlign w:val="bottom"/>
            <w:vMerge w:val="restart"/>
          </w:tcPr>
          <w:p>
            <w:pPr>
              <w:jc w:val="center"/>
              <w:ind w:left="1834"/>
              <w:spacing w:after="0"/>
              <w:rPr>
                <w:sz w:val="20"/>
                <w:szCs w:val="20"/>
                <w:color w:val="auto"/>
              </w:rPr>
            </w:pPr>
            <w:r>
              <w:rPr>
                <w:rFonts w:ascii="Arial" w:cs="Arial" w:eastAsia="Arial" w:hAnsi="Arial"/>
                <w:sz w:val="14"/>
                <w:szCs w:val="14"/>
                <w:b w:val="1"/>
                <w:bCs w:val="1"/>
                <w:color w:val="006098"/>
              </w:rPr>
              <w:t>FEES EARNED OR</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006098"/>
              </w:rPr>
              <w:t>OPTION</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3880" w:type="dxa"/>
            <w:vAlign w:val="bottom"/>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006098"/>
              </w:rPr>
              <w:t>AWARDS (2) (3)</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40" w:type="dxa"/>
            <w:vAlign w:val="bottom"/>
            <w:tcBorders>
              <w:bottom w:val="single" w:sz="8" w:color="83BA90"/>
            </w:tcBorders>
          </w:tcPr>
          <w:p>
            <w:pPr>
              <w:spacing w:after="0"/>
              <w:rPr>
                <w:sz w:val="20"/>
                <w:szCs w:val="20"/>
                <w:color w:val="auto"/>
              </w:rPr>
            </w:pPr>
            <w:r>
              <w:rPr>
                <w:rFonts w:ascii="Arial" w:cs="Arial" w:eastAsia="Arial" w:hAnsi="Arial"/>
                <w:sz w:val="14"/>
                <w:szCs w:val="14"/>
                <w:b w:val="1"/>
                <w:bCs w:val="1"/>
                <w:color w:val="006098"/>
              </w:rPr>
              <w:t>NAME</w:t>
            </w:r>
          </w:p>
        </w:tc>
        <w:tc>
          <w:tcPr>
            <w:tcW w:w="3880" w:type="dxa"/>
            <w:vAlign w:val="bottom"/>
            <w:tcBorders>
              <w:bottom w:val="single" w:sz="8" w:color="83BA90"/>
            </w:tcBorders>
          </w:tcPr>
          <w:p>
            <w:pPr>
              <w:jc w:val="center"/>
              <w:ind w:left="1854"/>
              <w:spacing w:after="0"/>
              <w:rPr>
                <w:sz w:val="20"/>
                <w:szCs w:val="20"/>
                <w:color w:val="auto"/>
              </w:rPr>
            </w:pPr>
            <w:r>
              <w:rPr>
                <w:rFonts w:ascii="Arial" w:cs="Arial" w:eastAsia="Arial" w:hAnsi="Arial"/>
                <w:sz w:val="14"/>
                <w:szCs w:val="14"/>
                <w:b w:val="1"/>
                <w:bCs w:val="1"/>
                <w:color w:val="006098"/>
              </w:rPr>
              <w:t>PAID IN CASH ($)</w:t>
            </w:r>
          </w:p>
        </w:tc>
        <w:tc>
          <w:tcPr>
            <w:tcW w:w="1740" w:type="dxa"/>
            <w:vAlign w:val="bottom"/>
            <w:tcBorders>
              <w:bottom w:val="single" w:sz="8" w:color="83BA90"/>
            </w:tcBorders>
          </w:tcPr>
          <w:p>
            <w:pPr>
              <w:jc w:val="center"/>
              <w:spacing w:after="0"/>
              <w:rPr>
                <w:sz w:val="20"/>
                <w:szCs w:val="20"/>
                <w:color w:val="auto"/>
              </w:rPr>
            </w:pPr>
            <w:r>
              <w:rPr>
                <w:rFonts w:ascii="Arial" w:cs="Arial" w:eastAsia="Arial" w:hAnsi="Arial"/>
                <w:sz w:val="14"/>
                <w:szCs w:val="14"/>
                <w:b w:val="1"/>
                <w:bCs w:val="1"/>
                <w:color w:val="006098"/>
                <w:w w:val="93"/>
              </w:rPr>
              <w:t>($)</w:t>
            </w:r>
          </w:p>
        </w:tc>
        <w:tc>
          <w:tcPr>
            <w:tcW w:w="1160" w:type="dxa"/>
            <w:vAlign w:val="bottom"/>
            <w:tcBorders>
              <w:bottom w:val="single" w:sz="8" w:color="83BA90"/>
            </w:tcBorders>
          </w:tcPr>
          <w:p>
            <w:pPr>
              <w:ind w:left="340"/>
              <w:spacing w:after="0"/>
              <w:rPr>
                <w:sz w:val="20"/>
                <w:szCs w:val="20"/>
                <w:color w:val="auto"/>
              </w:rPr>
            </w:pPr>
            <w:r>
              <w:rPr>
                <w:rFonts w:ascii="Arial" w:cs="Arial" w:eastAsia="Arial" w:hAnsi="Arial"/>
                <w:sz w:val="14"/>
                <w:szCs w:val="14"/>
                <w:b w:val="1"/>
                <w:bCs w:val="1"/>
                <w:color w:val="006098"/>
              </w:rPr>
              <w:t>TOTAL ($)</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006098"/>
              </w:rPr>
              <w:t>Brian T. Carley</w:t>
            </w:r>
          </w:p>
        </w:tc>
        <w:tc>
          <w:tcPr>
            <w:tcW w:w="3880" w:type="dxa"/>
            <w:vAlign w:val="bottom"/>
            <w:tcBorders>
              <w:bottom w:val="single" w:sz="8" w:color="BFBFBF"/>
            </w:tcBorders>
          </w:tcPr>
          <w:p>
            <w:pPr>
              <w:jc w:val="center"/>
              <w:ind w:left="1834"/>
              <w:spacing w:after="0" w:line="196" w:lineRule="exact"/>
              <w:rPr>
                <w:sz w:val="20"/>
                <w:szCs w:val="20"/>
                <w:color w:val="auto"/>
              </w:rPr>
            </w:pPr>
            <w:r>
              <w:rPr>
                <w:rFonts w:ascii="Arial" w:cs="Arial" w:eastAsia="Arial" w:hAnsi="Arial"/>
                <w:sz w:val="18"/>
                <w:szCs w:val="18"/>
                <w:color w:val="3F3F3F"/>
                <w:w w:val="98"/>
              </w:rPr>
              <w:t>$60,000</w:t>
            </w:r>
          </w:p>
        </w:tc>
        <w:tc>
          <w:tcPr>
            <w:tcW w:w="1740" w:type="dxa"/>
            <w:vAlign w:val="bottom"/>
            <w:tcBorders>
              <w:bottom w:val="single" w:sz="8" w:color="BFBFBF"/>
            </w:tcBorders>
          </w:tcPr>
          <w:p>
            <w:pPr>
              <w:jc w:val="center"/>
              <w:spacing w:after="0" w:line="196" w:lineRule="exact"/>
              <w:rPr>
                <w:sz w:val="20"/>
                <w:szCs w:val="20"/>
                <w:color w:val="auto"/>
              </w:rPr>
            </w:pPr>
            <w:r>
              <w:rPr>
                <w:rFonts w:ascii="Arial" w:cs="Arial" w:eastAsia="Arial" w:hAnsi="Arial"/>
                <w:sz w:val="18"/>
                <w:szCs w:val="18"/>
                <w:color w:val="3F3F3F"/>
                <w:w w:val="98"/>
              </w:rPr>
              <w:t>$89,993</w:t>
            </w:r>
          </w:p>
        </w:tc>
        <w:tc>
          <w:tcPr>
            <w:tcW w:w="1160" w:type="dxa"/>
            <w:vAlign w:val="bottom"/>
            <w:tcBorders>
              <w:bottom w:val="single" w:sz="8" w:color="BFBFBF"/>
            </w:tcBorders>
          </w:tcPr>
          <w:p>
            <w:pPr>
              <w:jc w:val="center"/>
              <w:ind w:left="132"/>
              <w:spacing w:after="0" w:line="196" w:lineRule="exact"/>
              <w:rPr>
                <w:sz w:val="20"/>
                <w:szCs w:val="20"/>
                <w:color w:val="auto"/>
              </w:rPr>
            </w:pPr>
            <w:r>
              <w:rPr>
                <w:rFonts w:ascii="Arial" w:cs="Arial" w:eastAsia="Arial" w:hAnsi="Arial"/>
                <w:sz w:val="18"/>
                <w:szCs w:val="18"/>
                <w:color w:val="3F3F3F"/>
                <w:w w:val="98"/>
              </w:rPr>
              <w:t>$149,993</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006098"/>
              </w:rPr>
              <w:t>Fred B. Davenport, Jr.</w:t>
            </w:r>
          </w:p>
        </w:tc>
        <w:tc>
          <w:tcPr>
            <w:tcW w:w="3880" w:type="dxa"/>
            <w:vAlign w:val="bottom"/>
            <w:tcBorders>
              <w:bottom w:val="single" w:sz="8" w:color="BFBFBF"/>
            </w:tcBorders>
          </w:tcPr>
          <w:p>
            <w:pPr>
              <w:jc w:val="center"/>
              <w:ind w:left="1834"/>
              <w:spacing w:after="0" w:line="196" w:lineRule="exact"/>
              <w:rPr>
                <w:sz w:val="20"/>
                <w:szCs w:val="20"/>
                <w:color w:val="auto"/>
              </w:rPr>
            </w:pPr>
            <w:r>
              <w:rPr>
                <w:rFonts w:ascii="Arial" w:cs="Arial" w:eastAsia="Arial" w:hAnsi="Arial"/>
                <w:sz w:val="18"/>
                <w:szCs w:val="18"/>
                <w:color w:val="3F3F3F"/>
                <w:w w:val="98"/>
              </w:rPr>
              <w:t>$55,000</w:t>
            </w:r>
          </w:p>
        </w:tc>
        <w:tc>
          <w:tcPr>
            <w:tcW w:w="1740" w:type="dxa"/>
            <w:vAlign w:val="bottom"/>
            <w:tcBorders>
              <w:bottom w:val="single" w:sz="8" w:color="BFBFBF"/>
            </w:tcBorders>
          </w:tcPr>
          <w:p>
            <w:pPr>
              <w:jc w:val="center"/>
              <w:spacing w:after="0" w:line="196" w:lineRule="exact"/>
              <w:rPr>
                <w:sz w:val="20"/>
                <w:szCs w:val="20"/>
                <w:color w:val="auto"/>
              </w:rPr>
            </w:pPr>
            <w:r>
              <w:rPr>
                <w:rFonts w:ascii="Arial" w:cs="Arial" w:eastAsia="Arial" w:hAnsi="Arial"/>
                <w:sz w:val="18"/>
                <w:szCs w:val="18"/>
                <w:color w:val="3F3F3F"/>
                <w:w w:val="98"/>
              </w:rPr>
              <w:t>$89,993</w:t>
            </w:r>
          </w:p>
        </w:tc>
        <w:tc>
          <w:tcPr>
            <w:tcW w:w="1160" w:type="dxa"/>
            <w:vAlign w:val="bottom"/>
            <w:tcBorders>
              <w:bottom w:val="single" w:sz="8" w:color="BFBFBF"/>
            </w:tcBorders>
          </w:tcPr>
          <w:p>
            <w:pPr>
              <w:jc w:val="center"/>
              <w:ind w:left="132"/>
              <w:spacing w:after="0" w:line="196" w:lineRule="exact"/>
              <w:rPr>
                <w:sz w:val="20"/>
                <w:szCs w:val="20"/>
                <w:color w:val="auto"/>
              </w:rPr>
            </w:pPr>
            <w:r>
              <w:rPr>
                <w:rFonts w:ascii="Arial" w:cs="Arial" w:eastAsia="Arial" w:hAnsi="Arial"/>
                <w:sz w:val="18"/>
                <w:szCs w:val="18"/>
                <w:color w:val="3F3F3F"/>
                <w:w w:val="98"/>
              </w:rPr>
              <w:t>$144,993</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006098"/>
              </w:rPr>
              <w:t>Ashley M. Keating</w:t>
            </w:r>
          </w:p>
        </w:tc>
        <w:tc>
          <w:tcPr>
            <w:tcW w:w="3880" w:type="dxa"/>
            <w:vAlign w:val="bottom"/>
            <w:tcBorders>
              <w:bottom w:val="single" w:sz="8" w:color="BFBFBF"/>
            </w:tcBorders>
          </w:tcPr>
          <w:p>
            <w:pPr>
              <w:jc w:val="center"/>
              <w:ind w:left="1834"/>
              <w:spacing w:after="0" w:line="196" w:lineRule="exact"/>
              <w:rPr>
                <w:sz w:val="20"/>
                <w:szCs w:val="20"/>
                <w:color w:val="auto"/>
              </w:rPr>
            </w:pPr>
            <w:r>
              <w:rPr>
                <w:rFonts w:ascii="Arial" w:cs="Arial" w:eastAsia="Arial" w:hAnsi="Arial"/>
                <w:sz w:val="18"/>
                <w:szCs w:val="18"/>
                <w:color w:val="3F3F3F"/>
                <w:w w:val="98"/>
              </w:rPr>
              <w:t>$40,000</w:t>
            </w:r>
          </w:p>
        </w:tc>
        <w:tc>
          <w:tcPr>
            <w:tcW w:w="1740" w:type="dxa"/>
            <w:vAlign w:val="bottom"/>
            <w:tcBorders>
              <w:bottom w:val="single" w:sz="8" w:color="BFBFBF"/>
            </w:tcBorders>
          </w:tcPr>
          <w:p>
            <w:pPr>
              <w:jc w:val="center"/>
              <w:spacing w:after="0" w:line="196" w:lineRule="exact"/>
              <w:rPr>
                <w:sz w:val="20"/>
                <w:szCs w:val="20"/>
                <w:color w:val="auto"/>
              </w:rPr>
            </w:pPr>
            <w:r>
              <w:rPr>
                <w:rFonts w:ascii="Arial" w:cs="Arial" w:eastAsia="Arial" w:hAnsi="Arial"/>
                <w:sz w:val="18"/>
                <w:szCs w:val="18"/>
                <w:color w:val="3F3F3F"/>
                <w:w w:val="98"/>
              </w:rPr>
              <w:t>$89,993</w:t>
            </w:r>
          </w:p>
        </w:tc>
        <w:tc>
          <w:tcPr>
            <w:tcW w:w="1160" w:type="dxa"/>
            <w:vAlign w:val="bottom"/>
            <w:tcBorders>
              <w:bottom w:val="single" w:sz="8" w:color="BFBFBF"/>
            </w:tcBorders>
          </w:tcPr>
          <w:p>
            <w:pPr>
              <w:jc w:val="center"/>
              <w:ind w:left="132"/>
              <w:spacing w:after="0" w:line="196" w:lineRule="exact"/>
              <w:rPr>
                <w:sz w:val="20"/>
                <w:szCs w:val="20"/>
                <w:color w:val="auto"/>
              </w:rPr>
            </w:pPr>
            <w:r>
              <w:rPr>
                <w:rFonts w:ascii="Arial" w:cs="Arial" w:eastAsia="Arial" w:hAnsi="Arial"/>
                <w:sz w:val="18"/>
                <w:szCs w:val="18"/>
                <w:color w:val="3F3F3F"/>
                <w:w w:val="98"/>
              </w:rPr>
              <w:t>$129,993</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006098"/>
              </w:rPr>
              <w:t>Thomas C. King</w:t>
            </w:r>
          </w:p>
        </w:tc>
        <w:tc>
          <w:tcPr>
            <w:tcW w:w="3880" w:type="dxa"/>
            <w:vAlign w:val="bottom"/>
            <w:tcBorders>
              <w:bottom w:val="single" w:sz="8" w:color="BFBFBF"/>
            </w:tcBorders>
          </w:tcPr>
          <w:p>
            <w:pPr>
              <w:jc w:val="center"/>
              <w:ind w:left="1834"/>
              <w:spacing w:after="0" w:line="196" w:lineRule="exact"/>
              <w:rPr>
                <w:sz w:val="20"/>
                <w:szCs w:val="20"/>
                <w:color w:val="auto"/>
              </w:rPr>
            </w:pPr>
            <w:r>
              <w:rPr>
                <w:rFonts w:ascii="Arial" w:cs="Arial" w:eastAsia="Arial" w:hAnsi="Arial"/>
                <w:sz w:val="18"/>
                <w:szCs w:val="18"/>
                <w:color w:val="3F3F3F"/>
                <w:w w:val="98"/>
              </w:rPr>
              <w:t>$40,000</w:t>
            </w:r>
          </w:p>
        </w:tc>
        <w:tc>
          <w:tcPr>
            <w:tcW w:w="1740" w:type="dxa"/>
            <w:vAlign w:val="bottom"/>
            <w:tcBorders>
              <w:bottom w:val="single" w:sz="8" w:color="BFBFBF"/>
            </w:tcBorders>
          </w:tcPr>
          <w:p>
            <w:pPr>
              <w:jc w:val="center"/>
              <w:spacing w:after="0" w:line="196" w:lineRule="exact"/>
              <w:rPr>
                <w:sz w:val="20"/>
                <w:szCs w:val="20"/>
                <w:color w:val="auto"/>
              </w:rPr>
            </w:pPr>
            <w:r>
              <w:rPr>
                <w:rFonts w:ascii="Arial" w:cs="Arial" w:eastAsia="Arial" w:hAnsi="Arial"/>
                <w:sz w:val="18"/>
                <w:szCs w:val="18"/>
                <w:color w:val="3F3F3F"/>
                <w:w w:val="98"/>
              </w:rPr>
              <w:t>$89,993</w:t>
            </w:r>
          </w:p>
        </w:tc>
        <w:tc>
          <w:tcPr>
            <w:tcW w:w="1160" w:type="dxa"/>
            <w:vAlign w:val="bottom"/>
            <w:tcBorders>
              <w:bottom w:val="single" w:sz="8" w:color="BFBFBF"/>
            </w:tcBorders>
          </w:tcPr>
          <w:p>
            <w:pPr>
              <w:jc w:val="center"/>
              <w:ind w:left="132"/>
              <w:spacing w:after="0" w:line="196" w:lineRule="exact"/>
              <w:rPr>
                <w:sz w:val="20"/>
                <w:szCs w:val="20"/>
                <w:color w:val="auto"/>
              </w:rPr>
            </w:pPr>
            <w:r>
              <w:rPr>
                <w:rFonts w:ascii="Arial" w:cs="Arial" w:eastAsia="Arial" w:hAnsi="Arial"/>
                <w:sz w:val="18"/>
                <w:szCs w:val="18"/>
                <w:color w:val="3F3F3F"/>
                <w:w w:val="98"/>
              </w:rPr>
              <w:t>$129,993</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006098"/>
              </w:rPr>
              <w:t>Robert O. Kraft</w:t>
            </w:r>
          </w:p>
        </w:tc>
        <w:tc>
          <w:tcPr>
            <w:tcW w:w="3880" w:type="dxa"/>
            <w:vAlign w:val="bottom"/>
            <w:tcBorders>
              <w:bottom w:val="single" w:sz="8" w:color="BFBFBF"/>
            </w:tcBorders>
          </w:tcPr>
          <w:p>
            <w:pPr>
              <w:jc w:val="center"/>
              <w:ind w:left="1834"/>
              <w:spacing w:after="0" w:line="196" w:lineRule="exact"/>
              <w:rPr>
                <w:sz w:val="20"/>
                <w:szCs w:val="20"/>
                <w:color w:val="auto"/>
              </w:rPr>
            </w:pPr>
            <w:r>
              <w:rPr>
                <w:rFonts w:ascii="Arial" w:cs="Arial" w:eastAsia="Arial" w:hAnsi="Arial"/>
                <w:sz w:val="18"/>
                <w:szCs w:val="18"/>
                <w:color w:val="3F3F3F"/>
                <w:w w:val="98"/>
              </w:rPr>
              <w:t>$55,000</w:t>
            </w:r>
          </w:p>
        </w:tc>
        <w:tc>
          <w:tcPr>
            <w:tcW w:w="1740" w:type="dxa"/>
            <w:vAlign w:val="bottom"/>
            <w:tcBorders>
              <w:bottom w:val="single" w:sz="8" w:color="BFBFBF"/>
            </w:tcBorders>
          </w:tcPr>
          <w:p>
            <w:pPr>
              <w:jc w:val="center"/>
              <w:spacing w:after="0" w:line="196" w:lineRule="exact"/>
              <w:rPr>
                <w:sz w:val="20"/>
                <w:szCs w:val="20"/>
                <w:color w:val="auto"/>
              </w:rPr>
            </w:pPr>
            <w:r>
              <w:rPr>
                <w:rFonts w:ascii="Arial" w:cs="Arial" w:eastAsia="Arial" w:hAnsi="Arial"/>
                <w:sz w:val="18"/>
                <w:szCs w:val="18"/>
                <w:color w:val="3F3F3F"/>
                <w:w w:val="98"/>
              </w:rPr>
              <w:t>$89,993</w:t>
            </w:r>
          </w:p>
        </w:tc>
        <w:tc>
          <w:tcPr>
            <w:tcW w:w="1160" w:type="dxa"/>
            <w:vAlign w:val="bottom"/>
            <w:tcBorders>
              <w:bottom w:val="single" w:sz="8" w:color="BFBFBF"/>
            </w:tcBorders>
          </w:tcPr>
          <w:p>
            <w:pPr>
              <w:jc w:val="center"/>
              <w:ind w:left="132"/>
              <w:spacing w:after="0" w:line="196" w:lineRule="exact"/>
              <w:rPr>
                <w:sz w:val="20"/>
                <w:szCs w:val="20"/>
                <w:color w:val="auto"/>
              </w:rPr>
            </w:pPr>
            <w:r>
              <w:rPr>
                <w:rFonts w:ascii="Arial" w:cs="Arial" w:eastAsia="Arial" w:hAnsi="Arial"/>
                <w:sz w:val="18"/>
                <w:szCs w:val="18"/>
                <w:color w:val="3F3F3F"/>
                <w:w w:val="98"/>
              </w:rPr>
              <w:t>$144,993</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006098"/>
              </w:rPr>
              <w:t>Cornelius P. McCarthy III</w:t>
            </w:r>
          </w:p>
        </w:tc>
        <w:tc>
          <w:tcPr>
            <w:tcW w:w="3880" w:type="dxa"/>
            <w:vAlign w:val="bottom"/>
            <w:tcBorders>
              <w:bottom w:val="single" w:sz="8" w:color="BFBFBF"/>
            </w:tcBorders>
          </w:tcPr>
          <w:p>
            <w:pPr>
              <w:jc w:val="center"/>
              <w:ind w:left="1834"/>
              <w:spacing w:after="0" w:line="196" w:lineRule="exact"/>
              <w:rPr>
                <w:sz w:val="20"/>
                <w:szCs w:val="20"/>
                <w:color w:val="auto"/>
              </w:rPr>
            </w:pPr>
            <w:r>
              <w:rPr>
                <w:rFonts w:ascii="Arial" w:cs="Arial" w:eastAsia="Arial" w:hAnsi="Arial"/>
                <w:sz w:val="18"/>
                <w:szCs w:val="18"/>
                <w:color w:val="3F3F3F"/>
                <w:w w:val="98"/>
              </w:rPr>
              <w:t>$47,500</w:t>
            </w:r>
          </w:p>
        </w:tc>
        <w:tc>
          <w:tcPr>
            <w:tcW w:w="1740" w:type="dxa"/>
            <w:vAlign w:val="bottom"/>
            <w:tcBorders>
              <w:bottom w:val="single" w:sz="8" w:color="BFBFBF"/>
            </w:tcBorders>
          </w:tcPr>
          <w:p>
            <w:pPr>
              <w:jc w:val="center"/>
              <w:spacing w:after="0" w:line="196" w:lineRule="exact"/>
              <w:rPr>
                <w:sz w:val="20"/>
                <w:szCs w:val="20"/>
                <w:color w:val="auto"/>
              </w:rPr>
            </w:pPr>
            <w:r>
              <w:rPr>
                <w:rFonts w:ascii="Arial" w:cs="Arial" w:eastAsia="Arial" w:hAnsi="Arial"/>
                <w:sz w:val="18"/>
                <w:szCs w:val="18"/>
                <w:color w:val="3F3F3F"/>
                <w:w w:val="98"/>
              </w:rPr>
              <w:t>$89,993</w:t>
            </w:r>
          </w:p>
        </w:tc>
        <w:tc>
          <w:tcPr>
            <w:tcW w:w="1160" w:type="dxa"/>
            <w:vAlign w:val="bottom"/>
            <w:tcBorders>
              <w:bottom w:val="single" w:sz="8" w:color="BFBFBF"/>
            </w:tcBorders>
          </w:tcPr>
          <w:p>
            <w:pPr>
              <w:jc w:val="center"/>
              <w:ind w:left="132"/>
              <w:spacing w:after="0" w:line="196" w:lineRule="exact"/>
              <w:rPr>
                <w:sz w:val="20"/>
                <w:szCs w:val="20"/>
                <w:color w:val="auto"/>
              </w:rPr>
            </w:pPr>
            <w:r>
              <w:rPr>
                <w:rFonts w:ascii="Arial" w:cs="Arial" w:eastAsia="Arial" w:hAnsi="Arial"/>
                <w:sz w:val="18"/>
                <w:szCs w:val="18"/>
                <w:color w:val="3F3F3F"/>
                <w:w w:val="98"/>
              </w:rPr>
              <w:t>$137,493</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BFBFBF"/>
            </w:tcBorders>
          </w:tcPr>
          <w:p>
            <w:pPr>
              <w:spacing w:after="0" w:line="196" w:lineRule="exact"/>
              <w:rPr>
                <w:sz w:val="20"/>
                <w:szCs w:val="20"/>
                <w:color w:val="auto"/>
              </w:rPr>
            </w:pPr>
            <w:r>
              <w:rPr>
                <w:rFonts w:ascii="Arial" w:cs="Arial" w:eastAsia="Arial" w:hAnsi="Arial"/>
                <w:sz w:val="18"/>
                <w:szCs w:val="18"/>
                <w:color w:val="006098"/>
              </w:rPr>
              <w:t>August J. Troendle (1)</w:t>
            </w:r>
          </w:p>
        </w:tc>
        <w:tc>
          <w:tcPr>
            <w:tcW w:w="3880" w:type="dxa"/>
            <w:vAlign w:val="bottom"/>
            <w:tcBorders>
              <w:bottom w:val="single" w:sz="8" w:color="BFBFBF"/>
            </w:tcBorders>
          </w:tcPr>
          <w:p>
            <w:pPr>
              <w:jc w:val="center"/>
              <w:ind w:left="1834"/>
              <w:spacing w:after="0" w:line="196" w:lineRule="exact"/>
              <w:rPr>
                <w:sz w:val="20"/>
                <w:szCs w:val="20"/>
                <w:color w:val="auto"/>
              </w:rPr>
            </w:pPr>
            <w:r>
              <w:rPr>
                <w:rFonts w:ascii="Arial" w:cs="Arial" w:eastAsia="Arial" w:hAnsi="Arial"/>
                <w:sz w:val="18"/>
                <w:szCs w:val="18"/>
                <w:color w:val="3F3F3F"/>
                <w:w w:val="96"/>
              </w:rPr>
              <w:t>$ —</w:t>
            </w:r>
          </w:p>
        </w:tc>
        <w:tc>
          <w:tcPr>
            <w:tcW w:w="1740" w:type="dxa"/>
            <w:vAlign w:val="bottom"/>
            <w:tcBorders>
              <w:bottom w:val="single" w:sz="8" w:color="BFBFBF"/>
            </w:tcBorders>
          </w:tcPr>
          <w:p>
            <w:pPr>
              <w:jc w:val="center"/>
              <w:spacing w:after="0" w:line="196" w:lineRule="exact"/>
              <w:rPr>
                <w:sz w:val="20"/>
                <w:szCs w:val="20"/>
                <w:color w:val="auto"/>
              </w:rPr>
            </w:pPr>
            <w:r>
              <w:rPr>
                <w:rFonts w:ascii="Arial" w:cs="Arial" w:eastAsia="Arial" w:hAnsi="Arial"/>
                <w:sz w:val="18"/>
                <w:szCs w:val="18"/>
                <w:color w:val="3F3F3F"/>
                <w:w w:val="96"/>
              </w:rPr>
              <w:t>$ —</w:t>
            </w:r>
          </w:p>
        </w:tc>
        <w:tc>
          <w:tcPr>
            <w:tcW w:w="1160" w:type="dxa"/>
            <w:vAlign w:val="bottom"/>
            <w:tcBorders>
              <w:bottom w:val="single" w:sz="8" w:color="BFBFBF"/>
            </w:tcBorders>
          </w:tcPr>
          <w:p>
            <w:pPr>
              <w:jc w:val="center"/>
              <w:ind w:left="132"/>
              <w:spacing w:after="0" w:line="196" w:lineRule="exact"/>
              <w:rPr>
                <w:sz w:val="20"/>
                <w:szCs w:val="20"/>
                <w:color w:val="auto"/>
              </w:rPr>
            </w:pPr>
            <w:r>
              <w:rPr>
                <w:rFonts w:ascii="Arial" w:cs="Arial" w:eastAsia="Arial" w:hAnsi="Arial"/>
                <w:sz w:val="18"/>
                <w:szCs w:val="18"/>
                <w:color w:val="3F3F3F"/>
              </w:rPr>
              <w:t>$ —</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60" w:hanging="544"/>
        <w:spacing w:after="0"/>
        <w:tabs>
          <w:tab w:leader="none" w:pos="660" w:val="left"/>
        </w:tabs>
        <w:numPr>
          <w:ilvl w:val="0"/>
          <w:numId w:val="24"/>
        </w:numPr>
        <w:rPr>
          <w:rFonts w:ascii="Arial" w:cs="Arial" w:eastAsia="Arial" w:hAnsi="Arial"/>
          <w:sz w:val="18"/>
          <w:szCs w:val="18"/>
          <w:color w:val="3F3F3F"/>
        </w:rPr>
      </w:pPr>
      <w:r>
        <w:rPr>
          <w:rFonts w:ascii="Arial" w:cs="Arial" w:eastAsia="Arial" w:hAnsi="Arial"/>
          <w:sz w:val="18"/>
          <w:szCs w:val="18"/>
          <w:color w:val="3F3F3F"/>
        </w:rPr>
        <w:t>Mr. Troendle receives no cash or equity compensation for his service as a member of the board of directors.</w:t>
      </w:r>
    </w:p>
    <w:p>
      <w:pPr>
        <w:spacing w:after="0" w:line="117" w:lineRule="exact"/>
        <w:rPr>
          <w:rFonts w:ascii="Arial" w:cs="Arial" w:eastAsia="Arial" w:hAnsi="Arial"/>
          <w:sz w:val="18"/>
          <w:szCs w:val="18"/>
          <w:color w:val="3F3F3F"/>
        </w:rPr>
      </w:pPr>
    </w:p>
    <w:p>
      <w:pPr>
        <w:ind w:left="660" w:right="300" w:hanging="544"/>
        <w:spacing w:after="0" w:line="275" w:lineRule="auto"/>
        <w:tabs>
          <w:tab w:leader="none" w:pos="660" w:val="left"/>
        </w:tabs>
        <w:numPr>
          <w:ilvl w:val="0"/>
          <w:numId w:val="24"/>
        </w:numPr>
        <w:rPr>
          <w:rFonts w:ascii="Arial" w:cs="Arial" w:eastAsia="Arial" w:hAnsi="Arial"/>
          <w:sz w:val="17"/>
          <w:szCs w:val="17"/>
          <w:color w:val="3F3F3F"/>
        </w:rPr>
      </w:pPr>
      <w:r>
        <w:rPr>
          <w:rFonts w:ascii="Arial" w:cs="Arial" w:eastAsia="Arial" w:hAnsi="Arial"/>
          <w:sz w:val="17"/>
          <w:szCs w:val="17"/>
          <w:color w:val="3F3F3F"/>
        </w:rPr>
        <w:t>All stock option awards granted to any directors have been valued based on the fair value of the option awards using the Black-Scholes-Merton option pricing model. We provide information regarding the assumptions used to calculate the value of all option awards made to directors in 2021 in our Annual Report on Form 10-K for 2021 under “Equity Awards – Valuation Assumptions”.</w:t>
      </w:r>
    </w:p>
    <w:p>
      <w:pPr>
        <w:spacing w:after="0" w:line="57" w:lineRule="exact"/>
        <w:rPr>
          <w:rFonts w:ascii="Arial" w:cs="Arial" w:eastAsia="Arial" w:hAnsi="Arial"/>
          <w:sz w:val="17"/>
          <w:szCs w:val="17"/>
          <w:color w:val="3F3F3F"/>
        </w:rPr>
      </w:pPr>
    </w:p>
    <w:p>
      <w:pPr>
        <w:ind w:left="660" w:hanging="544"/>
        <w:spacing w:after="0"/>
        <w:tabs>
          <w:tab w:leader="none" w:pos="660" w:val="left"/>
        </w:tabs>
        <w:numPr>
          <w:ilvl w:val="0"/>
          <w:numId w:val="24"/>
        </w:numPr>
        <w:rPr>
          <w:rFonts w:ascii="Arial" w:cs="Arial" w:eastAsia="Arial" w:hAnsi="Arial"/>
          <w:sz w:val="18"/>
          <w:szCs w:val="18"/>
          <w:color w:val="3F3F3F"/>
        </w:rPr>
      </w:pPr>
      <w:r>
        <w:rPr>
          <w:rFonts w:ascii="Arial" w:cs="Arial" w:eastAsia="Arial" w:hAnsi="Arial"/>
          <w:sz w:val="18"/>
          <w:szCs w:val="18"/>
          <w:color w:val="3F3F3F"/>
        </w:rPr>
        <w:t>The aggregate number of options outstanding for each director appears in the table that follows.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F3F3F"/>
        </w:rPr>
        <w:t>44</w:t>
      </w:r>
    </w:p>
    <w:p>
      <w:pPr>
        <w:sectPr>
          <w:pgSz w:w="11900" w:h="16838" w:orient="portrait"/>
          <w:cols w:equalWidth="0" w:num="1">
            <w:col w:w="11140"/>
          </w:cols>
          <w:pgMar w:left="320" w:top="455" w:right="4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DIRECTOR COMPENSATION</w:t>
      </w:r>
    </w:p>
    <w:p>
      <w:pPr>
        <w:spacing w:after="0" w:line="144"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3F3F3F"/>
        </w:rPr>
        <w:t>In connection with our 2021 Annual Meeting, on May 14, 2021, pursuant to the Non-Employee Director Compensation Policy, Mr. Carley, Mr. Davenport, Ms. Keating, Mr. King, Mr. Kraft and Mr. McCarthy were each granted stock options under the 2016 Incentive Plan. The terms of the stock options provide for (i) an exercise price equal to $164.68 per share; (ii) vesting on the earlier of (a) the day immediately preceding the date of the first annual meeting of the Company following the date of the grant and (b) the first anniversary of the date of the grant; and (iii) expiration upon the seventh anniversary of the date of grant.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following table shows the aggregate number of option awards outstanding on December 31, 2021 for each of our directors.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80" w:type="dxa"/>
            <w:vAlign w:val="bottom"/>
          </w:tcPr>
          <w:p>
            <w:pPr>
              <w:jc w:val="center"/>
              <w:ind w:left="33"/>
              <w:spacing w:after="0"/>
              <w:rPr>
                <w:sz w:val="20"/>
                <w:szCs w:val="20"/>
                <w:color w:val="auto"/>
              </w:rPr>
            </w:pPr>
            <w:r>
              <w:rPr>
                <w:rFonts w:ascii="Arial" w:cs="Arial" w:eastAsia="Arial" w:hAnsi="Arial"/>
                <w:sz w:val="14"/>
                <w:szCs w:val="14"/>
                <w:b w:val="1"/>
                <w:bCs w:val="1"/>
                <w:color w:val="006098"/>
              </w:rPr>
              <w:t>Number of</w:t>
            </w:r>
          </w:p>
        </w:tc>
        <w:tc>
          <w:tcPr>
            <w:tcW w:w="1160" w:type="dxa"/>
            <w:vAlign w:val="bottom"/>
          </w:tcPr>
          <w:p>
            <w:pPr>
              <w:jc w:val="center"/>
              <w:ind w:left="73"/>
              <w:spacing w:after="0"/>
              <w:rPr>
                <w:sz w:val="20"/>
                <w:szCs w:val="20"/>
                <w:color w:val="auto"/>
              </w:rPr>
            </w:pPr>
            <w:r>
              <w:rPr>
                <w:rFonts w:ascii="Arial" w:cs="Arial" w:eastAsia="Arial" w:hAnsi="Arial"/>
                <w:sz w:val="14"/>
                <w:szCs w:val="14"/>
                <w:b w:val="1"/>
                <w:bCs w:val="1"/>
                <w:color w:val="006098"/>
              </w:rPr>
              <w:t>Number of</w:t>
            </w:r>
          </w:p>
        </w:tc>
      </w:tr>
      <w:tr>
        <w:trPr>
          <w:trHeight w:val="162"/>
        </w:trPr>
        <w:tc>
          <w:tcPr>
            <w:tcW w:w="3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80" w:type="dxa"/>
            <w:vAlign w:val="bottom"/>
          </w:tcPr>
          <w:p>
            <w:pPr>
              <w:jc w:val="center"/>
              <w:ind w:left="13"/>
              <w:spacing w:after="0"/>
              <w:rPr>
                <w:sz w:val="20"/>
                <w:szCs w:val="20"/>
                <w:color w:val="auto"/>
              </w:rPr>
            </w:pPr>
            <w:r>
              <w:rPr>
                <w:rFonts w:ascii="Arial" w:cs="Arial" w:eastAsia="Arial" w:hAnsi="Arial"/>
                <w:sz w:val="14"/>
                <w:szCs w:val="14"/>
                <w:b w:val="1"/>
                <w:bCs w:val="1"/>
                <w:color w:val="006098"/>
              </w:rPr>
              <w:t>Securities</w:t>
            </w:r>
          </w:p>
        </w:tc>
        <w:tc>
          <w:tcPr>
            <w:tcW w:w="1160" w:type="dxa"/>
            <w:vAlign w:val="bottom"/>
          </w:tcPr>
          <w:p>
            <w:pPr>
              <w:jc w:val="center"/>
              <w:ind w:left="73"/>
              <w:spacing w:after="0"/>
              <w:rPr>
                <w:sz w:val="20"/>
                <w:szCs w:val="20"/>
                <w:color w:val="auto"/>
              </w:rPr>
            </w:pPr>
            <w:r>
              <w:rPr>
                <w:rFonts w:ascii="Arial" w:cs="Arial" w:eastAsia="Arial" w:hAnsi="Arial"/>
                <w:sz w:val="14"/>
                <w:szCs w:val="14"/>
                <w:b w:val="1"/>
                <w:bCs w:val="1"/>
                <w:color w:val="006098"/>
              </w:rPr>
              <w:t>Securities</w:t>
            </w:r>
          </w:p>
        </w:tc>
      </w:tr>
      <w:tr>
        <w:trPr>
          <w:trHeight w:val="162"/>
        </w:trPr>
        <w:tc>
          <w:tcPr>
            <w:tcW w:w="3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80" w:type="dxa"/>
            <w:vAlign w:val="bottom"/>
          </w:tcPr>
          <w:p>
            <w:pPr>
              <w:jc w:val="center"/>
              <w:ind w:left="13"/>
              <w:spacing w:after="0"/>
              <w:rPr>
                <w:sz w:val="20"/>
                <w:szCs w:val="20"/>
                <w:color w:val="auto"/>
              </w:rPr>
            </w:pPr>
            <w:r>
              <w:rPr>
                <w:rFonts w:ascii="Arial" w:cs="Arial" w:eastAsia="Arial" w:hAnsi="Arial"/>
                <w:sz w:val="14"/>
                <w:szCs w:val="14"/>
                <w:b w:val="1"/>
                <w:bCs w:val="1"/>
                <w:color w:val="006098"/>
              </w:rPr>
              <w:t>Underlying</w:t>
            </w:r>
          </w:p>
        </w:tc>
        <w:tc>
          <w:tcPr>
            <w:tcW w:w="1160" w:type="dxa"/>
            <w:vAlign w:val="bottom"/>
          </w:tcPr>
          <w:p>
            <w:pPr>
              <w:jc w:val="center"/>
              <w:ind w:left="73"/>
              <w:spacing w:after="0"/>
              <w:rPr>
                <w:sz w:val="20"/>
                <w:szCs w:val="20"/>
                <w:color w:val="auto"/>
              </w:rPr>
            </w:pPr>
            <w:r>
              <w:rPr>
                <w:rFonts w:ascii="Arial" w:cs="Arial" w:eastAsia="Arial" w:hAnsi="Arial"/>
                <w:sz w:val="14"/>
                <w:szCs w:val="14"/>
                <w:b w:val="1"/>
                <w:bCs w:val="1"/>
                <w:color w:val="006098"/>
              </w:rPr>
              <w:t>Underlying</w:t>
            </w:r>
          </w:p>
        </w:tc>
      </w:tr>
      <w:tr>
        <w:trPr>
          <w:trHeight w:val="162"/>
        </w:trPr>
        <w:tc>
          <w:tcPr>
            <w:tcW w:w="3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006098"/>
              </w:rPr>
              <w:t>Number of Securities</w:t>
            </w:r>
          </w:p>
        </w:tc>
        <w:tc>
          <w:tcPr>
            <w:tcW w:w="1280" w:type="dxa"/>
            <w:vAlign w:val="bottom"/>
          </w:tcPr>
          <w:p>
            <w:pPr>
              <w:jc w:val="center"/>
              <w:ind w:left="13"/>
              <w:spacing w:after="0"/>
              <w:rPr>
                <w:sz w:val="20"/>
                <w:szCs w:val="20"/>
                <w:color w:val="auto"/>
              </w:rPr>
            </w:pPr>
            <w:r>
              <w:rPr>
                <w:rFonts w:ascii="Arial" w:cs="Arial" w:eastAsia="Arial" w:hAnsi="Arial"/>
                <w:sz w:val="14"/>
                <w:szCs w:val="14"/>
                <w:b w:val="1"/>
                <w:bCs w:val="1"/>
                <w:color w:val="006098"/>
              </w:rPr>
              <w:t>Unexercised</w:t>
            </w:r>
          </w:p>
        </w:tc>
        <w:tc>
          <w:tcPr>
            <w:tcW w:w="1160" w:type="dxa"/>
            <w:vAlign w:val="bottom"/>
          </w:tcPr>
          <w:p>
            <w:pPr>
              <w:jc w:val="center"/>
              <w:ind w:left="73"/>
              <w:spacing w:after="0"/>
              <w:rPr>
                <w:sz w:val="20"/>
                <w:szCs w:val="20"/>
                <w:color w:val="auto"/>
              </w:rPr>
            </w:pPr>
            <w:r>
              <w:rPr>
                <w:rFonts w:ascii="Arial" w:cs="Arial" w:eastAsia="Arial" w:hAnsi="Arial"/>
                <w:sz w:val="14"/>
                <w:szCs w:val="14"/>
                <w:b w:val="1"/>
                <w:bCs w:val="1"/>
                <w:color w:val="006098"/>
              </w:rPr>
              <w:t>Unexercised</w:t>
            </w:r>
          </w:p>
        </w:tc>
      </w:tr>
      <w:tr>
        <w:trPr>
          <w:trHeight w:val="162"/>
        </w:trPr>
        <w:tc>
          <w:tcPr>
            <w:tcW w:w="3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006098"/>
              </w:rPr>
              <w:t>Underlying</w:t>
            </w:r>
          </w:p>
        </w:tc>
        <w:tc>
          <w:tcPr>
            <w:tcW w:w="1280" w:type="dxa"/>
            <w:vAlign w:val="bottom"/>
          </w:tcPr>
          <w:p>
            <w:pPr>
              <w:jc w:val="center"/>
              <w:ind w:left="33"/>
              <w:spacing w:after="0"/>
              <w:rPr>
                <w:sz w:val="20"/>
                <w:szCs w:val="20"/>
                <w:color w:val="auto"/>
              </w:rPr>
            </w:pPr>
            <w:r>
              <w:rPr>
                <w:rFonts w:ascii="Arial" w:cs="Arial" w:eastAsia="Arial" w:hAnsi="Arial"/>
                <w:sz w:val="14"/>
                <w:szCs w:val="14"/>
                <w:b w:val="1"/>
                <w:bCs w:val="1"/>
                <w:color w:val="006098"/>
              </w:rPr>
              <w:t>Options (#)</w:t>
            </w:r>
          </w:p>
        </w:tc>
        <w:tc>
          <w:tcPr>
            <w:tcW w:w="1160" w:type="dxa"/>
            <w:vAlign w:val="bottom"/>
          </w:tcPr>
          <w:p>
            <w:pPr>
              <w:jc w:val="center"/>
              <w:ind w:left="73"/>
              <w:spacing w:after="0"/>
              <w:rPr>
                <w:sz w:val="20"/>
                <w:szCs w:val="20"/>
                <w:color w:val="auto"/>
              </w:rPr>
            </w:pPr>
            <w:r>
              <w:rPr>
                <w:rFonts w:ascii="Arial" w:cs="Arial" w:eastAsia="Arial" w:hAnsi="Arial"/>
                <w:sz w:val="14"/>
                <w:szCs w:val="14"/>
                <w:b w:val="1"/>
                <w:bCs w:val="1"/>
                <w:color w:val="006098"/>
              </w:rPr>
              <w:t>Options (#)</w:t>
            </w:r>
          </w:p>
        </w:tc>
      </w:tr>
      <w:tr>
        <w:trPr>
          <w:trHeight w:val="185"/>
        </w:trPr>
        <w:tc>
          <w:tcPr>
            <w:tcW w:w="3680" w:type="dxa"/>
            <w:vAlign w:val="bottom"/>
            <w:tcBorders>
              <w:bottom w:val="single" w:sz="8" w:color="83BA90"/>
            </w:tcBorders>
          </w:tcPr>
          <w:p>
            <w:pPr>
              <w:spacing w:after="0"/>
              <w:rPr>
                <w:sz w:val="20"/>
                <w:szCs w:val="20"/>
                <w:color w:val="auto"/>
              </w:rPr>
            </w:pPr>
            <w:r>
              <w:rPr>
                <w:rFonts w:ascii="Arial" w:cs="Arial" w:eastAsia="Arial" w:hAnsi="Arial"/>
                <w:sz w:val="14"/>
                <w:szCs w:val="14"/>
                <w:b w:val="1"/>
                <w:bCs w:val="1"/>
                <w:color w:val="006098"/>
              </w:rPr>
              <w:t>Name</w:t>
            </w:r>
          </w:p>
        </w:tc>
        <w:tc>
          <w:tcPr>
            <w:tcW w:w="2920" w:type="dxa"/>
            <w:vAlign w:val="bottom"/>
            <w:tcBorders>
              <w:bottom w:val="single" w:sz="8" w:color="83BA90"/>
            </w:tcBorders>
          </w:tcPr>
          <w:p>
            <w:pPr>
              <w:jc w:val="right"/>
              <w:ind w:right="271"/>
              <w:spacing w:after="0"/>
              <w:rPr>
                <w:sz w:val="20"/>
                <w:szCs w:val="20"/>
                <w:color w:val="auto"/>
              </w:rPr>
            </w:pPr>
            <w:r>
              <w:rPr>
                <w:rFonts w:ascii="Arial" w:cs="Arial" w:eastAsia="Arial" w:hAnsi="Arial"/>
                <w:sz w:val="14"/>
                <w:szCs w:val="14"/>
                <w:b w:val="1"/>
                <w:bCs w:val="1"/>
                <w:color w:val="006098"/>
              </w:rPr>
              <w:t>Grant Date</w:t>
            </w:r>
          </w:p>
        </w:tc>
        <w:tc>
          <w:tcPr>
            <w:tcW w:w="1980" w:type="dxa"/>
            <w:vAlign w:val="bottom"/>
            <w:tcBorders>
              <w:bottom w:val="single" w:sz="8" w:color="83BA90"/>
            </w:tcBorders>
          </w:tcPr>
          <w:p>
            <w:pPr>
              <w:jc w:val="center"/>
              <w:spacing w:after="0"/>
              <w:rPr>
                <w:sz w:val="20"/>
                <w:szCs w:val="20"/>
                <w:color w:val="auto"/>
              </w:rPr>
            </w:pPr>
            <w:r>
              <w:rPr>
                <w:rFonts w:ascii="Arial" w:cs="Arial" w:eastAsia="Arial" w:hAnsi="Arial"/>
                <w:sz w:val="14"/>
                <w:szCs w:val="14"/>
                <w:b w:val="1"/>
                <w:bCs w:val="1"/>
                <w:color w:val="006098"/>
              </w:rPr>
              <w:t>Options (#)</w:t>
            </w:r>
          </w:p>
        </w:tc>
        <w:tc>
          <w:tcPr>
            <w:tcW w:w="1280" w:type="dxa"/>
            <w:vAlign w:val="bottom"/>
            <w:tcBorders>
              <w:bottom w:val="single" w:sz="8" w:color="83BA90"/>
            </w:tcBorders>
          </w:tcPr>
          <w:p>
            <w:pPr>
              <w:jc w:val="center"/>
              <w:ind w:left="33"/>
              <w:spacing w:after="0"/>
              <w:rPr>
                <w:sz w:val="20"/>
                <w:szCs w:val="20"/>
                <w:color w:val="auto"/>
              </w:rPr>
            </w:pPr>
            <w:r>
              <w:rPr>
                <w:rFonts w:ascii="Arial" w:cs="Arial" w:eastAsia="Arial" w:hAnsi="Arial"/>
                <w:sz w:val="14"/>
                <w:szCs w:val="14"/>
                <w:b w:val="1"/>
                <w:bCs w:val="1"/>
                <w:color w:val="006098"/>
              </w:rPr>
              <w:t>Exercisable</w:t>
            </w:r>
          </w:p>
        </w:tc>
        <w:tc>
          <w:tcPr>
            <w:tcW w:w="1160" w:type="dxa"/>
            <w:vAlign w:val="bottom"/>
            <w:tcBorders>
              <w:bottom w:val="single" w:sz="8" w:color="83BA90"/>
            </w:tcBorders>
          </w:tcPr>
          <w:p>
            <w:pPr>
              <w:jc w:val="center"/>
              <w:ind w:left="73"/>
              <w:spacing w:after="0"/>
              <w:rPr>
                <w:sz w:val="20"/>
                <w:szCs w:val="20"/>
                <w:color w:val="auto"/>
              </w:rPr>
            </w:pPr>
            <w:r>
              <w:rPr>
                <w:rFonts w:ascii="Arial" w:cs="Arial" w:eastAsia="Arial" w:hAnsi="Arial"/>
                <w:sz w:val="14"/>
                <w:szCs w:val="14"/>
                <w:b w:val="1"/>
                <w:bCs w:val="1"/>
                <w:color w:val="006098"/>
              </w:rPr>
              <w:t>Unexercisable</w:t>
            </w:r>
          </w:p>
        </w:tc>
      </w:tr>
      <w:tr>
        <w:trPr>
          <w:trHeight w:val="177"/>
        </w:trPr>
        <w:tc>
          <w:tcPr>
            <w:tcW w:w="3680" w:type="dxa"/>
            <w:vAlign w:val="bottom"/>
          </w:tcPr>
          <w:p>
            <w:pPr>
              <w:spacing w:after="0" w:line="177" w:lineRule="exact"/>
              <w:rPr>
                <w:sz w:val="20"/>
                <w:szCs w:val="20"/>
                <w:color w:val="auto"/>
              </w:rPr>
            </w:pPr>
            <w:r>
              <w:rPr>
                <w:rFonts w:ascii="Arial" w:cs="Arial" w:eastAsia="Arial" w:hAnsi="Arial"/>
                <w:sz w:val="18"/>
                <w:szCs w:val="18"/>
                <w:color w:val="006098"/>
              </w:rPr>
              <w:t>Brian T. Carley</w:t>
            </w:r>
          </w:p>
        </w:tc>
        <w:tc>
          <w:tcPr>
            <w:tcW w:w="2920" w:type="dxa"/>
            <w:vAlign w:val="bottom"/>
          </w:tcPr>
          <w:p>
            <w:pPr>
              <w:jc w:val="center"/>
              <w:ind w:left="1391"/>
              <w:spacing w:after="0" w:line="177" w:lineRule="exact"/>
              <w:rPr>
                <w:sz w:val="20"/>
                <w:szCs w:val="20"/>
                <w:color w:val="auto"/>
              </w:rPr>
            </w:pPr>
            <w:r>
              <w:rPr>
                <w:rFonts w:ascii="Arial" w:cs="Arial" w:eastAsia="Arial" w:hAnsi="Arial"/>
                <w:sz w:val="18"/>
                <w:szCs w:val="18"/>
                <w:color w:val="3F3F3F"/>
                <w:w w:val="99"/>
              </w:rPr>
              <w:t>8/10/2016</w:t>
            </w:r>
          </w:p>
        </w:tc>
        <w:tc>
          <w:tcPr>
            <w:tcW w:w="1980" w:type="dxa"/>
            <w:vAlign w:val="bottom"/>
          </w:tcPr>
          <w:p>
            <w:pPr>
              <w:jc w:val="center"/>
              <w:spacing w:after="0" w:line="177" w:lineRule="exact"/>
              <w:rPr>
                <w:sz w:val="20"/>
                <w:szCs w:val="20"/>
                <w:color w:val="auto"/>
              </w:rPr>
            </w:pPr>
            <w:r>
              <w:rPr>
                <w:rFonts w:ascii="Arial" w:cs="Arial" w:eastAsia="Arial" w:hAnsi="Arial"/>
                <w:sz w:val="18"/>
                <w:szCs w:val="18"/>
                <w:color w:val="3F3F3F"/>
                <w:w w:val="97"/>
              </w:rPr>
              <w:t>7,400</w:t>
            </w:r>
          </w:p>
        </w:tc>
        <w:tc>
          <w:tcPr>
            <w:tcW w:w="1280" w:type="dxa"/>
            <w:vAlign w:val="bottom"/>
          </w:tcPr>
          <w:p>
            <w:pPr>
              <w:jc w:val="center"/>
              <w:ind w:left="13"/>
              <w:spacing w:after="0" w:line="177" w:lineRule="exact"/>
              <w:rPr>
                <w:sz w:val="20"/>
                <w:szCs w:val="20"/>
                <w:color w:val="auto"/>
              </w:rPr>
            </w:pPr>
            <w:r>
              <w:rPr>
                <w:rFonts w:ascii="Arial" w:cs="Arial" w:eastAsia="Arial" w:hAnsi="Arial"/>
                <w:sz w:val="18"/>
                <w:szCs w:val="18"/>
                <w:color w:val="3F3F3F"/>
              </w:rPr>
              <w:t>7,400</w:t>
            </w:r>
          </w:p>
        </w:tc>
        <w:tc>
          <w:tcPr>
            <w:tcW w:w="1160" w:type="dxa"/>
            <w:vAlign w:val="bottom"/>
          </w:tcPr>
          <w:p>
            <w:pPr>
              <w:jc w:val="center"/>
              <w:ind w:left="53"/>
              <w:spacing w:after="0" w:line="177" w:lineRule="exact"/>
              <w:rPr>
                <w:sz w:val="20"/>
                <w:szCs w:val="20"/>
                <w:color w:val="auto"/>
              </w:rPr>
            </w:pPr>
            <w:r>
              <w:rPr>
                <w:rFonts w:ascii="Arial" w:cs="Arial" w:eastAsia="Arial" w:hAnsi="Arial"/>
                <w:sz w:val="18"/>
                <w:szCs w:val="18"/>
                <w:color w:val="3F3F3F"/>
                <w:w w:val="99"/>
              </w:rPr>
              <w:t>—</w:t>
            </w:r>
          </w:p>
        </w:tc>
      </w:tr>
      <w:tr>
        <w:trPr>
          <w:trHeight w:val="203"/>
        </w:trPr>
        <w:tc>
          <w:tcPr>
            <w:tcW w:w="3680" w:type="dxa"/>
            <w:vAlign w:val="bottom"/>
          </w:tcPr>
          <w:p>
            <w:pPr>
              <w:spacing w:after="0"/>
              <w:rPr>
                <w:sz w:val="17"/>
                <w:szCs w:val="17"/>
                <w:color w:val="auto"/>
              </w:rPr>
            </w:pPr>
          </w:p>
        </w:tc>
        <w:tc>
          <w:tcPr>
            <w:tcW w:w="2920" w:type="dxa"/>
            <w:vAlign w:val="bottom"/>
          </w:tcPr>
          <w:p>
            <w:pPr>
              <w:jc w:val="center"/>
              <w:ind w:left="1391"/>
              <w:spacing w:after="0" w:line="202" w:lineRule="exact"/>
              <w:rPr>
                <w:sz w:val="20"/>
                <w:szCs w:val="20"/>
                <w:color w:val="auto"/>
              </w:rPr>
            </w:pPr>
            <w:r>
              <w:rPr>
                <w:rFonts w:ascii="Arial" w:cs="Arial" w:eastAsia="Arial" w:hAnsi="Arial"/>
                <w:sz w:val="18"/>
                <w:szCs w:val="18"/>
                <w:color w:val="3F3F3F"/>
                <w:w w:val="99"/>
              </w:rPr>
              <w:t>5/19/2017</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3F3F3F"/>
              </w:rPr>
              <w:t>13,782</w:t>
            </w:r>
          </w:p>
        </w:tc>
        <w:tc>
          <w:tcPr>
            <w:tcW w:w="1280" w:type="dxa"/>
            <w:vAlign w:val="bottom"/>
          </w:tcPr>
          <w:p>
            <w:pPr>
              <w:jc w:val="center"/>
              <w:ind w:left="13"/>
              <w:spacing w:after="0" w:line="202" w:lineRule="exact"/>
              <w:rPr>
                <w:sz w:val="20"/>
                <w:szCs w:val="20"/>
                <w:color w:val="auto"/>
              </w:rPr>
            </w:pPr>
            <w:r>
              <w:rPr>
                <w:rFonts w:ascii="Arial" w:cs="Arial" w:eastAsia="Arial" w:hAnsi="Arial"/>
                <w:sz w:val="18"/>
                <w:szCs w:val="18"/>
                <w:color w:val="3F3F3F"/>
                <w:w w:val="98"/>
              </w:rPr>
              <w:t>13,782</w:t>
            </w:r>
          </w:p>
        </w:tc>
        <w:tc>
          <w:tcPr>
            <w:tcW w:w="1160" w:type="dxa"/>
            <w:vAlign w:val="bottom"/>
          </w:tcPr>
          <w:p>
            <w:pPr>
              <w:jc w:val="center"/>
              <w:ind w:left="53"/>
              <w:spacing w:after="0" w:line="202" w:lineRule="exact"/>
              <w:rPr>
                <w:sz w:val="20"/>
                <w:szCs w:val="20"/>
                <w:color w:val="auto"/>
              </w:rPr>
            </w:pPr>
            <w:r>
              <w:rPr>
                <w:rFonts w:ascii="Arial" w:cs="Arial" w:eastAsia="Arial" w:hAnsi="Arial"/>
                <w:sz w:val="18"/>
                <w:szCs w:val="18"/>
                <w:color w:val="3F3F3F"/>
                <w:w w:val="99"/>
              </w:rPr>
              <w:t>—</w:t>
            </w:r>
          </w:p>
        </w:tc>
      </w:tr>
      <w:tr>
        <w:trPr>
          <w:trHeight w:val="203"/>
        </w:trPr>
        <w:tc>
          <w:tcPr>
            <w:tcW w:w="3680" w:type="dxa"/>
            <w:vAlign w:val="bottom"/>
          </w:tcPr>
          <w:p>
            <w:pPr>
              <w:spacing w:after="0"/>
              <w:rPr>
                <w:sz w:val="17"/>
                <w:szCs w:val="17"/>
                <w:color w:val="auto"/>
              </w:rPr>
            </w:pPr>
          </w:p>
        </w:tc>
        <w:tc>
          <w:tcPr>
            <w:tcW w:w="2920" w:type="dxa"/>
            <w:vAlign w:val="bottom"/>
          </w:tcPr>
          <w:p>
            <w:pPr>
              <w:jc w:val="center"/>
              <w:ind w:left="1391"/>
              <w:spacing w:after="0" w:line="202" w:lineRule="exact"/>
              <w:rPr>
                <w:sz w:val="20"/>
                <w:szCs w:val="20"/>
                <w:color w:val="auto"/>
              </w:rPr>
            </w:pPr>
            <w:r>
              <w:rPr>
                <w:rFonts w:ascii="Arial" w:cs="Arial" w:eastAsia="Arial" w:hAnsi="Arial"/>
                <w:sz w:val="18"/>
                <w:szCs w:val="18"/>
                <w:color w:val="3F3F3F"/>
                <w:w w:val="99"/>
              </w:rPr>
              <w:t>5/18/2018</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3F3F3F"/>
                <w:w w:val="97"/>
              </w:rPr>
              <w:t>8,127</w:t>
            </w:r>
          </w:p>
        </w:tc>
        <w:tc>
          <w:tcPr>
            <w:tcW w:w="1280" w:type="dxa"/>
            <w:vAlign w:val="bottom"/>
          </w:tcPr>
          <w:p>
            <w:pPr>
              <w:jc w:val="center"/>
              <w:ind w:left="13"/>
              <w:spacing w:after="0" w:line="202" w:lineRule="exact"/>
              <w:rPr>
                <w:sz w:val="20"/>
                <w:szCs w:val="20"/>
                <w:color w:val="auto"/>
              </w:rPr>
            </w:pPr>
            <w:r>
              <w:rPr>
                <w:rFonts w:ascii="Arial" w:cs="Arial" w:eastAsia="Arial" w:hAnsi="Arial"/>
                <w:sz w:val="18"/>
                <w:szCs w:val="18"/>
                <w:color w:val="3F3F3F"/>
              </w:rPr>
              <w:t>8,127</w:t>
            </w:r>
          </w:p>
        </w:tc>
        <w:tc>
          <w:tcPr>
            <w:tcW w:w="1160" w:type="dxa"/>
            <w:vAlign w:val="bottom"/>
          </w:tcPr>
          <w:p>
            <w:pPr>
              <w:jc w:val="center"/>
              <w:ind w:left="53"/>
              <w:spacing w:after="0" w:line="202" w:lineRule="exact"/>
              <w:rPr>
                <w:sz w:val="20"/>
                <w:szCs w:val="20"/>
                <w:color w:val="auto"/>
              </w:rPr>
            </w:pPr>
            <w:r>
              <w:rPr>
                <w:rFonts w:ascii="Arial" w:cs="Arial" w:eastAsia="Arial" w:hAnsi="Arial"/>
                <w:sz w:val="18"/>
                <w:szCs w:val="18"/>
                <w:color w:val="3F3F3F"/>
                <w:w w:val="99"/>
              </w:rPr>
              <w:t>—</w:t>
            </w:r>
          </w:p>
        </w:tc>
      </w:tr>
      <w:tr>
        <w:trPr>
          <w:trHeight w:val="203"/>
        </w:trPr>
        <w:tc>
          <w:tcPr>
            <w:tcW w:w="3680" w:type="dxa"/>
            <w:vAlign w:val="bottom"/>
          </w:tcPr>
          <w:p>
            <w:pPr>
              <w:spacing w:after="0"/>
              <w:rPr>
                <w:sz w:val="17"/>
                <w:szCs w:val="17"/>
                <w:color w:val="auto"/>
              </w:rPr>
            </w:pPr>
          </w:p>
        </w:tc>
        <w:tc>
          <w:tcPr>
            <w:tcW w:w="2920" w:type="dxa"/>
            <w:vAlign w:val="bottom"/>
          </w:tcPr>
          <w:p>
            <w:pPr>
              <w:jc w:val="center"/>
              <w:ind w:left="1391"/>
              <w:spacing w:after="0" w:line="202" w:lineRule="exact"/>
              <w:rPr>
                <w:sz w:val="20"/>
                <w:szCs w:val="20"/>
                <w:color w:val="auto"/>
              </w:rPr>
            </w:pPr>
            <w:r>
              <w:rPr>
                <w:rFonts w:ascii="Arial" w:cs="Arial" w:eastAsia="Arial" w:hAnsi="Arial"/>
                <w:sz w:val="18"/>
                <w:szCs w:val="18"/>
                <w:color w:val="3F3F3F"/>
                <w:w w:val="99"/>
              </w:rPr>
              <w:t>5/17/2019</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3F3F3F"/>
                <w:w w:val="97"/>
              </w:rPr>
              <w:t>6,472</w:t>
            </w:r>
          </w:p>
        </w:tc>
        <w:tc>
          <w:tcPr>
            <w:tcW w:w="1280" w:type="dxa"/>
            <w:vAlign w:val="bottom"/>
          </w:tcPr>
          <w:p>
            <w:pPr>
              <w:jc w:val="center"/>
              <w:ind w:left="13"/>
              <w:spacing w:after="0" w:line="202" w:lineRule="exact"/>
              <w:rPr>
                <w:sz w:val="20"/>
                <w:szCs w:val="20"/>
                <w:color w:val="auto"/>
              </w:rPr>
            </w:pPr>
            <w:r>
              <w:rPr>
                <w:rFonts w:ascii="Arial" w:cs="Arial" w:eastAsia="Arial" w:hAnsi="Arial"/>
                <w:sz w:val="18"/>
                <w:szCs w:val="18"/>
                <w:color w:val="3F3F3F"/>
              </w:rPr>
              <w:t>6,472</w:t>
            </w:r>
          </w:p>
        </w:tc>
        <w:tc>
          <w:tcPr>
            <w:tcW w:w="1160" w:type="dxa"/>
            <w:vAlign w:val="bottom"/>
          </w:tcPr>
          <w:p>
            <w:pPr>
              <w:jc w:val="center"/>
              <w:ind w:left="53"/>
              <w:spacing w:after="0" w:line="202" w:lineRule="exact"/>
              <w:rPr>
                <w:sz w:val="20"/>
                <w:szCs w:val="20"/>
                <w:color w:val="auto"/>
              </w:rPr>
            </w:pPr>
            <w:r>
              <w:rPr>
                <w:rFonts w:ascii="Arial" w:cs="Arial" w:eastAsia="Arial" w:hAnsi="Arial"/>
                <w:sz w:val="18"/>
                <w:szCs w:val="18"/>
                <w:color w:val="3F3F3F"/>
                <w:w w:val="99"/>
              </w:rPr>
              <w:t>—</w:t>
            </w:r>
          </w:p>
        </w:tc>
      </w:tr>
      <w:tr>
        <w:trPr>
          <w:trHeight w:val="203"/>
        </w:trPr>
        <w:tc>
          <w:tcPr>
            <w:tcW w:w="3680" w:type="dxa"/>
            <w:vAlign w:val="bottom"/>
          </w:tcPr>
          <w:p>
            <w:pPr>
              <w:spacing w:after="0"/>
              <w:rPr>
                <w:sz w:val="17"/>
                <w:szCs w:val="17"/>
                <w:color w:val="auto"/>
              </w:rPr>
            </w:pPr>
          </w:p>
        </w:tc>
        <w:tc>
          <w:tcPr>
            <w:tcW w:w="2920" w:type="dxa"/>
            <w:vAlign w:val="bottom"/>
          </w:tcPr>
          <w:p>
            <w:pPr>
              <w:jc w:val="center"/>
              <w:ind w:left="1391"/>
              <w:spacing w:after="0" w:line="202" w:lineRule="exact"/>
              <w:rPr>
                <w:sz w:val="20"/>
                <w:szCs w:val="20"/>
                <w:color w:val="auto"/>
              </w:rPr>
            </w:pPr>
            <w:r>
              <w:rPr>
                <w:rFonts w:ascii="Arial" w:cs="Arial" w:eastAsia="Arial" w:hAnsi="Arial"/>
                <w:sz w:val="18"/>
                <w:szCs w:val="18"/>
                <w:color w:val="3F3F3F"/>
                <w:w w:val="99"/>
              </w:rPr>
              <w:t>5/15/2020</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3F3F3F"/>
                <w:w w:val="97"/>
              </w:rPr>
              <w:t>3,858</w:t>
            </w:r>
          </w:p>
        </w:tc>
        <w:tc>
          <w:tcPr>
            <w:tcW w:w="1280" w:type="dxa"/>
            <w:vAlign w:val="bottom"/>
          </w:tcPr>
          <w:p>
            <w:pPr>
              <w:jc w:val="center"/>
              <w:ind w:left="13"/>
              <w:spacing w:after="0" w:line="202" w:lineRule="exact"/>
              <w:rPr>
                <w:sz w:val="20"/>
                <w:szCs w:val="20"/>
                <w:color w:val="auto"/>
              </w:rPr>
            </w:pPr>
            <w:r>
              <w:rPr>
                <w:rFonts w:ascii="Arial" w:cs="Arial" w:eastAsia="Arial" w:hAnsi="Arial"/>
                <w:sz w:val="18"/>
                <w:szCs w:val="18"/>
                <w:color w:val="3F3F3F"/>
              </w:rPr>
              <w:t>3,858</w:t>
            </w:r>
          </w:p>
        </w:tc>
        <w:tc>
          <w:tcPr>
            <w:tcW w:w="1160" w:type="dxa"/>
            <w:vAlign w:val="bottom"/>
          </w:tcPr>
          <w:p>
            <w:pPr>
              <w:jc w:val="center"/>
              <w:ind w:left="53"/>
              <w:spacing w:after="0" w:line="202" w:lineRule="exact"/>
              <w:rPr>
                <w:sz w:val="20"/>
                <w:szCs w:val="20"/>
                <w:color w:val="auto"/>
              </w:rPr>
            </w:pPr>
            <w:r>
              <w:rPr>
                <w:rFonts w:ascii="Arial" w:cs="Arial" w:eastAsia="Arial" w:hAnsi="Arial"/>
                <w:sz w:val="18"/>
                <w:szCs w:val="18"/>
                <w:color w:val="3F3F3F"/>
                <w:w w:val="99"/>
              </w:rPr>
              <w:t>—</w:t>
            </w:r>
          </w:p>
        </w:tc>
      </w:tr>
      <w:tr>
        <w:trPr>
          <w:trHeight w:val="221"/>
        </w:trPr>
        <w:tc>
          <w:tcPr>
            <w:tcW w:w="3680" w:type="dxa"/>
            <w:vAlign w:val="bottom"/>
            <w:tcBorders>
              <w:bottom w:val="single" w:sz="8" w:color="A5A5A5"/>
            </w:tcBorders>
          </w:tcPr>
          <w:p>
            <w:pPr>
              <w:spacing w:after="0"/>
              <w:rPr>
                <w:sz w:val="19"/>
                <w:szCs w:val="19"/>
                <w:color w:val="auto"/>
              </w:rPr>
            </w:pPr>
          </w:p>
        </w:tc>
        <w:tc>
          <w:tcPr>
            <w:tcW w:w="2920" w:type="dxa"/>
            <w:vAlign w:val="bottom"/>
            <w:tcBorders>
              <w:bottom w:val="single" w:sz="8" w:color="A5A5A5"/>
            </w:tcBorders>
          </w:tcPr>
          <w:p>
            <w:pPr>
              <w:jc w:val="center"/>
              <w:ind w:left="1391"/>
              <w:spacing w:after="0"/>
              <w:rPr>
                <w:sz w:val="20"/>
                <w:szCs w:val="20"/>
                <w:color w:val="auto"/>
              </w:rPr>
            </w:pPr>
            <w:r>
              <w:rPr>
                <w:rFonts w:ascii="Arial" w:cs="Arial" w:eastAsia="Arial" w:hAnsi="Arial"/>
                <w:sz w:val="18"/>
                <w:szCs w:val="18"/>
                <w:color w:val="3F3F3F"/>
                <w:w w:val="99"/>
              </w:rPr>
              <w:t>5/14/2021</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8"/>
                <w:szCs w:val="18"/>
                <w:color w:val="3F3F3F"/>
                <w:w w:val="97"/>
              </w:rPr>
              <w:t>1,822</w:t>
            </w:r>
          </w:p>
        </w:tc>
        <w:tc>
          <w:tcPr>
            <w:tcW w:w="1280" w:type="dxa"/>
            <w:vAlign w:val="bottom"/>
            <w:tcBorders>
              <w:bottom w:val="single" w:sz="8" w:color="A5A5A5"/>
            </w:tcBorders>
          </w:tcPr>
          <w:p>
            <w:pPr>
              <w:jc w:val="center"/>
              <w:ind w:left="13"/>
              <w:spacing w:after="0"/>
              <w:rPr>
                <w:sz w:val="20"/>
                <w:szCs w:val="20"/>
                <w:color w:val="auto"/>
              </w:rPr>
            </w:pPr>
            <w:r>
              <w:rPr>
                <w:rFonts w:ascii="Arial" w:cs="Arial" w:eastAsia="Arial" w:hAnsi="Arial"/>
                <w:sz w:val="18"/>
                <w:szCs w:val="18"/>
                <w:color w:val="3F3F3F"/>
                <w:w w:val="99"/>
              </w:rPr>
              <w:t>—</w:t>
            </w:r>
          </w:p>
        </w:tc>
        <w:tc>
          <w:tcPr>
            <w:tcW w:w="1160" w:type="dxa"/>
            <w:vAlign w:val="bottom"/>
            <w:tcBorders>
              <w:bottom w:val="single" w:sz="8" w:color="A5A5A5"/>
            </w:tcBorders>
          </w:tcPr>
          <w:p>
            <w:pPr>
              <w:jc w:val="center"/>
              <w:ind w:left="73"/>
              <w:spacing w:after="0"/>
              <w:rPr>
                <w:sz w:val="20"/>
                <w:szCs w:val="20"/>
                <w:color w:val="auto"/>
              </w:rPr>
            </w:pPr>
            <w:r>
              <w:rPr>
                <w:rFonts w:ascii="Arial" w:cs="Arial" w:eastAsia="Arial" w:hAnsi="Arial"/>
                <w:sz w:val="18"/>
                <w:szCs w:val="18"/>
                <w:color w:val="3F3F3F"/>
                <w:w w:val="97"/>
              </w:rPr>
              <w:t>1,822</w:t>
            </w:r>
          </w:p>
        </w:tc>
      </w:tr>
      <w:tr>
        <w:trPr>
          <w:trHeight w:val="177"/>
        </w:trPr>
        <w:tc>
          <w:tcPr>
            <w:tcW w:w="3680" w:type="dxa"/>
            <w:vAlign w:val="bottom"/>
          </w:tcPr>
          <w:p>
            <w:pPr>
              <w:spacing w:after="0" w:line="177" w:lineRule="exact"/>
              <w:rPr>
                <w:sz w:val="20"/>
                <w:szCs w:val="20"/>
                <w:color w:val="auto"/>
              </w:rPr>
            </w:pPr>
            <w:r>
              <w:rPr>
                <w:rFonts w:ascii="Arial" w:cs="Arial" w:eastAsia="Arial" w:hAnsi="Arial"/>
                <w:sz w:val="18"/>
                <w:szCs w:val="18"/>
                <w:color w:val="006098"/>
              </w:rPr>
              <w:t>Fred B. Davenport, Jr.</w:t>
            </w:r>
          </w:p>
        </w:tc>
        <w:tc>
          <w:tcPr>
            <w:tcW w:w="2920" w:type="dxa"/>
            <w:vAlign w:val="bottom"/>
          </w:tcPr>
          <w:p>
            <w:pPr>
              <w:jc w:val="center"/>
              <w:ind w:left="1391"/>
              <w:spacing w:after="0" w:line="177" w:lineRule="exact"/>
              <w:rPr>
                <w:sz w:val="20"/>
                <w:szCs w:val="20"/>
                <w:color w:val="auto"/>
              </w:rPr>
            </w:pPr>
            <w:r>
              <w:rPr>
                <w:rFonts w:ascii="Arial" w:cs="Arial" w:eastAsia="Arial" w:hAnsi="Arial"/>
                <w:sz w:val="18"/>
                <w:szCs w:val="18"/>
                <w:color w:val="3F3F3F"/>
                <w:w w:val="99"/>
              </w:rPr>
              <w:t>8/13/2018</w:t>
            </w:r>
          </w:p>
        </w:tc>
        <w:tc>
          <w:tcPr>
            <w:tcW w:w="1980" w:type="dxa"/>
            <w:vAlign w:val="bottom"/>
          </w:tcPr>
          <w:p>
            <w:pPr>
              <w:jc w:val="center"/>
              <w:spacing w:after="0" w:line="177" w:lineRule="exact"/>
              <w:rPr>
                <w:sz w:val="20"/>
                <w:szCs w:val="20"/>
                <w:color w:val="auto"/>
              </w:rPr>
            </w:pPr>
            <w:r>
              <w:rPr>
                <w:rFonts w:ascii="Arial" w:cs="Arial" w:eastAsia="Arial" w:hAnsi="Arial"/>
                <w:sz w:val="18"/>
                <w:szCs w:val="18"/>
                <w:color w:val="3F3F3F"/>
                <w:w w:val="97"/>
              </w:rPr>
              <w:t>4,710</w:t>
            </w:r>
          </w:p>
        </w:tc>
        <w:tc>
          <w:tcPr>
            <w:tcW w:w="1280" w:type="dxa"/>
            <w:vAlign w:val="bottom"/>
          </w:tcPr>
          <w:p>
            <w:pPr>
              <w:jc w:val="center"/>
              <w:ind w:left="13"/>
              <w:spacing w:after="0" w:line="177" w:lineRule="exact"/>
              <w:rPr>
                <w:sz w:val="20"/>
                <w:szCs w:val="20"/>
                <w:color w:val="auto"/>
              </w:rPr>
            </w:pPr>
            <w:r>
              <w:rPr>
                <w:rFonts w:ascii="Arial" w:cs="Arial" w:eastAsia="Arial" w:hAnsi="Arial"/>
                <w:sz w:val="18"/>
                <w:szCs w:val="18"/>
                <w:color w:val="3F3F3F"/>
              </w:rPr>
              <w:t>4,710</w:t>
            </w:r>
          </w:p>
        </w:tc>
        <w:tc>
          <w:tcPr>
            <w:tcW w:w="1160" w:type="dxa"/>
            <w:vAlign w:val="bottom"/>
          </w:tcPr>
          <w:p>
            <w:pPr>
              <w:jc w:val="center"/>
              <w:ind w:left="53"/>
              <w:spacing w:after="0" w:line="177" w:lineRule="exact"/>
              <w:rPr>
                <w:sz w:val="20"/>
                <w:szCs w:val="20"/>
                <w:color w:val="auto"/>
              </w:rPr>
            </w:pPr>
            <w:r>
              <w:rPr>
                <w:rFonts w:ascii="Arial" w:cs="Arial" w:eastAsia="Arial" w:hAnsi="Arial"/>
                <w:sz w:val="18"/>
                <w:szCs w:val="18"/>
                <w:color w:val="3F3F3F"/>
                <w:w w:val="99"/>
              </w:rPr>
              <w:t>—</w:t>
            </w:r>
          </w:p>
        </w:tc>
      </w:tr>
      <w:tr>
        <w:trPr>
          <w:trHeight w:val="203"/>
        </w:trPr>
        <w:tc>
          <w:tcPr>
            <w:tcW w:w="3680" w:type="dxa"/>
            <w:vAlign w:val="bottom"/>
          </w:tcPr>
          <w:p>
            <w:pPr>
              <w:spacing w:after="0"/>
              <w:rPr>
                <w:sz w:val="17"/>
                <w:szCs w:val="17"/>
                <w:color w:val="auto"/>
              </w:rPr>
            </w:pPr>
          </w:p>
        </w:tc>
        <w:tc>
          <w:tcPr>
            <w:tcW w:w="2920" w:type="dxa"/>
            <w:vAlign w:val="bottom"/>
          </w:tcPr>
          <w:p>
            <w:pPr>
              <w:jc w:val="center"/>
              <w:ind w:left="1391"/>
              <w:spacing w:after="0" w:line="202" w:lineRule="exact"/>
              <w:rPr>
                <w:sz w:val="20"/>
                <w:szCs w:val="20"/>
                <w:color w:val="auto"/>
              </w:rPr>
            </w:pPr>
            <w:r>
              <w:rPr>
                <w:rFonts w:ascii="Arial" w:cs="Arial" w:eastAsia="Arial" w:hAnsi="Arial"/>
                <w:sz w:val="18"/>
                <w:szCs w:val="18"/>
                <w:color w:val="3F3F3F"/>
                <w:w w:val="99"/>
              </w:rPr>
              <w:t>5/17/2019</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3F3F3F"/>
                <w:w w:val="97"/>
              </w:rPr>
              <w:t>6,472</w:t>
            </w:r>
          </w:p>
        </w:tc>
        <w:tc>
          <w:tcPr>
            <w:tcW w:w="1280" w:type="dxa"/>
            <w:vAlign w:val="bottom"/>
          </w:tcPr>
          <w:p>
            <w:pPr>
              <w:jc w:val="center"/>
              <w:ind w:left="13"/>
              <w:spacing w:after="0" w:line="202" w:lineRule="exact"/>
              <w:rPr>
                <w:sz w:val="20"/>
                <w:szCs w:val="20"/>
                <w:color w:val="auto"/>
              </w:rPr>
            </w:pPr>
            <w:r>
              <w:rPr>
                <w:rFonts w:ascii="Arial" w:cs="Arial" w:eastAsia="Arial" w:hAnsi="Arial"/>
                <w:sz w:val="18"/>
                <w:szCs w:val="18"/>
                <w:color w:val="3F3F3F"/>
              </w:rPr>
              <w:t>6,472</w:t>
            </w:r>
          </w:p>
        </w:tc>
        <w:tc>
          <w:tcPr>
            <w:tcW w:w="1160" w:type="dxa"/>
            <w:vAlign w:val="bottom"/>
          </w:tcPr>
          <w:p>
            <w:pPr>
              <w:jc w:val="center"/>
              <w:ind w:left="53"/>
              <w:spacing w:after="0" w:line="202" w:lineRule="exact"/>
              <w:rPr>
                <w:sz w:val="20"/>
                <w:szCs w:val="20"/>
                <w:color w:val="auto"/>
              </w:rPr>
            </w:pPr>
            <w:r>
              <w:rPr>
                <w:rFonts w:ascii="Arial" w:cs="Arial" w:eastAsia="Arial" w:hAnsi="Arial"/>
                <w:sz w:val="18"/>
                <w:szCs w:val="18"/>
                <w:color w:val="3F3F3F"/>
                <w:w w:val="99"/>
              </w:rPr>
              <w:t>—</w:t>
            </w:r>
          </w:p>
        </w:tc>
      </w:tr>
      <w:tr>
        <w:trPr>
          <w:trHeight w:val="203"/>
        </w:trPr>
        <w:tc>
          <w:tcPr>
            <w:tcW w:w="3680" w:type="dxa"/>
            <w:vAlign w:val="bottom"/>
          </w:tcPr>
          <w:p>
            <w:pPr>
              <w:spacing w:after="0"/>
              <w:rPr>
                <w:sz w:val="17"/>
                <w:szCs w:val="17"/>
                <w:color w:val="auto"/>
              </w:rPr>
            </w:pPr>
          </w:p>
        </w:tc>
        <w:tc>
          <w:tcPr>
            <w:tcW w:w="2920" w:type="dxa"/>
            <w:vAlign w:val="bottom"/>
          </w:tcPr>
          <w:p>
            <w:pPr>
              <w:jc w:val="center"/>
              <w:ind w:left="1391"/>
              <w:spacing w:after="0" w:line="202" w:lineRule="exact"/>
              <w:rPr>
                <w:sz w:val="20"/>
                <w:szCs w:val="20"/>
                <w:color w:val="auto"/>
              </w:rPr>
            </w:pPr>
            <w:r>
              <w:rPr>
                <w:rFonts w:ascii="Arial" w:cs="Arial" w:eastAsia="Arial" w:hAnsi="Arial"/>
                <w:sz w:val="18"/>
                <w:szCs w:val="18"/>
                <w:color w:val="3F3F3F"/>
                <w:w w:val="99"/>
              </w:rPr>
              <w:t>5/15/2020</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3F3F3F"/>
                <w:w w:val="97"/>
              </w:rPr>
              <w:t>3,858</w:t>
            </w:r>
          </w:p>
        </w:tc>
        <w:tc>
          <w:tcPr>
            <w:tcW w:w="1280" w:type="dxa"/>
            <w:vAlign w:val="bottom"/>
          </w:tcPr>
          <w:p>
            <w:pPr>
              <w:jc w:val="center"/>
              <w:ind w:left="13"/>
              <w:spacing w:after="0" w:line="202" w:lineRule="exact"/>
              <w:rPr>
                <w:sz w:val="20"/>
                <w:szCs w:val="20"/>
                <w:color w:val="auto"/>
              </w:rPr>
            </w:pPr>
            <w:r>
              <w:rPr>
                <w:rFonts w:ascii="Arial" w:cs="Arial" w:eastAsia="Arial" w:hAnsi="Arial"/>
                <w:sz w:val="18"/>
                <w:szCs w:val="18"/>
                <w:color w:val="3F3F3F"/>
              </w:rPr>
              <w:t>3,858</w:t>
            </w:r>
          </w:p>
        </w:tc>
        <w:tc>
          <w:tcPr>
            <w:tcW w:w="1160" w:type="dxa"/>
            <w:vAlign w:val="bottom"/>
          </w:tcPr>
          <w:p>
            <w:pPr>
              <w:jc w:val="center"/>
              <w:ind w:left="53"/>
              <w:spacing w:after="0" w:line="202" w:lineRule="exact"/>
              <w:rPr>
                <w:sz w:val="20"/>
                <w:szCs w:val="20"/>
                <w:color w:val="auto"/>
              </w:rPr>
            </w:pPr>
            <w:r>
              <w:rPr>
                <w:rFonts w:ascii="Arial" w:cs="Arial" w:eastAsia="Arial" w:hAnsi="Arial"/>
                <w:sz w:val="18"/>
                <w:szCs w:val="18"/>
                <w:color w:val="3F3F3F"/>
                <w:w w:val="99"/>
              </w:rPr>
              <w:t>—</w:t>
            </w:r>
          </w:p>
        </w:tc>
      </w:tr>
      <w:tr>
        <w:trPr>
          <w:trHeight w:val="221"/>
        </w:trPr>
        <w:tc>
          <w:tcPr>
            <w:tcW w:w="3680" w:type="dxa"/>
            <w:vAlign w:val="bottom"/>
            <w:tcBorders>
              <w:bottom w:val="single" w:sz="8" w:color="A5A5A5"/>
            </w:tcBorders>
          </w:tcPr>
          <w:p>
            <w:pPr>
              <w:spacing w:after="0"/>
              <w:rPr>
                <w:sz w:val="19"/>
                <w:szCs w:val="19"/>
                <w:color w:val="auto"/>
              </w:rPr>
            </w:pPr>
          </w:p>
        </w:tc>
        <w:tc>
          <w:tcPr>
            <w:tcW w:w="2920" w:type="dxa"/>
            <w:vAlign w:val="bottom"/>
            <w:tcBorders>
              <w:bottom w:val="single" w:sz="8" w:color="A5A5A5"/>
            </w:tcBorders>
          </w:tcPr>
          <w:p>
            <w:pPr>
              <w:jc w:val="center"/>
              <w:ind w:left="1391"/>
              <w:spacing w:after="0"/>
              <w:rPr>
                <w:sz w:val="20"/>
                <w:szCs w:val="20"/>
                <w:color w:val="auto"/>
              </w:rPr>
            </w:pPr>
            <w:r>
              <w:rPr>
                <w:rFonts w:ascii="Arial" w:cs="Arial" w:eastAsia="Arial" w:hAnsi="Arial"/>
                <w:sz w:val="18"/>
                <w:szCs w:val="18"/>
                <w:color w:val="3F3F3F"/>
                <w:w w:val="99"/>
              </w:rPr>
              <w:t>5/14/2021</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8"/>
                <w:szCs w:val="18"/>
                <w:color w:val="3F3F3F"/>
                <w:w w:val="97"/>
              </w:rPr>
              <w:t>1,822</w:t>
            </w:r>
          </w:p>
        </w:tc>
        <w:tc>
          <w:tcPr>
            <w:tcW w:w="1280" w:type="dxa"/>
            <w:vAlign w:val="bottom"/>
            <w:tcBorders>
              <w:bottom w:val="single" w:sz="8" w:color="A5A5A5"/>
            </w:tcBorders>
          </w:tcPr>
          <w:p>
            <w:pPr>
              <w:jc w:val="center"/>
              <w:ind w:left="13"/>
              <w:spacing w:after="0"/>
              <w:rPr>
                <w:sz w:val="20"/>
                <w:szCs w:val="20"/>
                <w:color w:val="auto"/>
              </w:rPr>
            </w:pPr>
            <w:r>
              <w:rPr>
                <w:rFonts w:ascii="Arial" w:cs="Arial" w:eastAsia="Arial" w:hAnsi="Arial"/>
                <w:sz w:val="18"/>
                <w:szCs w:val="18"/>
                <w:color w:val="3F3F3F"/>
                <w:w w:val="99"/>
              </w:rPr>
              <w:t>—</w:t>
            </w:r>
          </w:p>
        </w:tc>
        <w:tc>
          <w:tcPr>
            <w:tcW w:w="1160" w:type="dxa"/>
            <w:vAlign w:val="bottom"/>
            <w:tcBorders>
              <w:bottom w:val="single" w:sz="8" w:color="A5A5A5"/>
            </w:tcBorders>
          </w:tcPr>
          <w:p>
            <w:pPr>
              <w:jc w:val="center"/>
              <w:ind w:left="73"/>
              <w:spacing w:after="0"/>
              <w:rPr>
                <w:sz w:val="20"/>
                <w:szCs w:val="20"/>
                <w:color w:val="auto"/>
              </w:rPr>
            </w:pPr>
            <w:r>
              <w:rPr>
                <w:rFonts w:ascii="Arial" w:cs="Arial" w:eastAsia="Arial" w:hAnsi="Arial"/>
                <w:sz w:val="18"/>
                <w:szCs w:val="18"/>
                <w:color w:val="3F3F3F"/>
                <w:w w:val="97"/>
              </w:rPr>
              <w:t>1,822</w:t>
            </w:r>
          </w:p>
        </w:tc>
      </w:tr>
      <w:tr>
        <w:trPr>
          <w:trHeight w:val="177"/>
        </w:trPr>
        <w:tc>
          <w:tcPr>
            <w:tcW w:w="3680" w:type="dxa"/>
            <w:vAlign w:val="bottom"/>
          </w:tcPr>
          <w:p>
            <w:pPr>
              <w:spacing w:after="0" w:line="177" w:lineRule="exact"/>
              <w:rPr>
                <w:sz w:val="20"/>
                <w:szCs w:val="20"/>
                <w:color w:val="auto"/>
              </w:rPr>
            </w:pPr>
            <w:r>
              <w:rPr>
                <w:rFonts w:ascii="Arial" w:cs="Arial" w:eastAsia="Arial" w:hAnsi="Arial"/>
                <w:sz w:val="18"/>
                <w:szCs w:val="18"/>
                <w:color w:val="006098"/>
              </w:rPr>
              <w:t>Ashley M. Keating</w:t>
            </w:r>
          </w:p>
        </w:tc>
        <w:tc>
          <w:tcPr>
            <w:tcW w:w="2920" w:type="dxa"/>
            <w:vAlign w:val="bottom"/>
          </w:tcPr>
          <w:p>
            <w:pPr>
              <w:jc w:val="center"/>
              <w:ind w:left="1391"/>
              <w:spacing w:after="0" w:line="177" w:lineRule="exact"/>
              <w:rPr>
                <w:sz w:val="20"/>
                <w:szCs w:val="20"/>
                <w:color w:val="auto"/>
              </w:rPr>
            </w:pPr>
            <w:r>
              <w:rPr>
                <w:rFonts w:ascii="Arial" w:cs="Arial" w:eastAsia="Arial" w:hAnsi="Arial"/>
                <w:sz w:val="18"/>
                <w:szCs w:val="18"/>
                <w:color w:val="3F3F3F"/>
                <w:w w:val="99"/>
              </w:rPr>
              <w:t>5/17/2019</w:t>
            </w:r>
          </w:p>
        </w:tc>
        <w:tc>
          <w:tcPr>
            <w:tcW w:w="1980" w:type="dxa"/>
            <w:vAlign w:val="bottom"/>
          </w:tcPr>
          <w:p>
            <w:pPr>
              <w:jc w:val="center"/>
              <w:spacing w:after="0" w:line="177" w:lineRule="exact"/>
              <w:rPr>
                <w:sz w:val="20"/>
                <w:szCs w:val="20"/>
                <w:color w:val="auto"/>
              </w:rPr>
            </w:pPr>
            <w:r>
              <w:rPr>
                <w:rFonts w:ascii="Arial" w:cs="Arial" w:eastAsia="Arial" w:hAnsi="Arial"/>
                <w:sz w:val="18"/>
                <w:szCs w:val="18"/>
                <w:color w:val="3F3F3F"/>
                <w:w w:val="97"/>
              </w:rPr>
              <w:t>1,472</w:t>
            </w:r>
          </w:p>
        </w:tc>
        <w:tc>
          <w:tcPr>
            <w:tcW w:w="1280" w:type="dxa"/>
            <w:vAlign w:val="bottom"/>
          </w:tcPr>
          <w:p>
            <w:pPr>
              <w:jc w:val="center"/>
              <w:ind w:left="13"/>
              <w:spacing w:after="0" w:line="177" w:lineRule="exact"/>
              <w:rPr>
                <w:sz w:val="20"/>
                <w:szCs w:val="20"/>
                <w:color w:val="auto"/>
              </w:rPr>
            </w:pPr>
            <w:r>
              <w:rPr>
                <w:rFonts w:ascii="Arial" w:cs="Arial" w:eastAsia="Arial" w:hAnsi="Arial"/>
                <w:sz w:val="18"/>
                <w:szCs w:val="18"/>
                <w:color w:val="3F3F3F"/>
              </w:rPr>
              <w:t>1,472</w:t>
            </w:r>
          </w:p>
        </w:tc>
        <w:tc>
          <w:tcPr>
            <w:tcW w:w="1160" w:type="dxa"/>
            <w:vAlign w:val="bottom"/>
          </w:tcPr>
          <w:p>
            <w:pPr>
              <w:jc w:val="center"/>
              <w:ind w:left="53"/>
              <w:spacing w:after="0" w:line="177" w:lineRule="exact"/>
              <w:rPr>
                <w:sz w:val="20"/>
                <w:szCs w:val="20"/>
                <w:color w:val="auto"/>
              </w:rPr>
            </w:pPr>
            <w:r>
              <w:rPr>
                <w:rFonts w:ascii="Arial" w:cs="Arial" w:eastAsia="Arial" w:hAnsi="Arial"/>
                <w:sz w:val="18"/>
                <w:szCs w:val="18"/>
                <w:color w:val="3F3F3F"/>
                <w:w w:val="99"/>
              </w:rPr>
              <w:t>—</w:t>
            </w:r>
          </w:p>
        </w:tc>
      </w:tr>
      <w:tr>
        <w:trPr>
          <w:trHeight w:val="203"/>
        </w:trPr>
        <w:tc>
          <w:tcPr>
            <w:tcW w:w="3680" w:type="dxa"/>
            <w:vAlign w:val="bottom"/>
          </w:tcPr>
          <w:p>
            <w:pPr>
              <w:spacing w:after="0"/>
              <w:rPr>
                <w:sz w:val="17"/>
                <w:szCs w:val="17"/>
                <w:color w:val="auto"/>
              </w:rPr>
            </w:pPr>
          </w:p>
        </w:tc>
        <w:tc>
          <w:tcPr>
            <w:tcW w:w="2920" w:type="dxa"/>
            <w:vAlign w:val="bottom"/>
          </w:tcPr>
          <w:p>
            <w:pPr>
              <w:jc w:val="center"/>
              <w:ind w:left="1391"/>
              <w:spacing w:after="0" w:line="202" w:lineRule="exact"/>
              <w:rPr>
                <w:sz w:val="20"/>
                <w:szCs w:val="20"/>
                <w:color w:val="auto"/>
              </w:rPr>
            </w:pPr>
            <w:r>
              <w:rPr>
                <w:rFonts w:ascii="Arial" w:cs="Arial" w:eastAsia="Arial" w:hAnsi="Arial"/>
                <w:sz w:val="18"/>
                <w:szCs w:val="18"/>
                <w:color w:val="3F3F3F"/>
                <w:w w:val="99"/>
              </w:rPr>
              <w:t>5/15/2020</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3F3F3F"/>
                <w:w w:val="97"/>
              </w:rPr>
              <w:t>3,858</w:t>
            </w:r>
          </w:p>
        </w:tc>
        <w:tc>
          <w:tcPr>
            <w:tcW w:w="1280" w:type="dxa"/>
            <w:vAlign w:val="bottom"/>
          </w:tcPr>
          <w:p>
            <w:pPr>
              <w:jc w:val="center"/>
              <w:ind w:left="13"/>
              <w:spacing w:after="0" w:line="202" w:lineRule="exact"/>
              <w:rPr>
                <w:sz w:val="20"/>
                <w:szCs w:val="20"/>
                <w:color w:val="auto"/>
              </w:rPr>
            </w:pPr>
            <w:r>
              <w:rPr>
                <w:rFonts w:ascii="Arial" w:cs="Arial" w:eastAsia="Arial" w:hAnsi="Arial"/>
                <w:sz w:val="18"/>
                <w:szCs w:val="18"/>
                <w:color w:val="3F3F3F"/>
              </w:rPr>
              <w:t>3,858</w:t>
            </w:r>
          </w:p>
        </w:tc>
        <w:tc>
          <w:tcPr>
            <w:tcW w:w="1160" w:type="dxa"/>
            <w:vAlign w:val="bottom"/>
          </w:tcPr>
          <w:p>
            <w:pPr>
              <w:jc w:val="center"/>
              <w:ind w:left="53"/>
              <w:spacing w:after="0" w:line="202" w:lineRule="exact"/>
              <w:rPr>
                <w:sz w:val="20"/>
                <w:szCs w:val="20"/>
                <w:color w:val="auto"/>
              </w:rPr>
            </w:pPr>
            <w:r>
              <w:rPr>
                <w:rFonts w:ascii="Arial" w:cs="Arial" w:eastAsia="Arial" w:hAnsi="Arial"/>
                <w:sz w:val="18"/>
                <w:szCs w:val="18"/>
                <w:color w:val="3F3F3F"/>
                <w:w w:val="99"/>
              </w:rPr>
              <w:t>—</w:t>
            </w:r>
          </w:p>
        </w:tc>
      </w:tr>
      <w:tr>
        <w:trPr>
          <w:trHeight w:val="221"/>
        </w:trPr>
        <w:tc>
          <w:tcPr>
            <w:tcW w:w="3680" w:type="dxa"/>
            <w:vAlign w:val="bottom"/>
            <w:tcBorders>
              <w:bottom w:val="single" w:sz="8" w:color="A5A5A5"/>
            </w:tcBorders>
          </w:tcPr>
          <w:p>
            <w:pPr>
              <w:spacing w:after="0"/>
              <w:rPr>
                <w:sz w:val="19"/>
                <w:szCs w:val="19"/>
                <w:color w:val="auto"/>
              </w:rPr>
            </w:pPr>
          </w:p>
        </w:tc>
        <w:tc>
          <w:tcPr>
            <w:tcW w:w="2920" w:type="dxa"/>
            <w:vAlign w:val="bottom"/>
            <w:tcBorders>
              <w:bottom w:val="single" w:sz="8" w:color="A5A5A5"/>
            </w:tcBorders>
          </w:tcPr>
          <w:p>
            <w:pPr>
              <w:jc w:val="center"/>
              <w:ind w:left="1391"/>
              <w:spacing w:after="0"/>
              <w:rPr>
                <w:sz w:val="20"/>
                <w:szCs w:val="20"/>
                <w:color w:val="auto"/>
              </w:rPr>
            </w:pPr>
            <w:r>
              <w:rPr>
                <w:rFonts w:ascii="Arial" w:cs="Arial" w:eastAsia="Arial" w:hAnsi="Arial"/>
                <w:sz w:val="18"/>
                <w:szCs w:val="18"/>
                <w:color w:val="3F3F3F"/>
                <w:w w:val="99"/>
              </w:rPr>
              <w:t>5/14/2021</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8"/>
                <w:szCs w:val="18"/>
                <w:color w:val="3F3F3F"/>
                <w:w w:val="97"/>
              </w:rPr>
              <w:t>1,822</w:t>
            </w:r>
          </w:p>
        </w:tc>
        <w:tc>
          <w:tcPr>
            <w:tcW w:w="1280" w:type="dxa"/>
            <w:vAlign w:val="bottom"/>
            <w:tcBorders>
              <w:bottom w:val="single" w:sz="8" w:color="A5A5A5"/>
            </w:tcBorders>
          </w:tcPr>
          <w:p>
            <w:pPr>
              <w:jc w:val="center"/>
              <w:ind w:left="13"/>
              <w:spacing w:after="0"/>
              <w:rPr>
                <w:sz w:val="20"/>
                <w:szCs w:val="20"/>
                <w:color w:val="auto"/>
              </w:rPr>
            </w:pPr>
            <w:r>
              <w:rPr>
                <w:rFonts w:ascii="Arial" w:cs="Arial" w:eastAsia="Arial" w:hAnsi="Arial"/>
                <w:sz w:val="18"/>
                <w:szCs w:val="18"/>
                <w:color w:val="3F3F3F"/>
                <w:w w:val="99"/>
              </w:rPr>
              <w:t>—</w:t>
            </w:r>
          </w:p>
        </w:tc>
        <w:tc>
          <w:tcPr>
            <w:tcW w:w="1160" w:type="dxa"/>
            <w:vAlign w:val="bottom"/>
            <w:tcBorders>
              <w:bottom w:val="single" w:sz="8" w:color="A5A5A5"/>
            </w:tcBorders>
          </w:tcPr>
          <w:p>
            <w:pPr>
              <w:jc w:val="center"/>
              <w:ind w:left="73"/>
              <w:spacing w:after="0"/>
              <w:rPr>
                <w:sz w:val="20"/>
                <w:szCs w:val="20"/>
                <w:color w:val="auto"/>
              </w:rPr>
            </w:pPr>
            <w:r>
              <w:rPr>
                <w:rFonts w:ascii="Arial" w:cs="Arial" w:eastAsia="Arial" w:hAnsi="Arial"/>
                <w:sz w:val="18"/>
                <w:szCs w:val="18"/>
                <w:color w:val="3F3F3F"/>
                <w:w w:val="97"/>
              </w:rPr>
              <w:t>1,822</w:t>
            </w:r>
          </w:p>
        </w:tc>
      </w:tr>
      <w:tr>
        <w:trPr>
          <w:trHeight w:val="177"/>
        </w:trPr>
        <w:tc>
          <w:tcPr>
            <w:tcW w:w="3680" w:type="dxa"/>
            <w:vAlign w:val="bottom"/>
          </w:tcPr>
          <w:p>
            <w:pPr>
              <w:spacing w:after="0" w:line="177" w:lineRule="exact"/>
              <w:rPr>
                <w:sz w:val="20"/>
                <w:szCs w:val="20"/>
                <w:color w:val="auto"/>
              </w:rPr>
            </w:pPr>
            <w:r>
              <w:rPr>
                <w:rFonts w:ascii="Arial" w:cs="Arial" w:eastAsia="Arial" w:hAnsi="Arial"/>
                <w:sz w:val="18"/>
                <w:szCs w:val="18"/>
                <w:color w:val="006098"/>
              </w:rPr>
              <w:t>Thomas C. King</w:t>
            </w:r>
          </w:p>
        </w:tc>
        <w:tc>
          <w:tcPr>
            <w:tcW w:w="2920" w:type="dxa"/>
            <w:vAlign w:val="bottom"/>
          </w:tcPr>
          <w:p>
            <w:pPr>
              <w:jc w:val="center"/>
              <w:ind w:left="1371"/>
              <w:spacing w:after="0" w:line="177" w:lineRule="exact"/>
              <w:rPr>
                <w:sz w:val="20"/>
                <w:szCs w:val="20"/>
                <w:color w:val="auto"/>
              </w:rPr>
            </w:pPr>
            <w:r>
              <w:rPr>
                <w:rFonts w:ascii="Arial" w:cs="Arial" w:eastAsia="Arial" w:hAnsi="Arial"/>
                <w:sz w:val="18"/>
                <w:szCs w:val="18"/>
                <w:color w:val="3F3F3F"/>
                <w:w w:val="99"/>
              </w:rPr>
              <w:t>10/24/2019</w:t>
            </w:r>
          </w:p>
        </w:tc>
        <w:tc>
          <w:tcPr>
            <w:tcW w:w="1980" w:type="dxa"/>
            <w:vAlign w:val="bottom"/>
          </w:tcPr>
          <w:p>
            <w:pPr>
              <w:jc w:val="center"/>
              <w:spacing w:after="0" w:line="177" w:lineRule="exact"/>
              <w:rPr>
                <w:sz w:val="20"/>
                <w:szCs w:val="20"/>
                <w:color w:val="auto"/>
              </w:rPr>
            </w:pPr>
            <w:r>
              <w:rPr>
                <w:rFonts w:ascii="Arial" w:cs="Arial" w:eastAsia="Arial" w:hAnsi="Arial"/>
                <w:sz w:val="18"/>
                <w:szCs w:val="18"/>
                <w:color w:val="3F3F3F"/>
                <w:w w:val="97"/>
              </w:rPr>
              <w:t>2,021</w:t>
            </w:r>
          </w:p>
        </w:tc>
        <w:tc>
          <w:tcPr>
            <w:tcW w:w="1280" w:type="dxa"/>
            <w:vAlign w:val="bottom"/>
          </w:tcPr>
          <w:p>
            <w:pPr>
              <w:jc w:val="center"/>
              <w:ind w:left="13"/>
              <w:spacing w:after="0" w:line="177" w:lineRule="exact"/>
              <w:rPr>
                <w:sz w:val="20"/>
                <w:szCs w:val="20"/>
                <w:color w:val="auto"/>
              </w:rPr>
            </w:pPr>
            <w:r>
              <w:rPr>
                <w:rFonts w:ascii="Arial" w:cs="Arial" w:eastAsia="Arial" w:hAnsi="Arial"/>
                <w:sz w:val="18"/>
                <w:szCs w:val="18"/>
                <w:color w:val="3F3F3F"/>
              </w:rPr>
              <w:t>2,021</w:t>
            </w:r>
          </w:p>
        </w:tc>
        <w:tc>
          <w:tcPr>
            <w:tcW w:w="1160" w:type="dxa"/>
            <w:vAlign w:val="bottom"/>
          </w:tcPr>
          <w:p>
            <w:pPr>
              <w:jc w:val="center"/>
              <w:ind w:left="53"/>
              <w:spacing w:after="0" w:line="177" w:lineRule="exact"/>
              <w:rPr>
                <w:sz w:val="20"/>
                <w:szCs w:val="20"/>
                <w:color w:val="auto"/>
              </w:rPr>
            </w:pPr>
            <w:r>
              <w:rPr>
                <w:rFonts w:ascii="Arial" w:cs="Arial" w:eastAsia="Arial" w:hAnsi="Arial"/>
                <w:sz w:val="18"/>
                <w:szCs w:val="18"/>
                <w:color w:val="3F3F3F"/>
                <w:w w:val="99"/>
              </w:rPr>
              <w:t>—</w:t>
            </w:r>
          </w:p>
        </w:tc>
      </w:tr>
      <w:tr>
        <w:trPr>
          <w:trHeight w:val="203"/>
        </w:trPr>
        <w:tc>
          <w:tcPr>
            <w:tcW w:w="3680" w:type="dxa"/>
            <w:vAlign w:val="bottom"/>
          </w:tcPr>
          <w:p>
            <w:pPr>
              <w:spacing w:after="0"/>
              <w:rPr>
                <w:sz w:val="17"/>
                <w:szCs w:val="17"/>
                <w:color w:val="auto"/>
              </w:rPr>
            </w:pPr>
          </w:p>
        </w:tc>
        <w:tc>
          <w:tcPr>
            <w:tcW w:w="2920" w:type="dxa"/>
            <w:vAlign w:val="bottom"/>
          </w:tcPr>
          <w:p>
            <w:pPr>
              <w:jc w:val="center"/>
              <w:ind w:left="1391"/>
              <w:spacing w:after="0" w:line="202" w:lineRule="exact"/>
              <w:rPr>
                <w:sz w:val="20"/>
                <w:szCs w:val="20"/>
                <w:color w:val="auto"/>
              </w:rPr>
            </w:pPr>
            <w:r>
              <w:rPr>
                <w:rFonts w:ascii="Arial" w:cs="Arial" w:eastAsia="Arial" w:hAnsi="Arial"/>
                <w:sz w:val="18"/>
                <w:szCs w:val="18"/>
                <w:color w:val="3F3F3F"/>
                <w:w w:val="99"/>
              </w:rPr>
              <w:t>5/15/2020</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3F3F3F"/>
                <w:w w:val="97"/>
              </w:rPr>
              <w:t>3,858</w:t>
            </w:r>
          </w:p>
        </w:tc>
        <w:tc>
          <w:tcPr>
            <w:tcW w:w="1280" w:type="dxa"/>
            <w:vAlign w:val="bottom"/>
          </w:tcPr>
          <w:p>
            <w:pPr>
              <w:jc w:val="center"/>
              <w:ind w:left="13"/>
              <w:spacing w:after="0" w:line="202" w:lineRule="exact"/>
              <w:rPr>
                <w:sz w:val="20"/>
                <w:szCs w:val="20"/>
                <w:color w:val="auto"/>
              </w:rPr>
            </w:pPr>
            <w:r>
              <w:rPr>
                <w:rFonts w:ascii="Arial" w:cs="Arial" w:eastAsia="Arial" w:hAnsi="Arial"/>
                <w:sz w:val="18"/>
                <w:szCs w:val="18"/>
                <w:color w:val="3F3F3F"/>
              </w:rPr>
              <w:t>3,858</w:t>
            </w:r>
          </w:p>
        </w:tc>
        <w:tc>
          <w:tcPr>
            <w:tcW w:w="1160" w:type="dxa"/>
            <w:vAlign w:val="bottom"/>
          </w:tcPr>
          <w:p>
            <w:pPr>
              <w:jc w:val="center"/>
              <w:ind w:left="53"/>
              <w:spacing w:after="0" w:line="202" w:lineRule="exact"/>
              <w:rPr>
                <w:sz w:val="20"/>
                <w:szCs w:val="20"/>
                <w:color w:val="auto"/>
              </w:rPr>
            </w:pPr>
            <w:r>
              <w:rPr>
                <w:rFonts w:ascii="Arial" w:cs="Arial" w:eastAsia="Arial" w:hAnsi="Arial"/>
                <w:sz w:val="18"/>
                <w:szCs w:val="18"/>
                <w:color w:val="3F3F3F"/>
                <w:w w:val="99"/>
              </w:rPr>
              <w:t>—</w:t>
            </w:r>
          </w:p>
        </w:tc>
      </w:tr>
      <w:tr>
        <w:trPr>
          <w:trHeight w:val="221"/>
        </w:trPr>
        <w:tc>
          <w:tcPr>
            <w:tcW w:w="3680" w:type="dxa"/>
            <w:vAlign w:val="bottom"/>
            <w:tcBorders>
              <w:bottom w:val="single" w:sz="8" w:color="A5A5A5"/>
            </w:tcBorders>
          </w:tcPr>
          <w:p>
            <w:pPr>
              <w:spacing w:after="0"/>
              <w:rPr>
                <w:sz w:val="19"/>
                <w:szCs w:val="19"/>
                <w:color w:val="auto"/>
              </w:rPr>
            </w:pPr>
          </w:p>
        </w:tc>
        <w:tc>
          <w:tcPr>
            <w:tcW w:w="2920" w:type="dxa"/>
            <w:vAlign w:val="bottom"/>
            <w:tcBorders>
              <w:bottom w:val="single" w:sz="8" w:color="A5A5A5"/>
            </w:tcBorders>
          </w:tcPr>
          <w:p>
            <w:pPr>
              <w:jc w:val="center"/>
              <w:ind w:left="1391"/>
              <w:spacing w:after="0"/>
              <w:rPr>
                <w:sz w:val="20"/>
                <w:szCs w:val="20"/>
                <w:color w:val="auto"/>
              </w:rPr>
            </w:pPr>
            <w:r>
              <w:rPr>
                <w:rFonts w:ascii="Arial" w:cs="Arial" w:eastAsia="Arial" w:hAnsi="Arial"/>
                <w:sz w:val="18"/>
                <w:szCs w:val="18"/>
                <w:color w:val="3F3F3F"/>
                <w:w w:val="99"/>
              </w:rPr>
              <w:t>5/14/2021</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8"/>
                <w:szCs w:val="18"/>
                <w:color w:val="3F3F3F"/>
                <w:w w:val="97"/>
              </w:rPr>
              <w:t>1,822</w:t>
            </w:r>
          </w:p>
        </w:tc>
        <w:tc>
          <w:tcPr>
            <w:tcW w:w="1280" w:type="dxa"/>
            <w:vAlign w:val="bottom"/>
            <w:tcBorders>
              <w:bottom w:val="single" w:sz="8" w:color="A5A5A5"/>
            </w:tcBorders>
          </w:tcPr>
          <w:p>
            <w:pPr>
              <w:jc w:val="center"/>
              <w:ind w:left="13"/>
              <w:spacing w:after="0"/>
              <w:rPr>
                <w:sz w:val="20"/>
                <w:szCs w:val="20"/>
                <w:color w:val="auto"/>
              </w:rPr>
            </w:pPr>
            <w:r>
              <w:rPr>
                <w:rFonts w:ascii="Arial" w:cs="Arial" w:eastAsia="Arial" w:hAnsi="Arial"/>
                <w:sz w:val="18"/>
                <w:szCs w:val="18"/>
                <w:color w:val="3F3F3F"/>
                <w:w w:val="99"/>
              </w:rPr>
              <w:t>—</w:t>
            </w:r>
          </w:p>
        </w:tc>
        <w:tc>
          <w:tcPr>
            <w:tcW w:w="1160" w:type="dxa"/>
            <w:vAlign w:val="bottom"/>
            <w:tcBorders>
              <w:bottom w:val="single" w:sz="8" w:color="A5A5A5"/>
            </w:tcBorders>
          </w:tcPr>
          <w:p>
            <w:pPr>
              <w:jc w:val="center"/>
              <w:ind w:left="73"/>
              <w:spacing w:after="0"/>
              <w:rPr>
                <w:sz w:val="20"/>
                <w:szCs w:val="20"/>
                <w:color w:val="auto"/>
              </w:rPr>
            </w:pPr>
            <w:r>
              <w:rPr>
                <w:rFonts w:ascii="Arial" w:cs="Arial" w:eastAsia="Arial" w:hAnsi="Arial"/>
                <w:sz w:val="18"/>
                <w:szCs w:val="18"/>
                <w:color w:val="3F3F3F"/>
                <w:w w:val="97"/>
              </w:rPr>
              <w:t>1,822</w:t>
            </w:r>
          </w:p>
        </w:tc>
      </w:tr>
      <w:tr>
        <w:trPr>
          <w:trHeight w:val="177"/>
        </w:trPr>
        <w:tc>
          <w:tcPr>
            <w:tcW w:w="3680" w:type="dxa"/>
            <w:vAlign w:val="bottom"/>
          </w:tcPr>
          <w:p>
            <w:pPr>
              <w:spacing w:after="0" w:line="177" w:lineRule="exact"/>
              <w:rPr>
                <w:sz w:val="20"/>
                <w:szCs w:val="20"/>
                <w:color w:val="auto"/>
              </w:rPr>
            </w:pPr>
            <w:r>
              <w:rPr>
                <w:rFonts w:ascii="Arial" w:cs="Arial" w:eastAsia="Arial" w:hAnsi="Arial"/>
                <w:sz w:val="18"/>
                <w:szCs w:val="18"/>
                <w:color w:val="006098"/>
              </w:rPr>
              <w:t>Robert O. Kraft</w:t>
            </w:r>
          </w:p>
        </w:tc>
        <w:tc>
          <w:tcPr>
            <w:tcW w:w="2920" w:type="dxa"/>
            <w:vAlign w:val="bottom"/>
          </w:tcPr>
          <w:p>
            <w:pPr>
              <w:jc w:val="center"/>
              <w:ind w:left="1391"/>
              <w:spacing w:after="0" w:line="177" w:lineRule="exact"/>
              <w:rPr>
                <w:sz w:val="20"/>
                <w:szCs w:val="20"/>
                <w:color w:val="auto"/>
              </w:rPr>
            </w:pPr>
            <w:r>
              <w:rPr>
                <w:rFonts w:ascii="Arial" w:cs="Arial" w:eastAsia="Arial" w:hAnsi="Arial"/>
                <w:sz w:val="18"/>
                <w:szCs w:val="18"/>
                <w:color w:val="3F3F3F"/>
                <w:w w:val="99"/>
              </w:rPr>
              <w:t>8/10/2016</w:t>
            </w:r>
          </w:p>
        </w:tc>
        <w:tc>
          <w:tcPr>
            <w:tcW w:w="1980" w:type="dxa"/>
            <w:vAlign w:val="bottom"/>
          </w:tcPr>
          <w:p>
            <w:pPr>
              <w:jc w:val="center"/>
              <w:spacing w:after="0" w:line="177" w:lineRule="exact"/>
              <w:rPr>
                <w:sz w:val="20"/>
                <w:szCs w:val="20"/>
                <w:color w:val="auto"/>
              </w:rPr>
            </w:pPr>
            <w:r>
              <w:rPr>
                <w:rFonts w:ascii="Arial" w:cs="Arial" w:eastAsia="Arial" w:hAnsi="Arial"/>
                <w:sz w:val="18"/>
                <w:szCs w:val="18"/>
                <w:color w:val="3F3F3F"/>
                <w:w w:val="97"/>
              </w:rPr>
              <w:t>9,630</w:t>
            </w:r>
          </w:p>
        </w:tc>
        <w:tc>
          <w:tcPr>
            <w:tcW w:w="1280" w:type="dxa"/>
            <w:vAlign w:val="bottom"/>
          </w:tcPr>
          <w:p>
            <w:pPr>
              <w:jc w:val="center"/>
              <w:ind w:left="13"/>
              <w:spacing w:after="0" w:line="177" w:lineRule="exact"/>
              <w:rPr>
                <w:sz w:val="20"/>
                <w:szCs w:val="20"/>
                <w:color w:val="auto"/>
              </w:rPr>
            </w:pPr>
            <w:r>
              <w:rPr>
                <w:rFonts w:ascii="Arial" w:cs="Arial" w:eastAsia="Arial" w:hAnsi="Arial"/>
                <w:sz w:val="18"/>
                <w:szCs w:val="18"/>
                <w:color w:val="3F3F3F"/>
              </w:rPr>
              <w:t>9,630</w:t>
            </w:r>
          </w:p>
        </w:tc>
        <w:tc>
          <w:tcPr>
            <w:tcW w:w="1160" w:type="dxa"/>
            <w:vAlign w:val="bottom"/>
          </w:tcPr>
          <w:p>
            <w:pPr>
              <w:jc w:val="center"/>
              <w:ind w:left="53"/>
              <w:spacing w:after="0" w:line="177" w:lineRule="exact"/>
              <w:rPr>
                <w:sz w:val="20"/>
                <w:szCs w:val="20"/>
                <w:color w:val="auto"/>
              </w:rPr>
            </w:pPr>
            <w:r>
              <w:rPr>
                <w:rFonts w:ascii="Arial" w:cs="Arial" w:eastAsia="Arial" w:hAnsi="Arial"/>
                <w:sz w:val="18"/>
                <w:szCs w:val="18"/>
                <w:color w:val="3F3F3F"/>
                <w:w w:val="99"/>
              </w:rPr>
              <w:t>—</w:t>
            </w:r>
          </w:p>
        </w:tc>
      </w:tr>
      <w:tr>
        <w:trPr>
          <w:trHeight w:val="203"/>
        </w:trPr>
        <w:tc>
          <w:tcPr>
            <w:tcW w:w="3680" w:type="dxa"/>
            <w:vAlign w:val="bottom"/>
          </w:tcPr>
          <w:p>
            <w:pPr>
              <w:spacing w:after="0"/>
              <w:rPr>
                <w:sz w:val="17"/>
                <w:szCs w:val="17"/>
                <w:color w:val="auto"/>
              </w:rPr>
            </w:pPr>
          </w:p>
        </w:tc>
        <w:tc>
          <w:tcPr>
            <w:tcW w:w="2920" w:type="dxa"/>
            <w:vAlign w:val="bottom"/>
          </w:tcPr>
          <w:p>
            <w:pPr>
              <w:jc w:val="center"/>
              <w:ind w:left="1391"/>
              <w:spacing w:after="0" w:line="202" w:lineRule="exact"/>
              <w:rPr>
                <w:sz w:val="20"/>
                <w:szCs w:val="20"/>
                <w:color w:val="auto"/>
              </w:rPr>
            </w:pPr>
            <w:r>
              <w:rPr>
                <w:rFonts w:ascii="Arial" w:cs="Arial" w:eastAsia="Arial" w:hAnsi="Arial"/>
                <w:sz w:val="18"/>
                <w:szCs w:val="18"/>
                <w:color w:val="3F3F3F"/>
                <w:w w:val="99"/>
              </w:rPr>
              <w:t>5/19/2017</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3F3F3F"/>
              </w:rPr>
              <w:t>13,782</w:t>
            </w:r>
          </w:p>
        </w:tc>
        <w:tc>
          <w:tcPr>
            <w:tcW w:w="1280" w:type="dxa"/>
            <w:vAlign w:val="bottom"/>
          </w:tcPr>
          <w:p>
            <w:pPr>
              <w:jc w:val="center"/>
              <w:ind w:left="13"/>
              <w:spacing w:after="0" w:line="202" w:lineRule="exact"/>
              <w:rPr>
                <w:sz w:val="20"/>
                <w:szCs w:val="20"/>
                <w:color w:val="auto"/>
              </w:rPr>
            </w:pPr>
            <w:r>
              <w:rPr>
                <w:rFonts w:ascii="Arial" w:cs="Arial" w:eastAsia="Arial" w:hAnsi="Arial"/>
                <w:sz w:val="18"/>
                <w:szCs w:val="18"/>
                <w:color w:val="3F3F3F"/>
                <w:w w:val="98"/>
              </w:rPr>
              <w:t>13,782</w:t>
            </w:r>
          </w:p>
        </w:tc>
        <w:tc>
          <w:tcPr>
            <w:tcW w:w="1160" w:type="dxa"/>
            <w:vAlign w:val="bottom"/>
          </w:tcPr>
          <w:p>
            <w:pPr>
              <w:jc w:val="center"/>
              <w:ind w:left="53"/>
              <w:spacing w:after="0" w:line="202" w:lineRule="exact"/>
              <w:rPr>
                <w:sz w:val="20"/>
                <w:szCs w:val="20"/>
                <w:color w:val="auto"/>
              </w:rPr>
            </w:pPr>
            <w:r>
              <w:rPr>
                <w:rFonts w:ascii="Arial" w:cs="Arial" w:eastAsia="Arial" w:hAnsi="Arial"/>
                <w:sz w:val="18"/>
                <w:szCs w:val="18"/>
                <w:color w:val="3F3F3F"/>
                <w:w w:val="99"/>
              </w:rPr>
              <w:t>—</w:t>
            </w:r>
          </w:p>
        </w:tc>
      </w:tr>
      <w:tr>
        <w:trPr>
          <w:trHeight w:val="203"/>
        </w:trPr>
        <w:tc>
          <w:tcPr>
            <w:tcW w:w="3680" w:type="dxa"/>
            <w:vAlign w:val="bottom"/>
          </w:tcPr>
          <w:p>
            <w:pPr>
              <w:spacing w:after="0"/>
              <w:rPr>
                <w:sz w:val="17"/>
                <w:szCs w:val="17"/>
                <w:color w:val="auto"/>
              </w:rPr>
            </w:pPr>
          </w:p>
        </w:tc>
        <w:tc>
          <w:tcPr>
            <w:tcW w:w="2920" w:type="dxa"/>
            <w:vAlign w:val="bottom"/>
          </w:tcPr>
          <w:p>
            <w:pPr>
              <w:jc w:val="center"/>
              <w:ind w:left="1391"/>
              <w:spacing w:after="0" w:line="202" w:lineRule="exact"/>
              <w:rPr>
                <w:sz w:val="20"/>
                <w:szCs w:val="20"/>
                <w:color w:val="auto"/>
              </w:rPr>
            </w:pPr>
            <w:r>
              <w:rPr>
                <w:rFonts w:ascii="Arial" w:cs="Arial" w:eastAsia="Arial" w:hAnsi="Arial"/>
                <w:sz w:val="18"/>
                <w:szCs w:val="18"/>
                <w:color w:val="3F3F3F"/>
                <w:w w:val="99"/>
              </w:rPr>
              <w:t>5/18/2018</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3F3F3F"/>
                <w:w w:val="97"/>
              </w:rPr>
              <w:t>8,127</w:t>
            </w:r>
          </w:p>
        </w:tc>
        <w:tc>
          <w:tcPr>
            <w:tcW w:w="1280" w:type="dxa"/>
            <w:vAlign w:val="bottom"/>
          </w:tcPr>
          <w:p>
            <w:pPr>
              <w:jc w:val="center"/>
              <w:ind w:left="13"/>
              <w:spacing w:after="0" w:line="202" w:lineRule="exact"/>
              <w:rPr>
                <w:sz w:val="20"/>
                <w:szCs w:val="20"/>
                <w:color w:val="auto"/>
              </w:rPr>
            </w:pPr>
            <w:r>
              <w:rPr>
                <w:rFonts w:ascii="Arial" w:cs="Arial" w:eastAsia="Arial" w:hAnsi="Arial"/>
                <w:sz w:val="18"/>
                <w:szCs w:val="18"/>
                <w:color w:val="3F3F3F"/>
              </w:rPr>
              <w:t>8,127</w:t>
            </w:r>
          </w:p>
        </w:tc>
        <w:tc>
          <w:tcPr>
            <w:tcW w:w="1160" w:type="dxa"/>
            <w:vAlign w:val="bottom"/>
          </w:tcPr>
          <w:p>
            <w:pPr>
              <w:jc w:val="center"/>
              <w:ind w:left="53"/>
              <w:spacing w:after="0" w:line="202" w:lineRule="exact"/>
              <w:rPr>
                <w:sz w:val="20"/>
                <w:szCs w:val="20"/>
                <w:color w:val="auto"/>
              </w:rPr>
            </w:pPr>
            <w:r>
              <w:rPr>
                <w:rFonts w:ascii="Arial" w:cs="Arial" w:eastAsia="Arial" w:hAnsi="Arial"/>
                <w:sz w:val="18"/>
                <w:szCs w:val="18"/>
                <w:color w:val="3F3F3F"/>
                <w:w w:val="99"/>
              </w:rPr>
              <w:t>—</w:t>
            </w:r>
          </w:p>
        </w:tc>
      </w:tr>
      <w:tr>
        <w:trPr>
          <w:trHeight w:val="203"/>
        </w:trPr>
        <w:tc>
          <w:tcPr>
            <w:tcW w:w="3680" w:type="dxa"/>
            <w:vAlign w:val="bottom"/>
          </w:tcPr>
          <w:p>
            <w:pPr>
              <w:spacing w:after="0"/>
              <w:rPr>
                <w:sz w:val="17"/>
                <w:szCs w:val="17"/>
                <w:color w:val="auto"/>
              </w:rPr>
            </w:pPr>
          </w:p>
        </w:tc>
        <w:tc>
          <w:tcPr>
            <w:tcW w:w="2920" w:type="dxa"/>
            <w:vAlign w:val="bottom"/>
          </w:tcPr>
          <w:p>
            <w:pPr>
              <w:jc w:val="center"/>
              <w:ind w:left="1391"/>
              <w:spacing w:after="0" w:line="202" w:lineRule="exact"/>
              <w:rPr>
                <w:sz w:val="20"/>
                <w:szCs w:val="20"/>
                <w:color w:val="auto"/>
              </w:rPr>
            </w:pPr>
            <w:r>
              <w:rPr>
                <w:rFonts w:ascii="Arial" w:cs="Arial" w:eastAsia="Arial" w:hAnsi="Arial"/>
                <w:sz w:val="18"/>
                <w:szCs w:val="18"/>
                <w:color w:val="3F3F3F"/>
                <w:w w:val="99"/>
              </w:rPr>
              <w:t>5/17/2019</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3F3F3F"/>
                <w:w w:val="97"/>
              </w:rPr>
              <w:t>6,472</w:t>
            </w:r>
          </w:p>
        </w:tc>
        <w:tc>
          <w:tcPr>
            <w:tcW w:w="1280" w:type="dxa"/>
            <w:vAlign w:val="bottom"/>
          </w:tcPr>
          <w:p>
            <w:pPr>
              <w:jc w:val="center"/>
              <w:ind w:left="13"/>
              <w:spacing w:after="0" w:line="202" w:lineRule="exact"/>
              <w:rPr>
                <w:sz w:val="20"/>
                <w:szCs w:val="20"/>
                <w:color w:val="auto"/>
              </w:rPr>
            </w:pPr>
            <w:r>
              <w:rPr>
                <w:rFonts w:ascii="Arial" w:cs="Arial" w:eastAsia="Arial" w:hAnsi="Arial"/>
                <w:sz w:val="18"/>
                <w:szCs w:val="18"/>
                <w:color w:val="3F3F3F"/>
              </w:rPr>
              <w:t>6,472</w:t>
            </w:r>
          </w:p>
        </w:tc>
        <w:tc>
          <w:tcPr>
            <w:tcW w:w="1160" w:type="dxa"/>
            <w:vAlign w:val="bottom"/>
          </w:tcPr>
          <w:p>
            <w:pPr>
              <w:jc w:val="center"/>
              <w:ind w:left="53"/>
              <w:spacing w:after="0" w:line="202" w:lineRule="exact"/>
              <w:rPr>
                <w:sz w:val="20"/>
                <w:szCs w:val="20"/>
                <w:color w:val="auto"/>
              </w:rPr>
            </w:pPr>
            <w:r>
              <w:rPr>
                <w:rFonts w:ascii="Arial" w:cs="Arial" w:eastAsia="Arial" w:hAnsi="Arial"/>
                <w:sz w:val="18"/>
                <w:szCs w:val="18"/>
                <w:color w:val="3F3F3F"/>
                <w:w w:val="99"/>
              </w:rPr>
              <w:t>—</w:t>
            </w:r>
          </w:p>
        </w:tc>
      </w:tr>
      <w:tr>
        <w:trPr>
          <w:trHeight w:val="203"/>
        </w:trPr>
        <w:tc>
          <w:tcPr>
            <w:tcW w:w="3680" w:type="dxa"/>
            <w:vAlign w:val="bottom"/>
          </w:tcPr>
          <w:p>
            <w:pPr>
              <w:spacing w:after="0"/>
              <w:rPr>
                <w:sz w:val="17"/>
                <w:szCs w:val="17"/>
                <w:color w:val="auto"/>
              </w:rPr>
            </w:pPr>
          </w:p>
        </w:tc>
        <w:tc>
          <w:tcPr>
            <w:tcW w:w="2920" w:type="dxa"/>
            <w:vAlign w:val="bottom"/>
          </w:tcPr>
          <w:p>
            <w:pPr>
              <w:jc w:val="center"/>
              <w:ind w:left="1391"/>
              <w:spacing w:after="0" w:line="202" w:lineRule="exact"/>
              <w:rPr>
                <w:sz w:val="20"/>
                <w:szCs w:val="20"/>
                <w:color w:val="auto"/>
              </w:rPr>
            </w:pPr>
            <w:r>
              <w:rPr>
                <w:rFonts w:ascii="Arial" w:cs="Arial" w:eastAsia="Arial" w:hAnsi="Arial"/>
                <w:sz w:val="18"/>
                <w:szCs w:val="18"/>
                <w:color w:val="3F3F3F"/>
                <w:w w:val="99"/>
              </w:rPr>
              <w:t>5/15/2020</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3F3F3F"/>
                <w:w w:val="97"/>
              </w:rPr>
              <w:t>3,858</w:t>
            </w:r>
          </w:p>
        </w:tc>
        <w:tc>
          <w:tcPr>
            <w:tcW w:w="1280" w:type="dxa"/>
            <w:vAlign w:val="bottom"/>
          </w:tcPr>
          <w:p>
            <w:pPr>
              <w:jc w:val="center"/>
              <w:ind w:left="13"/>
              <w:spacing w:after="0" w:line="202" w:lineRule="exact"/>
              <w:rPr>
                <w:sz w:val="20"/>
                <w:szCs w:val="20"/>
                <w:color w:val="auto"/>
              </w:rPr>
            </w:pPr>
            <w:r>
              <w:rPr>
                <w:rFonts w:ascii="Arial" w:cs="Arial" w:eastAsia="Arial" w:hAnsi="Arial"/>
                <w:sz w:val="18"/>
                <w:szCs w:val="18"/>
                <w:color w:val="3F3F3F"/>
              </w:rPr>
              <w:t>3,858</w:t>
            </w:r>
          </w:p>
        </w:tc>
        <w:tc>
          <w:tcPr>
            <w:tcW w:w="1160" w:type="dxa"/>
            <w:vAlign w:val="bottom"/>
          </w:tcPr>
          <w:p>
            <w:pPr>
              <w:jc w:val="center"/>
              <w:ind w:left="53"/>
              <w:spacing w:after="0" w:line="202" w:lineRule="exact"/>
              <w:rPr>
                <w:sz w:val="20"/>
                <w:szCs w:val="20"/>
                <w:color w:val="auto"/>
              </w:rPr>
            </w:pPr>
            <w:r>
              <w:rPr>
                <w:rFonts w:ascii="Arial" w:cs="Arial" w:eastAsia="Arial" w:hAnsi="Arial"/>
                <w:sz w:val="18"/>
                <w:szCs w:val="18"/>
                <w:color w:val="3F3F3F"/>
                <w:w w:val="99"/>
              </w:rPr>
              <w:t>—</w:t>
            </w:r>
          </w:p>
        </w:tc>
      </w:tr>
      <w:tr>
        <w:trPr>
          <w:trHeight w:val="221"/>
        </w:trPr>
        <w:tc>
          <w:tcPr>
            <w:tcW w:w="3680" w:type="dxa"/>
            <w:vAlign w:val="bottom"/>
            <w:tcBorders>
              <w:bottom w:val="single" w:sz="8" w:color="A5A5A5"/>
            </w:tcBorders>
          </w:tcPr>
          <w:p>
            <w:pPr>
              <w:spacing w:after="0"/>
              <w:rPr>
                <w:sz w:val="19"/>
                <w:szCs w:val="19"/>
                <w:color w:val="auto"/>
              </w:rPr>
            </w:pPr>
          </w:p>
        </w:tc>
        <w:tc>
          <w:tcPr>
            <w:tcW w:w="2920" w:type="dxa"/>
            <w:vAlign w:val="bottom"/>
            <w:tcBorders>
              <w:bottom w:val="single" w:sz="8" w:color="A5A5A5"/>
            </w:tcBorders>
          </w:tcPr>
          <w:p>
            <w:pPr>
              <w:jc w:val="center"/>
              <w:ind w:left="1391"/>
              <w:spacing w:after="0"/>
              <w:rPr>
                <w:sz w:val="20"/>
                <w:szCs w:val="20"/>
                <w:color w:val="auto"/>
              </w:rPr>
            </w:pPr>
            <w:r>
              <w:rPr>
                <w:rFonts w:ascii="Arial" w:cs="Arial" w:eastAsia="Arial" w:hAnsi="Arial"/>
                <w:sz w:val="18"/>
                <w:szCs w:val="18"/>
                <w:color w:val="3F3F3F"/>
                <w:w w:val="99"/>
              </w:rPr>
              <w:t>5/14/2021</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8"/>
                <w:szCs w:val="18"/>
                <w:color w:val="3F3F3F"/>
                <w:w w:val="97"/>
              </w:rPr>
              <w:t>1,822</w:t>
            </w:r>
          </w:p>
        </w:tc>
        <w:tc>
          <w:tcPr>
            <w:tcW w:w="1280" w:type="dxa"/>
            <w:vAlign w:val="bottom"/>
            <w:tcBorders>
              <w:bottom w:val="single" w:sz="8" w:color="A5A5A5"/>
            </w:tcBorders>
          </w:tcPr>
          <w:p>
            <w:pPr>
              <w:jc w:val="center"/>
              <w:ind w:left="13"/>
              <w:spacing w:after="0"/>
              <w:rPr>
                <w:sz w:val="20"/>
                <w:szCs w:val="20"/>
                <w:color w:val="auto"/>
              </w:rPr>
            </w:pPr>
            <w:r>
              <w:rPr>
                <w:rFonts w:ascii="Arial" w:cs="Arial" w:eastAsia="Arial" w:hAnsi="Arial"/>
                <w:sz w:val="18"/>
                <w:szCs w:val="18"/>
                <w:color w:val="3F3F3F"/>
                <w:w w:val="99"/>
              </w:rPr>
              <w:t>—</w:t>
            </w:r>
          </w:p>
        </w:tc>
        <w:tc>
          <w:tcPr>
            <w:tcW w:w="1160" w:type="dxa"/>
            <w:vAlign w:val="bottom"/>
            <w:tcBorders>
              <w:bottom w:val="single" w:sz="8" w:color="A5A5A5"/>
            </w:tcBorders>
          </w:tcPr>
          <w:p>
            <w:pPr>
              <w:jc w:val="center"/>
              <w:ind w:left="73"/>
              <w:spacing w:after="0"/>
              <w:rPr>
                <w:sz w:val="20"/>
                <w:szCs w:val="20"/>
                <w:color w:val="auto"/>
              </w:rPr>
            </w:pPr>
            <w:r>
              <w:rPr>
                <w:rFonts w:ascii="Arial" w:cs="Arial" w:eastAsia="Arial" w:hAnsi="Arial"/>
                <w:sz w:val="18"/>
                <w:szCs w:val="18"/>
                <w:color w:val="3F3F3F"/>
                <w:w w:val="97"/>
              </w:rPr>
              <w:t>1,822</w:t>
            </w:r>
          </w:p>
        </w:tc>
      </w:tr>
      <w:tr>
        <w:trPr>
          <w:trHeight w:val="177"/>
        </w:trPr>
        <w:tc>
          <w:tcPr>
            <w:tcW w:w="3680" w:type="dxa"/>
            <w:vAlign w:val="bottom"/>
          </w:tcPr>
          <w:p>
            <w:pPr>
              <w:spacing w:after="0" w:line="177" w:lineRule="exact"/>
              <w:rPr>
                <w:sz w:val="20"/>
                <w:szCs w:val="20"/>
                <w:color w:val="auto"/>
              </w:rPr>
            </w:pPr>
            <w:r>
              <w:rPr>
                <w:rFonts w:ascii="Arial" w:cs="Arial" w:eastAsia="Arial" w:hAnsi="Arial"/>
                <w:sz w:val="18"/>
                <w:szCs w:val="18"/>
                <w:color w:val="006098"/>
              </w:rPr>
              <w:t>Cornelius P. McCarthy III</w:t>
            </w:r>
          </w:p>
        </w:tc>
        <w:tc>
          <w:tcPr>
            <w:tcW w:w="2920" w:type="dxa"/>
            <w:vAlign w:val="bottom"/>
          </w:tcPr>
          <w:p>
            <w:pPr>
              <w:jc w:val="center"/>
              <w:ind w:left="1391"/>
              <w:spacing w:after="0" w:line="177" w:lineRule="exact"/>
              <w:rPr>
                <w:sz w:val="20"/>
                <w:szCs w:val="20"/>
                <w:color w:val="auto"/>
              </w:rPr>
            </w:pPr>
            <w:r>
              <w:rPr>
                <w:rFonts w:ascii="Arial" w:cs="Arial" w:eastAsia="Arial" w:hAnsi="Arial"/>
                <w:sz w:val="18"/>
                <w:szCs w:val="18"/>
                <w:color w:val="3F3F3F"/>
                <w:w w:val="99"/>
              </w:rPr>
              <w:t>8/13/2018</w:t>
            </w:r>
          </w:p>
        </w:tc>
        <w:tc>
          <w:tcPr>
            <w:tcW w:w="1980" w:type="dxa"/>
            <w:vAlign w:val="bottom"/>
          </w:tcPr>
          <w:p>
            <w:pPr>
              <w:jc w:val="center"/>
              <w:spacing w:after="0" w:line="177" w:lineRule="exact"/>
              <w:rPr>
                <w:sz w:val="20"/>
                <w:szCs w:val="20"/>
                <w:color w:val="auto"/>
              </w:rPr>
            </w:pPr>
            <w:r>
              <w:rPr>
                <w:rFonts w:ascii="Arial" w:cs="Arial" w:eastAsia="Arial" w:hAnsi="Arial"/>
                <w:sz w:val="18"/>
                <w:szCs w:val="18"/>
                <w:color w:val="3F3F3F"/>
                <w:w w:val="97"/>
              </w:rPr>
              <w:t>4,710</w:t>
            </w:r>
          </w:p>
        </w:tc>
        <w:tc>
          <w:tcPr>
            <w:tcW w:w="1280" w:type="dxa"/>
            <w:vAlign w:val="bottom"/>
          </w:tcPr>
          <w:p>
            <w:pPr>
              <w:jc w:val="center"/>
              <w:ind w:left="13"/>
              <w:spacing w:after="0" w:line="177" w:lineRule="exact"/>
              <w:rPr>
                <w:sz w:val="20"/>
                <w:szCs w:val="20"/>
                <w:color w:val="auto"/>
              </w:rPr>
            </w:pPr>
            <w:r>
              <w:rPr>
                <w:rFonts w:ascii="Arial" w:cs="Arial" w:eastAsia="Arial" w:hAnsi="Arial"/>
                <w:sz w:val="18"/>
                <w:szCs w:val="18"/>
                <w:color w:val="3F3F3F"/>
              </w:rPr>
              <w:t>4,710</w:t>
            </w:r>
          </w:p>
        </w:tc>
        <w:tc>
          <w:tcPr>
            <w:tcW w:w="1160" w:type="dxa"/>
            <w:vAlign w:val="bottom"/>
          </w:tcPr>
          <w:p>
            <w:pPr>
              <w:jc w:val="center"/>
              <w:ind w:left="53"/>
              <w:spacing w:after="0" w:line="177" w:lineRule="exact"/>
              <w:rPr>
                <w:sz w:val="20"/>
                <w:szCs w:val="20"/>
                <w:color w:val="auto"/>
              </w:rPr>
            </w:pPr>
            <w:r>
              <w:rPr>
                <w:rFonts w:ascii="Arial" w:cs="Arial" w:eastAsia="Arial" w:hAnsi="Arial"/>
                <w:sz w:val="18"/>
                <w:szCs w:val="18"/>
                <w:color w:val="3F3F3F"/>
                <w:w w:val="99"/>
              </w:rPr>
              <w:t>—</w:t>
            </w:r>
          </w:p>
        </w:tc>
      </w:tr>
      <w:tr>
        <w:trPr>
          <w:trHeight w:val="203"/>
        </w:trPr>
        <w:tc>
          <w:tcPr>
            <w:tcW w:w="3680" w:type="dxa"/>
            <w:vAlign w:val="bottom"/>
          </w:tcPr>
          <w:p>
            <w:pPr>
              <w:spacing w:after="0"/>
              <w:rPr>
                <w:sz w:val="17"/>
                <w:szCs w:val="17"/>
                <w:color w:val="auto"/>
              </w:rPr>
            </w:pPr>
          </w:p>
        </w:tc>
        <w:tc>
          <w:tcPr>
            <w:tcW w:w="2920" w:type="dxa"/>
            <w:vAlign w:val="bottom"/>
          </w:tcPr>
          <w:p>
            <w:pPr>
              <w:jc w:val="center"/>
              <w:ind w:left="1391"/>
              <w:spacing w:after="0" w:line="202" w:lineRule="exact"/>
              <w:rPr>
                <w:sz w:val="20"/>
                <w:szCs w:val="20"/>
                <w:color w:val="auto"/>
              </w:rPr>
            </w:pPr>
            <w:r>
              <w:rPr>
                <w:rFonts w:ascii="Arial" w:cs="Arial" w:eastAsia="Arial" w:hAnsi="Arial"/>
                <w:sz w:val="18"/>
                <w:szCs w:val="18"/>
                <w:color w:val="3F3F3F"/>
                <w:w w:val="99"/>
              </w:rPr>
              <w:t>5/17/2019</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3F3F3F"/>
                <w:w w:val="97"/>
              </w:rPr>
              <w:t>6,472</w:t>
            </w:r>
          </w:p>
        </w:tc>
        <w:tc>
          <w:tcPr>
            <w:tcW w:w="1280" w:type="dxa"/>
            <w:vAlign w:val="bottom"/>
          </w:tcPr>
          <w:p>
            <w:pPr>
              <w:jc w:val="center"/>
              <w:ind w:left="13"/>
              <w:spacing w:after="0" w:line="202" w:lineRule="exact"/>
              <w:rPr>
                <w:sz w:val="20"/>
                <w:szCs w:val="20"/>
                <w:color w:val="auto"/>
              </w:rPr>
            </w:pPr>
            <w:r>
              <w:rPr>
                <w:rFonts w:ascii="Arial" w:cs="Arial" w:eastAsia="Arial" w:hAnsi="Arial"/>
                <w:sz w:val="18"/>
                <w:szCs w:val="18"/>
                <w:color w:val="3F3F3F"/>
              </w:rPr>
              <w:t>6,472</w:t>
            </w:r>
          </w:p>
        </w:tc>
        <w:tc>
          <w:tcPr>
            <w:tcW w:w="1160" w:type="dxa"/>
            <w:vAlign w:val="bottom"/>
          </w:tcPr>
          <w:p>
            <w:pPr>
              <w:jc w:val="center"/>
              <w:ind w:left="53"/>
              <w:spacing w:after="0" w:line="202" w:lineRule="exact"/>
              <w:rPr>
                <w:sz w:val="20"/>
                <w:szCs w:val="20"/>
                <w:color w:val="auto"/>
              </w:rPr>
            </w:pPr>
            <w:r>
              <w:rPr>
                <w:rFonts w:ascii="Arial" w:cs="Arial" w:eastAsia="Arial" w:hAnsi="Arial"/>
                <w:sz w:val="18"/>
                <w:szCs w:val="18"/>
                <w:color w:val="3F3F3F"/>
                <w:w w:val="99"/>
              </w:rPr>
              <w:t>—</w:t>
            </w:r>
          </w:p>
        </w:tc>
      </w:tr>
      <w:tr>
        <w:trPr>
          <w:trHeight w:val="203"/>
        </w:trPr>
        <w:tc>
          <w:tcPr>
            <w:tcW w:w="3680" w:type="dxa"/>
            <w:vAlign w:val="bottom"/>
          </w:tcPr>
          <w:p>
            <w:pPr>
              <w:spacing w:after="0"/>
              <w:rPr>
                <w:sz w:val="17"/>
                <w:szCs w:val="17"/>
                <w:color w:val="auto"/>
              </w:rPr>
            </w:pPr>
          </w:p>
        </w:tc>
        <w:tc>
          <w:tcPr>
            <w:tcW w:w="2920" w:type="dxa"/>
            <w:vAlign w:val="bottom"/>
          </w:tcPr>
          <w:p>
            <w:pPr>
              <w:jc w:val="center"/>
              <w:ind w:left="1391"/>
              <w:spacing w:after="0" w:line="202" w:lineRule="exact"/>
              <w:rPr>
                <w:sz w:val="20"/>
                <w:szCs w:val="20"/>
                <w:color w:val="auto"/>
              </w:rPr>
            </w:pPr>
            <w:r>
              <w:rPr>
                <w:rFonts w:ascii="Arial" w:cs="Arial" w:eastAsia="Arial" w:hAnsi="Arial"/>
                <w:sz w:val="18"/>
                <w:szCs w:val="18"/>
                <w:color w:val="3F3F3F"/>
                <w:w w:val="99"/>
              </w:rPr>
              <w:t>5/15/2020</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3F3F3F"/>
                <w:w w:val="97"/>
              </w:rPr>
              <w:t>3,858</w:t>
            </w:r>
          </w:p>
        </w:tc>
        <w:tc>
          <w:tcPr>
            <w:tcW w:w="1280" w:type="dxa"/>
            <w:vAlign w:val="bottom"/>
          </w:tcPr>
          <w:p>
            <w:pPr>
              <w:jc w:val="center"/>
              <w:ind w:left="13"/>
              <w:spacing w:after="0" w:line="202" w:lineRule="exact"/>
              <w:rPr>
                <w:sz w:val="20"/>
                <w:szCs w:val="20"/>
                <w:color w:val="auto"/>
              </w:rPr>
            </w:pPr>
            <w:r>
              <w:rPr>
                <w:rFonts w:ascii="Arial" w:cs="Arial" w:eastAsia="Arial" w:hAnsi="Arial"/>
                <w:sz w:val="18"/>
                <w:szCs w:val="18"/>
                <w:color w:val="3F3F3F"/>
              </w:rPr>
              <w:t>3,858</w:t>
            </w:r>
          </w:p>
        </w:tc>
        <w:tc>
          <w:tcPr>
            <w:tcW w:w="1160" w:type="dxa"/>
            <w:vAlign w:val="bottom"/>
          </w:tcPr>
          <w:p>
            <w:pPr>
              <w:jc w:val="center"/>
              <w:ind w:left="53"/>
              <w:spacing w:after="0" w:line="202" w:lineRule="exact"/>
              <w:rPr>
                <w:sz w:val="20"/>
                <w:szCs w:val="20"/>
                <w:color w:val="auto"/>
              </w:rPr>
            </w:pPr>
            <w:r>
              <w:rPr>
                <w:rFonts w:ascii="Arial" w:cs="Arial" w:eastAsia="Arial" w:hAnsi="Arial"/>
                <w:sz w:val="18"/>
                <w:szCs w:val="18"/>
                <w:color w:val="3F3F3F"/>
                <w:w w:val="99"/>
              </w:rPr>
              <w:t>—</w:t>
            </w:r>
          </w:p>
        </w:tc>
      </w:tr>
      <w:tr>
        <w:trPr>
          <w:trHeight w:val="221"/>
        </w:trPr>
        <w:tc>
          <w:tcPr>
            <w:tcW w:w="3680" w:type="dxa"/>
            <w:vAlign w:val="bottom"/>
            <w:tcBorders>
              <w:bottom w:val="single" w:sz="8" w:color="A5A5A5"/>
            </w:tcBorders>
          </w:tcPr>
          <w:p>
            <w:pPr>
              <w:spacing w:after="0"/>
              <w:rPr>
                <w:sz w:val="19"/>
                <w:szCs w:val="19"/>
                <w:color w:val="auto"/>
              </w:rPr>
            </w:pPr>
          </w:p>
        </w:tc>
        <w:tc>
          <w:tcPr>
            <w:tcW w:w="2920" w:type="dxa"/>
            <w:vAlign w:val="bottom"/>
            <w:tcBorders>
              <w:bottom w:val="single" w:sz="8" w:color="A5A5A5"/>
            </w:tcBorders>
          </w:tcPr>
          <w:p>
            <w:pPr>
              <w:jc w:val="center"/>
              <w:ind w:left="1391"/>
              <w:spacing w:after="0"/>
              <w:rPr>
                <w:sz w:val="20"/>
                <w:szCs w:val="20"/>
                <w:color w:val="auto"/>
              </w:rPr>
            </w:pPr>
            <w:r>
              <w:rPr>
                <w:rFonts w:ascii="Arial" w:cs="Arial" w:eastAsia="Arial" w:hAnsi="Arial"/>
                <w:sz w:val="18"/>
                <w:szCs w:val="18"/>
                <w:color w:val="3F3F3F"/>
                <w:w w:val="99"/>
              </w:rPr>
              <w:t>5/14/2021</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8"/>
                <w:szCs w:val="18"/>
                <w:color w:val="3F3F3F"/>
                <w:w w:val="97"/>
              </w:rPr>
              <w:t>1,822</w:t>
            </w:r>
          </w:p>
        </w:tc>
        <w:tc>
          <w:tcPr>
            <w:tcW w:w="1280" w:type="dxa"/>
            <w:vAlign w:val="bottom"/>
            <w:tcBorders>
              <w:bottom w:val="single" w:sz="8" w:color="A5A5A5"/>
            </w:tcBorders>
          </w:tcPr>
          <w:p>
            <w:pPr>
              <w:jc w:val="center"/>
              <w:ind w:left="13"/>
              <w:spacing w:after="0"/>
              <w:rPr>
                <w:sz w:val="20"/>
                <w:szCs w:val="20"/>
                <w:color w:val="auto"/>
              </w:rPr>
            </w:pPr>
            <w:r>
              <w:rPr>
                <w:rFonts w:ascii="Arial" w:cs="Arial" w:eastAsia="Arial" w:hAnsi="Arial"/>
                <w:sz w:val="18"/>
                <w:szCs w:val="18"/>
                <w:color w:val="3F3F3F"/>
                <w:w w:val="99"/>
              </w:rPr>
              <w:t>—</w:t>
            </w:r>
          </w:p>
        </w:tc>
        <w:tc>
          <w:tcPr>
            <w:tcW w:w="1160" w:type="dxa"/>
            <w:vAlign w:val="bottom"/>
            <w:tcBorders>
              <w:bottom w:val="single" w:sz="8" w:color="A5A5A5"/>
            </w:tcBorders>
          </w:tcPr>
          <w:p>
            <w:pPr>
              <w:jc w:val="center"/>
              <w:ind w:left="73"/>
              <w:spacing w:after="0"/>
              <w:rPr>
                <w:sz w:val="20"/>
                <w:szCs w:val="20"/>
                <w:color w:val="auto"/>
              </w:rPr>
            </w:pPr>
            <w:r>
              <w:rPr>
                <w:rFonts w:ascii="Arial" w:cs="Arial" w:eastAsia="Arial" w:hAnsi="Arial"/>
                <w:sz w:val="18"/>
                <w:szCs w:val="18"/>
                <w:color w:val="3F3F3F"/>
                <w:w w:val="97"/>
              </w:rPr>
              <w:t>1,822</w:t>
            </w:r>
          </w:p>
        </w:tc>
      </w:tr>
      <w:tr>
        <w:trPr>
          <w:trHeight w:val="177"/>
        </w:trPr>
        <w:tc>
          <w:tcPr>
            <w:tcW w:w="3680" w:type="dxa"/>
            <w:vAlign w:val="bottom"/>
          </w:tcPr>
          <w:p>
            <w:pPr>
              <w:spacing w:after="0" w:line="177" w:lineRule="exact"/>
              <w:rPr>
                <w:sz w:val="20"/>
                <w:szCs w:val="20"/>
                <w:color w:val="auto"/>
              </w:rPr>
            </w:pPr>
            <w:r>
              <w:rPr>
                <w:rFonts w:ascii="Arial" w:cs="Arial" w:eastAsia="Arial" w:hAnsi="Arial"/>
                <w:sz w:val="18"/>
                <w:szCs w:val="18"/>
                <w:color w:val="006098"/>
              </w:rPr>
              <w:t>August J. Troendle</w:t>
            </w:r>
          </w:p>
        </w:tc>
        <w:tc>
          <w:tcPr>
            <w:tcW w:w="2920" w:type="dxa"/>
            <w:vAlign w:val="bottom"/>
          </w:tcPr>
          <w:p>
            <w:pPr>
              <w:jc w:val="center"/>
              <w:ind w:left="1371"/>
              <w:spacing w:after="0" w:line="177" w:lineRule="exact"/>
              <w:rPr>
                <w:sz w:val="20"/>
                <w:szCs w:val="20"/>
                <w:color w:val="auto"/>
              </w:rPr>
            </w:pPr>
            <w:r>
              <w:rPr>
                <w:rFonts w:ascii="Arial" w:cs="Arial" w:eastAsia="Arial" w:hAnsi="Arial"/>
                <w:sz w:val="18"/>
                <w:szCs w:val="18"/>
                <w:color w:val="3F3F3F"/>
                <w:w w:val="99"/>
              </w:rPr>
              <w:t>3/1/2019</w:t>
            </w:r>
          </w:p>
        </w:tc>
        <w:tc>
          <w:tcPr>
            <w:tcW w:w="1980" w:type="dxa"/>
            <w:vAlign w:val="bottom"/>
          </w:tcPr>
          <w:p>
            <w:pPr>
              <w:jc w:val="center"/>
              <w:spacing w:after="0" w:line="177" w:lineRule="exact"/>
              <w:rPr>
                <w:sz w:val="20"/>
                <w:szCs w:val="20"/>
                <w:color w:val="auto"/>
              </w:rPr>
            </w:pPr>
            <w:r>
              <w:rPr>
                <w:rFonts w:ascii="Arial" w:cs="Arial" w:eastAsia="Arial" w:hAnsi="Arial"/>
                <w:sz w:val="18"/>
                <w:szCs w:val="18"/>
                <w:color w:val="3F3F3F"/>
              </w:rPr>
              <w:t>37,417</w:t>
            </w:r>
          </w:p>
        </w:tc>
        <w:tc>
          <w:tcPr>
            <w:tcW w:w="1280" w:type="dxa"/>
            <w:vAlign w:val="bottom"/>
          </w:tcPr>
          <w:p>
            <w:pPr>
              <w:jc w:val="center"/>
              <w:ind w:left="13"/>
              <w:spacing w:after="0" w:line="177" w:lineRule="exact"/>
              <w:rPr>
                <w:sz w:val="20"/>
                <w:szCs w:val="20"/>
                <w:color w:val="auto"/>
              </w:rPr>
            </w:pPr>
            <w:r>
              <w:rPr>
                <w:rFonts w:ascii="Arial" w:cs="Arial" w:eastAsia="Arial" w:hAnsi="Arial"/>
                <w:sz w:val="18"/>
                <w:szCs w:val="18"/>
                <w:color w:val="3F3F3F"/>
                <w:w w:val="98"/>
              </w:rPr>
              <w:t>37,417</w:t>
            </w:r>
          </w:p>
        </w:tc>
        <w:tc>
          <w:tcPr>
            <w:tcW w:w="1160" w:type="dxa"/>
            <w:vAlign w:val="bottom"/>
          </w:tcPr>
          <w:p>
            <w:pPr>
              <w:jc w:val="center"/>
              <w:ind w:left="53"/>
              <w:spacing w:after="0" w:line="177" w:lineRule="exact"/>
              <w:rPr>
                <w:sz w:val="20"/>
                <w:szCs w:val="20"/>
                <w:color w:val="auto"/>
              </w:rPr>
            </w:pPr>
            <w:r>
              <w:rPr>
                <w:rFonts w:ascii="Arial" w:cs="Arial" w:eastAsia="Arial" w:hAnsi="Arial"/>
                <w:sz w:val="18"/>
                <w:szCs w:val="18"/>
                <w:color w:val="3F3F3F"/>
                <w:w w:val="99"/>
              </w:rPr>
              <w:t>—</w:t>
            </w:r>
          </w:p>
        </w:tc>
      </w:tr>
      <w:tr>
        <w:trPr>
          <w:trHeight w:val="203"/>
        </w:trPr>
        <w:tc>
          <w:tcPr>
            <w:tcW w:w="3680" w:type="dxa"/>
            <w:vAlign w:val="bottom"/>
          </w:tcPr>
          <w:p>
            <w:pPr>
              <w:spacing w:after="0"/>
              <w:rPr>
                <w:sz w:val="17"/>
                <w:szCs w:val="17"/>
                <w:color w:val="auto"/>
              </w:rPr>
            </w:pPr>
          </w:p>
        </w:tc>
        <w:tc>
          <w:tcPr>
            <w:tcW w:w="2920" w:type="dxa"/>
            <w:vAlign w:val="bottom"/>
          </w:tcPr>
          <w:p>
            <w:pPr>
              <w:jc w:val="center"/>
              <w:ind w:left="1371"/>
              <w:spacing w:after="0" w:line="202" w:lineRule="exact"/>
              <w:rPr>
                <w:sz w:val="20"/>
                <w:szCs w:val="20"/>
                <w:color w:val="auto"/>
              </w:rPr>
            </w:pPr>
            <w:r>
              <w:rPr>
                <w:rFonts w:ascii="Arial" w:cs="Arial" w:eastAsia="Arial" w:hAnsi="Arial"/>
                <w:sz w:val="18"/>
                <w:szCs w:val="18"/>
                <w:color w:val="3F3F3F"/>
                <w:w w:val="99"/>
              </w:rPr>
              <w:t>5/2/2019</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3F3F3F"/>
                <w:w w:val="98"/>
              </w:rPr>
              <w:t>234,259</w:t>
            </w:r>
          </w:p>
        </w:tc>
        <w:tc>
          <w:tcPr>
            <w:tcW w:w="1280" w:type="dxa"/>
            <w:vAlign w:val="bottom"/>
          </w:tcPr>
          <w:p>
            <w:pPr>
              <w:jc w:val="center"/>
              <w:ind w:left="13"/>
              <w:spacing w:after="0" w:line="202" w:lineRule="exact"/>
              <w:rPr>
                <w:sz w:val="20"/>
                <w:szCs w:val="20"/>
                <w:color w:val="auto"/>
              </w:rPr>
            </w:pPr>
            <w:r>
              <w:rPr>
                <w:rFonts w:ascii="Arial" w:cs="Arial" w:eastAsia="Arial" w:hAnsi="Arial"/>
                <w:sz w:val="18"/>
                <w:szCs w:val="18"/>
                <w:color w:val="3F3F3F"/>
              </w:rPr>
              <w:t>234,259</w:t>
            </w:r>
          </w:p>
        </w:tc>
        <w:tc>
          <w:tcPr>
            <w:tcW w:w="1160" w:type="dxa"/>
            <w:vAlign w:val="bottom"/>
          </w:tcPr>
          <w:p>
            <w:pPr>
              <w:jc w:val="center"/>
              <w:ind w:left="53"/>
              <w:spacing w:after="0" w:line="202" w:lineRule="exact"/>
              <w:rPr>
                <w:sz w:val="20"/>
                <w:szCs w:val="20"/>
                <w:color w:val="auto"/>
              </w:rPr>
            </w:pPr>
            <w:r>
              <w:rPr>
                <w:rFonts w:ascii="Arial" w:cs="Arial" w:eastAsia="Arial" w:hAnsi="Arial"/>
                <w:sz w:val="18"/>
                <w:szCs w:val="18"/>
                <w:color w:val="3F3F3F"/>
                <w:w w:val="99"/>
              </w:rPr>
              <w:t>—</w:t>
            </w:r>
          </w:p>
        </w:tc>
      </w:tr>
      <w:tr>
        <w:trPr>
          <w:trHeight w:val="203"/>
        </w:trPr>
        <w:tc>
          <w:tcPr>
            <w:tcW w:w="3680" w:type="dxa"/>
            <w:vAlign w:val="bottom"/>
          </w:tcPr>
          <w:p>
            <w:pPr>
              <w:spacing w:after="0"/>
              <w:rPr>
                <w:sz w:val="17"/>
                <w:szCs w:val="17"/>
                <w:color w:val="auto"/>
              </w:rPr>
            </w:pPr>
          </w:p>
        </w:tc>
        <w:tc>
          <w:tcPr>
            <w:tcW w:w="2920" w:type="dxa"/>
            <w:vAlign w:val="bottom"/>
          </w:tcPr>
          <w:p>
            <w:pPr>
              <w:jc w:val="center"/>
              <w:ind w:left="1371"/>
              <w:spacing w:after="0" w:line="202" w:lineRule="exact"/>
              <w:rPr>
                <w:sz w:val="20"/>
                <w:szCs w:val="20"/>
                <w:color w:val="auto"/>
              </w:rPr>
            </w:pPr>
            <w:r>
              <w:rPr>
                <w:rFonts w:ascii="Arial" w:cs="Arial" w:eastAsia="Arial" w:hAnsi="Arial"/>
                <w:sz w:val="18"/>
                <w:szCs w:val="18"/>
                <w:color w:val="3F3F3F"/>
                <w:w w:val="99"/>
              </w:rPr>
              <w:t>8/5/2019</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3F3F3F"/>
                <w:w w:val="98"/>
              </w:rPr>
              <w:t>100,000</w:t>
            </w:r>
          </w:p>
        </w:tc>
        <w:tc>
          <w:tcPr>
            <w:tcW w:w="1280" w:type="dxa"/>
            <w:vAlign w:val="bottom"/>
          </w:tcPr>
          <w:p>
            <w:pPr>
              <w:jc w:val="center"/>
              <w:ind w:left="13"/>
              <w:spacing w:after="0" w:line="202" w:lineRule="exact"/>
              <w:rPr>
                <w:sz w:val="20"/>
                <w:szCs w:val="20"/>
                <w:color w:val="auto"/>
              </w:rPr>
            </w:pPr>
            <w:r>
              <w:rPr>
                <w:rFonts w:ascii="Arial" w:cs="Arial" w:eastAsia="Arial" w:hAnsi="Arial"/>
                <w:sz w:val="18"/>
                <w:szCs w:val="18"/>
                <w:color w:val="3F3F3F"/>
              </w:rPr>
              <w:t>100,000</w:t>
            </w:r>
          </w:p>
        </w:tc>
        <w:tc>
          <w:tcPr>
            <w:tcW w:w="1160" w:type="dxa"/>
            <w:vAlign w:val="bottom"/>
          </w:tcPr>
          <w:p>
            <w:pPr>
              <w:jc w:val="center"/>
              <w:ind w:left="53"/>
              <w:spacing w:after="0" w:line="202" w:lineRule="exact"/>
              <w:rPr>
                <w:sz w:val="20"/>
                <w:szCs w:val="20"/>
                <w:color w:val="auto"/>
              </w:rPr>
            </w:pPr>
            <w:r>
              <w:rPr>
                <w:rFonts w:ascii="Arial" w:cs="Arial" w:eastAsia="Arial" w:hAnsi="Arial"/>
                <w:sz w:val="18"/>
                <w:szCs w:val="18"/>
                <w:color w:val="3F3F3F"/>
                <w:w w:val="99"/>
              </w:rPr>
              <w:t>—</w:t>
            </w:r>
          </w:p>
        </w:tc>
      </w:tr>
      <w:tr>
        <w:trPr>
          <w:trHeight w:val="203"/>
        </w:trPr>
        <w:tc>
          <w:tcPr>
            <w:tcW w:w="3680" w:type="dxa"/>
            <w:vAlign w:val="bottom"/>
          </w:tcPr>
          <w:p>
            <w:pPr>
              <w:spacing w:after="0"/>
              <w:rPr>
                <w:sz w:val="17"/>
                <w:szCs w:val="17"/>
                <w:color w:val="auto"/>
              </w:rPr>
            </w:pPr>
          </w:p>
        </w:tc>
        <w:tc>
          <w:tcPr>
            <w:tcW w:w="2920" w:type="dxa"/>
            <w:vAlign w:val="bottom"/>
          </w:tcPr>
          <w:p>
            <w:pPr>
              <w:jc w:val="center"/>
              <w:ind w:left="1391"/>
              <w:spacing w:after="0" w:line="202" w:lineRule="exact"/>
              <w:rPr>
                <w:sz w:val="20"/>
                <w:szCs w:val="20"/>
                <w:color w:val="auto"/>
              </w:rPr>
            </w:pPr>
            <w:r>
              <w:rPr>
                <w:rFonts w:ascii="Arial" w:cs="Arial" w:eastAsia="Arial" w:hAnsi="Arial"/>
                <w:sz w:val="18"/>
                <w:szCs w:val="18"/>
                <w:color w:val="3F3F3F"/>
                <w:w w:val="99"/>
              </w:rPr>
              <w:t>2/28/2020</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3F3F3F"/>
              </w:rPr>
              <w:t>84,770</w:t>
            </w:r>
          </w:p>
        </w:tc>
        <w:tc>
          <w:tcPr>
            <w:tcW w:w="1280" w:type="dxa"/>
            <w:vAlign w:val="bottom"/>
          </w:tcPr>
          <w:p>
            <w:pPr>
              <w:jc w:val="center"/>
              <w:ind w:left="13"/>
              <w:spacing w:after="0" w:line="202" w:lineRule="exact"/>
              <w:rPr>
                <w:sz w:val="20"/>
                <w:szCs w:val="20"/>
                <w:color w:val="auto"/>
              </w:rPr>
            </w:pPr>
            <w:r>
              <w:rPr>
                <w:rFonts w:ascii="Arial" w:cs="Arial" w:eastAsia="Arial" w:hAnsi="Arial"/>
                <w:sz w:val="18"/>
                <w:szCs w:val="18"/>
                <w:color w:val="3F3F3F"/>
                <w:w w:val="98"/>
              </w:rPr>
              <w:t>84,770</w:t>
            </w:r>
          </w:p>
        </w:tc>
        <w:tc>
          <w:tcPr>
            <w:tcW w:w="1160" w:type="dxa"/>
            <w:vAlign w:val="bottom"/>
          </w:tcPr>
          <w:p>
            <w:pPr>
              <w:jc w:val="center"/>
              <w:ind w:left="53"/>
              <w:spacing w:after="0" w:line="202" w:lineRule="exact"/>
              <w:rPr>
                <w:sz w:val="20"/>
                <w:szCs w:val="20"/>
                <w:color w:val="auto"/>
              </w:rPr>
            </w:pPr>
            <w:r>
              <w:rPr>
                <w:rFonts w:ascii="Arial" w:cs="Arial" w:eastAsia="Arial" w:hAnsi="Arial"/>
                <w:sz w:val="18"/>
                <w:szCs w:val="18"/>
                <w:color w:val="3F3F3F"/>
                <w:w w:val="99"/>
              </w:rPr>
              <w:t>—</w:t>
            </w:r>
          </w:p>
        </w:tc>
      </w:tr>
      <w:tr>
        <w:trPr>
          <w:trHeight w:val="221"/>
        </w:trPr>
        <w:tc>
          <w:tcPr>
            <w:tcW w:w="3680" w:type="dxa"/>
            <w:vAlign w:val="bottom"/>
            <w:tcBorders>
              <w:bottom w:val="single" w:sz="8" w:color="A5A5A5"/>
            </w:tcBorders>
          </w:tcPr>
          <w:p>
            <w:pPr>
              <w:spacing w:after="0"/>
              <w:rPr>
                <w:sz w:val="19"/>
                <w:szCs w:val="19"/>
                <w:color w:val="auto"/>
              </w:rPr>
            </w:pPr>
          </w:p>
        </w:tc>
        <w:tc>
          <w:tcPr>
            <w:tcW w:w="2920" w:type="dxa"/>
            <w:vAlign w:val="bottom"/>
            <w:tcBorders>
              <w:bottom w:val="single" w:sz="8" w:color="A5A5A5"/>
            </w:tcBorders>
          </w:tcPr>
          <w:p>
            <w:pPr>
              <w:jc w:val="center"/>
              <w:ind w:left="1391"/>
              <w:spacing w:after="0"/>
              <w:rPr>
                <w:sz w:val="20"/>
                <w:szCs w:val="20"/>
                <w:color w:val="auto"/>
              </w:rPr>
            </w:pPr>
            <w:r>
              <w:rPr>
                <w:rFonts w:ascii="Arial" w:cs="Arial" w:eastAsia="Arial" w:hAnsi="Arial"/>
                <w:sz w:val="18"/>
                <w:szCs w:val="18"/>
                <w:color w:val="3F3F3F"/>
                <w:w w:val="99"/>
              </w:rPr>
              <w:t>4/27/2021</w:t>
            </w:r>
          </w:p>
        </w:tc>
        <w:tc>
          <w:tcPr>
            <w:tcW w:w="1980" w:type="dxa"/>
            <w:vAlign w:val="bottom"/>
            <w:tcBorders>
              <w:bottom w:val="single" w:sz="8" w:color="A5A5A5"/>
            </w:tcBorders>
          </w:tcPr>
          <w:p>
            <w:pPr>
              <w:jc w:val="center"/>
              <w:spacing w:after="0"/>
              <w:rPr>
                <w:sz w:val="20"/>
                <w:szCs w:val="20"/>
                <w:color w:val="auto"/>
              </w:rPr>
            </w:pPr>
            <w:r>
              <w:rPr>
                <w:rFonts w:ascii="Arial" w:cs="Arial" w:eastAsia="Arial" w:hAnsi="Arial"/>
                <w:sz w:val="18"/>
                <w:szCs w:val="18"/>
                <w:color w:val="3F3F3F"/>
              </w:rPr>
              <w:t>57,570</w:t>
            </w:r>
          </w:p>
        </w:tc>
        <w:tc>
          <w:tcPr>
            <w:tcW w:w="1280" w:type="dxa"/>
            <w:vAlign w:val="bottom"/>
            <w:tcBorders>
              <w:bottom w:val="single" w:sz="8" w:color="A5A5A5"/>
            </w:tcBorders>
          </w:tcPr>
          <w:p>
            <w:pPr>
              <w:jc w:val="center"/>
              <w:ind w:left="13"/>
              <w:spacing w:after="0"/>
              <w:rPr>
                <w:sz w:val="20"/>
                <w:szCs w:val="20"/>
                <w:color w:val="auto"/>
              </w:rPr>
            </w:pPr>
            <w:r>
              <w:rPr>
                <w:rFonts w:ascii="Arial" w:cs="Arial" w:eastAsia="Arial" w:hAnsi="Arial"/>
                <w:sz w:val="18"/>
                <w:szCs w:val="18"/>
                <w:color w:val="3F3F3F"/>
                <w:w w:val="99"/>
              </w:rPr>
              <w:t>—</w:t>
            </w:r>
          </w:p>
        </w:tc>
        <w:tc>
          <w:tcPr>
            <w:tcW w:w="1160" w:type="dxa"/>
            <w:vAlign w:val="bottom"/>
            <w:tcBorders>
              <w:bottom w:val="single" w:sz="8" w:color="A5A5A5"/>
            </w:tcBorders>
          </w:tcPr>
          <w:p>
            <w:pPr>
              <w:jc w:val="center"/>
              <w:ind w:left="73"/>
              <w:spacing w:after="0"/>
              <w:rPr>
                <w:sz w:val="20"/>
                <w:szCs w:val="20"/>
                <w:color w:val="auto"/>
              </w:rPr>
            </w:pPr>
            <w:r>
              <w:rPr>
                <w:rFonts w:ascii="Arial" w:cs="Arial" w:eastAsia="Arial" w:hAnsi="Arial"/>
                <w:sz w:val="18"/>
                <w:szCs w:val="18"/>
                <w:color w:val="3F3F3F"/>
              </w:rPr>
              <w:t>57,570</w:t>
            </w:r>
          </w:p>
        </w:tc>
      </w:tr>
      <w:tr>
        <w:trPr>
          <w:trHeight w:val="362"/>
        </w:trPr>
        <w:tc>
          <w:tcPr>
            <w:tcW w:w="3680" w:type="dxa"/>
            <w:vAlign w:val="bottom"/>
          </w:tcPr>
          <w:p>
            <w:pPr>
              <w:spacing w:after="0"/>
              <w:rPr>
                <w:sz w:val="24"/>
                <w:szCs w:val="24"/>
                <w:color w:val="auto"/>
              </w:rPr>
            </w:pPr>
          </w:p>
        </w:tc>
        <w:tc>
          <w:tcPr>
            <w:tcW w:w="2920" w:type="dxa"/>
            <w:vAlign w:val="bottom"/>
          </w:tcPr>
          <w:p>
            <w:pPr>
              <w:jc w:val="right"/>
              <w:ind w:right="911"/>
              <w:spacing w:after="0"/>
              <w:rPr>
                <w:sz w:val="20"/>
                <w:szCs w:val="20"/>
                <w:color w:val="auto"/>
              </w:rPr>
            </w:pPr>
            <w:r>
              <w:rPr>
                <w:rFonts w:ascii="Arial" w:cs="Arial" w:eastAsia="Arial" w:hAnsi="Arial"/>
                <w:sz w:val="18"/>
                <w:szCs w:val="18"/>
                <w:color w:val="3F3F3F"/>
              </w:rPr>
              <w:t>45</w:t>
            </w:r>
          </w:p>
        </w:tc>
        <w:tc>
          <w:tcPr>
            <w:tcW w:w="1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EQUITY COMPENSATION PLAN INFORMATION</w:t>
      </w:r>
    </w:p>
    <w:p>
      <w:pPr>
        <w:spacing w:after="0" w:line="108" w:lineRule="exact"/>
        <w:rPr>
          <w:sz w:val="20"/>
          <w:szCs w:val="20"/>
          <w:color w:val="auto"/>
        </w:rPr>
      </w:pPr>
    </w:p>
    <w:p>
      <w:pPr>
        <w:jc w:val="both"/>
        <w:ind w:left="120" w:right="420"/>
        <w:spacing w:after="0" w:line="301" w:lineRule="auto"/>
        <w:rPr>
          <w:sz w:val="20"/>
          <w:szCs w:val="20"/>
          <w:color w:val="auto"/>
        </w:rPr>
      </w:pPr>
      <w:r>
        <w:rPr>
          <w:rFonts w:ascii="Arial" w:cs="Arial" w:eastAsia="Arial" w:hAnsi="Arial"/>
          <w:sz w:val="17"/>
          <w:szCs w:val="17"/>
          <w:color w:val="3F3F3F"/>
        </w:rPr>
        <w:t>The number of shares underlying outstanding stock options, the weighted-average exercise price of such outstanding options and the number of additional shares remaining available for future issuance under our equity plans, as of December 31, 2021, are as follows: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40" w:type="dxa"/>
            <w:vAlign w:val="bottom"/>
          </w:tcPr>
          <w:p>
            <w:pPr>
              <w:jc w:val="center"/>
              <w:ind w:left="264"/>
              <w:spacing w:after="0"/>
              <w:rPr>
                <w:sz w:val="20"/>
                <w:szCs w:val="20"/>
                <w:color w:val="auto"/>
              </w:rPr>
            </w:pPr>
            <w:r>
              <w:rPr>
                <w:rFonts w:ascii="Arial" w:cs="Arial" w:eastAsia="Arial" w:hAnsi="Arial"/>
                <w:sz w:val="14"/>
                <w:szCs w:val="14"/>
                <w:b w:val="1"/>
                <w:bCs w:val="1"/>
                <w:color w:val="006098"/>
              </w:rPr>
              <w:t>NUMBER OF</w:t>
            </w:r>
          </w:p>
        </w:tc>
      </w:tr>
      <w:tr>
        <w:trPr>
          <w:trHeight w:val="162"/>
        </w:trPr>
        <w:tc>
          <w:tcPr>
            <w:tcW w:w="5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40" w:type="dxa"/>
            <w:vAlign w:val="bottom"/>
          </w:tcPr>
          <w:p>
            <w:pPr>
              <w:jc w:val="center"/>
              <w:ind w:left="284"/>
              <w:spacing w:after="0"/>
              <w:rPr>
                <w:sz w:val="20"/>
                <w:szCs w:val="20"/>
                <w:color w:val="auto"/>
              </w:rPr>
            </w:pPr>
            <w:r>
              <w:rPr>
                <w:rFonts w:ascii="Arial" w:cs="Arial" w:eastAsia="Arial" w:hAnsi="Arial"/>
                <w:sz w:val="14"/>
                <w:szCs w:val="14"/>
                <w:b w:val="1"/>
                <w:bCs w:val="1"/>
                <w:color w:val="006098"/>
              </w:rPr>
              <w:t>SECURITIES</w:t>
            </w:r>
          </w:p>
        </w:tc>
      </w:tr>
      <w:tr>
        <w:trPr>
          <w:trHeight w:val="162"/>
        </w:trPr>
        <w:tc>
          <w:tcPr>
            <w:tcW w:w="5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40" w:type="dxa"/>
            <w:vAlign w:val="bottom"/>
          </w:tcPr>
          <w:p>
            <w:pPr>
              <w:jc w:val="center"/>
              <w:ind w:left="284"/>
              <w:spacing w:after="0"/>
              <w:rPr>
                <w:sz w:val="20"/>
                <w:szCs w:val="20"/>
                <w:color w:val="auto"/>
              </w:rPr>
            </w:pPr>
            <w:r>
              <w:rPr>
                <w:rFonts w:ascii="Arial" w:cs="Arial" w:eastAsia="Arial" w:hAnsi="Arial"/>
                <w:sz w:val="14"/>
                <w:szCs w:val="14"/>
                <w:b w:val="1"/>
                <w:bCs w:val="1"/>
                <w:color w:val="006098"/>
              </w:rPr>
              <w:t>REMAINING</w:t>
            </w:r>
          </w:p>
        </w:tc>
      </w:tr>
      <w:tr>
        <w:trPr>
          <w:trHeight w:val="162"/>
        </w:trPr>
        <w:tc>
          <w:tcPr>
            <w:tcW w:w="5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40" w:type="dxa"/>
            <w:vAlign w:val="bottom"/>
          </w:tcPr>
          <w:p>
            <w:pPr>
              <w:jc w:val="center"/>
              <w:ind w:left="284"/>
              <w:spacing w:after="0"/>
              <w:rPr>
                <w:sz w:val="20"/>
                <w:szCs w:val="20"/>
                <w:color w:val="auto"/>
              </w:rPr>
            </w:pPr>
            <w:r>
              <w:rPr>
                <w:rFonts w:ascii="Arial" w:cs="Arial" w:eastAsia="Arial" w:hAnsi="Arial"/>
                <w:sz w:val="14"/>
                <w:szCs w:val="14"/>
                <w:b w:val="1"/>
                <w:bCs w:val="1"/>
                <w:color w:val="006098"/>
              </w:rPr>
              <w:t>AVAILABLE FOR</w:t>
            </w:r>
          </w:p>
        </w:tc>
      </w:tr>
      <w:tr>
        <w:trPr>
          <w:trHeight w:val="162"/>
        </w:trPr>
        <w:tc>
          <w:tcPr>
            <w:tcW w:w="5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40" w:type="dxa"/>
            <w:vAlign w:val="bottom"/>
          </w:tcPr>
          <w:p>
            <w:pPr>
              <w:jc w:val="center"/>
              <w:ind w:left="284"/>
              <w:spacing w:after="0"/>
              <w:rPr>
                <w:sz w:val="20"/>
                <w:szCs w:val="20"/>
                <w:color w:val="auto"/>
              </w:rPr>
            </w:pPr>
            <w:r>
              <w:rPr>
                <w:rFonts w:ascii="Arial" w:cs="Arial" w:eastAsia="Arial" w:hAnsi="Arial"/>
                <w:sz w:val="14"/>
                <w:szCs w:val="14"/>
                <w:b w:val="1"/>
                <w:bCs w:val="1"/>
                <w:color w:val="006098"/>
              </w:rPr>
              <w:t>FUTURE</w:t>
            </w:r>
          </w:p>
        </w:tc>
      </w:tr>
      <w:tr>
        <w:trPr>
          <w:trHeight w:val="162"/>
        </w:trPr>
        <w:tc>
          <w:tcPr>
            <w:tcW w:w="5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006098"/>
              </w:rPr>
              <w:t>WEIGHTED-</w:t>
            </w:r>
          </w:p>
        </w:tc>
        <w:tc>
          <w:tcPr>
            <w:tcW w:w="1540" w:type="dxa"/>
            <w:vAlign w:val="bottom"/>
          </w:tcPr>
          <w:p>
            <w:pPr>
              <w:jc w:val="center"/>
              <w:ind w:left="284"/>
              <w:spacing w:after="0"/>
              <w:rPr>
                <w:sz w:val="20"/>
                <w:szCs w:val="20"/>
                <w:color w:val="auto"/>
              </w:rPr>
            </w:pPr>
            <w:r>
              <w:rPr>
                <w:rFonts w:ascii="Arial" w:cs="Arial" w:eastAsia="Arial" w:hAnsi="Arial"/>
                <w:sz w:val="14"/>
                <w:szCs w:val="14"/>
                <w:b w:val="1"/>
                <w:bCs w:val="1"/>
                <w:color w:val="006098"/>
              </w:rPr>
              <w:t>ISSUANCE</w:t>
            </w:r>
          </w:p>
        </w:tc>
      </w:tr>
      <w:tr>
        <w:trPr>
          <w:trHeight w:val="162"/>
        </w:trPr>
        <w:tc>
          <w:tcPr>
            <w:tcW w:w="5440" w:type="dxa"/>
            <w:vAlign w:val="bottom"/>
          </w:tcPr>
          <w:p>
            <w:pPr>
              <w:spacing w:after="0"/>
              <w:rPr>
                <w:sz w:val="14"/>
                <w:szCs w:val="14"/>
                <w:color w:val="auto"/>
              </w:rPr>
            </w:pPr>
          </w:p>
        </w:tc>
        <w:tc>
          <w:tcPr>
            <w:tcW w:w="2300" w:type="dxa"/>
            <w:vAlign w:val="bottom"/>
          </w:tcPr>
          <w:p>
            <w:pPr>
              <w:jc w:val="center"/>
              <w:ind w:left="202"/>
              <w:spacing w:after="0"/>
              <w:rPr>
                <w:sz w:val="20"/>
                <w:szCs w:val="20"/>
                <w:color w:val="auto"/>
              </w:rPr>
            </w:pPr>
            <w:r>
              <w:rPr>
                <w:rFonts w:ascii="Arial" w:cs="Arial" w:eastAsia="Arial" w:hAnsi="Arial"/>
                <w:sz w:val="14"/>
                <w:szCs w:val="14"/>
                <w:b w:val="1"/>
                <w:bCs w:val="1"/>
                <w:color w:val="006098"/>
              </w:rPr>
              <w:t>NUMBER OF</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006098"/>
              </w:rPr>
              <w:t>AVERAGE</w:t>
            </w:r>
          </w:p>
        </w:tc>
        <w:tc>
          <w:tcPr>
            <w:tcW w:w="1540" w:type="dxa"/>
            <w:vAlign w:val="bottom"/>
          </w:tcPr>
          <w:p>
            <w:pPr>
              <w:jc w:val="center"/>
              <w:ind w:left="264"/>
              <w:spacing w:after="0"/>
              <w:rPr>
                <w:sz w:val="20"/>
                <w:szCs w:val="20"/>
                <w:color w:val="auto"/>
              </w:rPr>
            </w:pPr>
            <w:r>
              <w:rPr>
                <w:rFonts w:ascii="Arial" w:cs="Arial" w:eastAsia="Arial" w:hAnsi="Arial"/>
                <w:sz w:val="14"/>
                <w:szCs w:val="14"/>
                <w:b w:val="1"/>
                <w:bCs w:val="1"/>
                <w:color w:val="006098"/>
              </w:rPr>
              <w:t>UNDER EQUITY</w:t>
            </w:r>
          </w:p>
        </w:tc>
      </w:tr>
      <w:tr>
        <w:trPr>
          <w:trHeight w:val="162"/>
        </w:trPr>
        <w:tc>
          <w:tcPr>
            <w:tcW w:w="5440" w:type="dxa"/>
            <w:vAlign w:val="bottom"/>
          </w:tcPr>
          <w:p>
            <w:pPr>
              <w:spacing w:after="0"/>
              <w:rPr>
                <w:sz w:val="14"/>
                <w:szCs w:val="14"/>
                <w:color w:val="auto"/>
              </w:rPr>
            </w:pPr>
          </w:p>
        </w:tc>
        <w:tc>
          <w:tcPr>
            <w:tcW w:w="2300" w:type="dxa"/>
            <w:vAlign w:val="bottom"/>
          </w:tcPr>
          <w:p>
            <w:pPr>
              <w:jc w:val="center"/>
              <w:ind w:left="202"/>
              <w:spacing w:after="0"/>
              <w:rPr>
                <w:sz w:val="20"/>
                <w:szCs w:val="20"/>
                <w:color w:val="auto"/>
              </w:rPr>
            </w:pPr>
            <w:r>
              <w:rPr>
                <w:rFonts w:ascii="Arial" w:cs="Arial" w:eastAsia="Arial" w:hAnsi="Arial"/>
                <w:sz w:val="14"/>
                <w:szCs w:val="14"/>
                <w:b w:val="1"/>
                <w:bCs w:val="1"/>
                <w:color w:val="006098"/>
              </w:rPr>
              <w:t>SECURITIES TO</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006098"/>
              </w:rPr>
              <w:t>EXERCISE</w:t>
            </w:r>
          </w:p>
        </w:tc>
        <w:tc>
          <w:tcPr>
            <w:tcW w:w="1540" w:type="dxa"/>
            <w:vAlign w:val="bottom"/>
          </w:tcPr>
          <w:p>
            <w:pPr>
              <w:jc w:val="center"/>
              <w:ind w:left="264"/>
              <w:spacing w:after="0"/>
              <w:rPr>
                <w:sz w:val="20"/>
                <w:szCs w:val="20"/>
                <w:color w:val="auto"/>
              </w:rPr>
            </w:pPr>
            <w:r>
              <w:rPr>
                <w:rFonts w:ascii="Arial" w:cs="Arial" w:eastAsia="Arial" w:hAnsi="Arial"/>
                <w:sz w:val="14"/>
                <w:szCs w:val="14"/>
                <w:b w:val="1"/>
                <w:bCs w:val="1"/>
                <w:color w:val="006098"/>
              </w:rPr>
              <w:t>COMPENSATION</w:t>
            </w:r>
          </w:p>
        </w:tc>
      </w:tr>
      <w:tr>
        <w:trPr>
          <w:trHeight w:val="162"/>
        </w:trPr>
        <w:tc>
          <w:tcPr>
            <w:tcW w:w="5440" w:type="dxa"/>
            <w:vAlign w:val="bottom"/>
          </w:tcPr>
          <w:p>
            <w:pPr>
              <w:spacing w:after="0"/>
              <w:rPr>
                <w:sz w:val="14"/>
                <w:szCs w:val="14"/>
                <w:color w:val="auto"/>
              </w:rPr>
            </w:pPr>
          </w:p>
        </w:tc>
        <w:tc>
          <w:tcPr>
            <w:tcW w:w="2300" w:type="dxa"/>
            <w:vAlign w:val="bottom"/>
          </w:tcPr>
          <w:p>
            <w:pPr>
              <w:jc w:val="center"/>
              <w:ind w:left="202"/>
              <w:spacing w:after="0"/>
              <w:rPr>
                <w:sz w:val="20"/>
                <w:szCs w:val="20"/>
                <w:color w:val="auto"/>
              </w:rPr>
            </w:pPr>
            <w:r>
              <w:rPr>
                <w:rFonts w:ascii="Arial" w:cs="Arial" w:eastAsia="Arial" w:hAnsi="Arial"/>
                <w:sz w:val="14"/>
                <w:szCs w:val="14"/>
                <w:b w:val="1"/>
                <w:bCs w:val="1"/>
                <w:color w:val="006098"/>
              </w:rPr>
              <w:t>BE ISSUED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006098"/>
              </w:rPr>
              <w:t>PRICE OF</w:t>
            </w:r>
          </w:p>
        </w:tc>
        <w:tc>
          <w:tcPr>
            <w:tcW w:w="1540" w:type="dxa"/>
            <w:vAlign w:val="bottom"/>
          </w:tcPr>
          <w:p>
            <w:pPr>
              <w:jc w:val="center"/>
              <w:ind w:left="264"/>
              <w:spacing w:after="0"/>
              <w:rPr>
                <w:sz w:val="20"/>
                <w:szCs w:val="20"/>
                <w:color w:val="auto"/>
              </w:rPr>
            </w:pPr>
            <w:r>
              <w:rPr>
                <w:rFonts w:ascii="Arial" w:cs="Arial" w:eastAsia="Arial" w:hAnsi="Arial"/>
                <w:sz w:val="14"/>
                <w:szCs w:val="14"/>
                <w:b w:val="1"/>
                <w:bCs w:val="1"/>
                <w:color w:val="006098"/>
              </w:rPr>
              <w:t>PLANS</w:t>
            </w:r>
          </w:p>
        </w:tc>
      </w:tr>
      <w:tr>
        <w:trPr>
          <w:trHeight w:val="162"/>
        </w:trPr>
        <w:tc>
          <w:tcPr>
            <w:tcW w:w="5440" w:type="dxa"/>
            <w:vAlign w:val="bottom"/>
          </w:tcPr>
          <w:p>
            <w:pPr>
              <w:spacing w:after="0"/>
              <w:rPr>
                <w:sz w:val="14"/>
                <w:szCs w:val="14"/>
                <w:color w:val="auto"/>
              </w:rPr>
            </w:pPr>
          </w:p>
        </w:tc>
        <w:tc>
          <w:tcPr>
            <w:tcW w:w="2300" w:type="dxa"/>
            <w:vAlign w:val="bottom"/>
          </w:tcPr>
          <w:p>
            <w:pPr>
              <w:jc w:val="center"/>
              <w:ind w:left="202"/>
              <w:spacing w:after="0"/>
              <w:rPr>
                <w:sz w:val="20"/>
                <w:szCs w:val="20"/>
                <w:color w:val="auto"/>
              </w:rPr>
            </w:pPr>
            <w:r>
              <w:rPr>
                <w:rFonts w:ascii="Arial" w:cs="Arial" w:eastAsia="Arial" w:hAnsi="Arial"/>
                <w:sz w:val="14"/>
                <w:szCs w:val="14"/>
                <w:b w:val="1"/>
                <w:bCs w:val="1"/>
                <w:color w:val="006098"/>
              </w:rPr>
              <w:t>UPON EXERCISE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006098"/>
              </w:rPr>
              <w:t>OUTSTANDING</w:t>
            </w:r>
          </w:p>
        </w:tc>
        <w:tc>
          <w:tcPr>
            <w:tcW w:w="1540" w:type="dxa"/>
            <w:vAlign w:val="bottom"/>
          </w:tcPr>
          <w:p>
            <w:pPr>
              <w:jc w:val="center"/>
              <w:ind w:left="284"/>
              <w:spacing w:after="0"/>
              <w:rPr>
                <w:sz w:val="20"/>
                <w:szCs w:val="20"/>
                <w:color w:val="auto"/>
              </w:rPr>
            </w:pPr>
            <w:r>
              <w:rPr>
                <w:rFonts w:ascii="Arial" w:cs="Arial" w:eastAsia="Arial" w:hAnsi="Arial"/>
                <w:sz w:val="14"/>
                <w:szCs w:val="14"/>
                <w:b w:val="1"/>
                <w:bCs w:val="1"/>
                <w:color w:val="006098"/>
              </w:rPr>
              <w:t>(EXCLUDING</w:t>
            </w:r>
          </w:p>
        </w:tc>
      </w:tr>
      <w:tr>
        <w:trPr>
          <w:trHeight w:val="162"/>
        </w:trPr>
        <w:tc>
          <w:tcPr>
            <w:tcW w:w="5440" w:type="dxa"/>
            <w:vAlign w:val="bottom"/>
          </w:tcPr>
          <w:p>
            <w:pPr>
              <w:spacing w:after="0"/>
              <w:rPr>
                <w:sz w:val="14"/>
                <w:szCs w:val="14"/>
                <w:color w:val="auto"/>
              </w:rPr>
            </w:pPr>
          </w:p>
        </w:tc>
        <w:tc>
          <w:tcPr>
            <w:tcW w:w="2300" w:type="dxa"/>
            <w:vAlign w:val="bottom"/>
          </w:tcPr>
          <w:p>
            <w:pPr>
              <w:jc w:val="center"/>
              <w:ind w:left="222"/>
              <w:spacing w:after="0"/>
              <w:rPr>
                <w:sz w:val="20"/>
                <w:szCs w:val="20"/>
                <w:color w:val="auto"/>
              </w:rPr>
            </w:pPr>
            <w:r>
              <w:rPr>
                <w:rFonts w:ascii="Arial" w:cs="Arial" w:eastAsia="Arial" w:hAnsi="Arial"/>
                <w:sz w:val="14"/>
                <w:szCs w:val="14"/>
                <w:b w:val="1"/>
                <w:bCs w:val="1"/>
                <w:color w:val="006098"/>
              </w:rPr>
              <w:t>OF OUTSTANDING</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006098"/>
              </w:rPr>
              <w:t>OPTIONS,</w:t>
            </w:r>
          </w:p>
        </w:tc>
        <w:tc>
          <w:tcPr>
            <w:tcW w:w="1540" w:type="dxa"/>
            <w:vAlign w:val="bottom"/>
          </w:tcPr>
          <w:p>
            <w:pPr>
              <w:jc w:val="center"/>
              <w:ind w:left="284"/>
              <w:spacing w:after="0"/>
              <w:rPr>
                <w:sz w:val="20"/>
                <w:szCs w:val="20"/>
                <w:color w:val="auto"/>
              </w:rPr>
            </w:pPr>
            <w:r>
              <w:rPr>
                <w:rFonts w:ascii="Arial" w:cs="Arial" w:eastAsia="Arial" w:hAnsi="Arial"/>
                <w:sz w:val="14"/>
                <w:szCs w:val="14"/>
                <w:b w:val="1"/>
                <w:bCs w:val="1"/>
                <w:color w:val="006098"/>
              </w:rPr>
              <w:t>SECURITIES</w:t>
            </w:r>
          </w:p>
        </w:tc>
      </w:tr>
      <w:tr>
        <w:trPr>
          <w:trHeight w:val="162"/>
        </w:trPr>
        <w:tc>
          <w:tcPr>
            <w:tcW w:w="5440" w:type="dxa"/>
            <w:vAlign w:val="bottom"/>
          </w:tcPr>
          <w:p>
            <w:pPr>
              <w:spacing w:after="0"/>
              <w:rPr>
                <w:sz w:val="14"/>
                <w:szCs w:val="14"/>
                <w:color w:val="auto"/>
              </w:rPr>
            </w:pPr>
          </w:p>
        </w:tc>
        <w:tc>
          <w:tcPr>
            <w:tcW w:w="2300" w:type="dxa"/>
            <w:vAlign w:val="bottom"/>
          </w:tcPr>
          <w:p>
            <w:pPr>
              <w:jc w:val="center"/>
              <w:ind w:left="202"/>
              <w:spacing w:after="0"/>
              <w:rPr>
                <w:sz w:val="20"/>
                <w:szCs w:val="20"/>
                <w:color w:val="auto"/>
              </w:rPr>
            </w:pPr>
            <w:r>
              <w:rPr>
                <w:rFonts w:ascii="Arial" w:cs="Arial" w:eastAsia="Arial" w:hAnsi="Arial"/>
                <w:sz w:val="14"/>
                <w:szCs w:val="14"/>
                <w:b w:val="1"/>
                <w:bCs w:val="1"/>
                <w:color w:val="006098"/>
              </w:rPr>
              <w:t>OPTIONS,</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006098"/>
              </w:rPr>
              <w:t>WARRANTS</w:t>
            </w:r>
          </w:p>
        </w:tc>
        <w:tc>
          <w:tcPr>
            <w:tcW w:w="1540" w:type="dxa"/>
            <w:vAlign w:val="bottom"/>
          </w:tcPr>
          <w:p>
            <w:pPr>
              <w:jc w:val="center"/>
              <w:ind w:left="264"/>
              <w:spacing w:after="0"/>
              <w:rPr>
                <w:sz w:val="20"/>
                <w:szCs w:val="20"/>
                <w:color w:val="auto"/>
              </w:rPr>
            </w:pPr>
            <w:r>
              <w:rPr>
                <w:rFonts w:ascii="Arial" w:cs="Arial" w:eastAsia="Arial" w:hAnsi="Arial"/>
                <w:sz w:val="14"/>
                <w:szCs w:val="14"/>
                <w:b w:val="1"/>
                <w:bCs w:val="1"/>
                <w:color w:val="006098"/>
              </w:rPr>
              <w:t>REFLECTED IN</w:t>
            </w:r>
          </w:p>
        </w:tc>
      </w:tr>
      <w:tr>
        <w:trPr>
          <w:trHeight w:val="162"/>
        </w:trPr>
        <w:tc>
          <w:tcPr>
            <w:tcW w:w="5440" w:type="dxa"/>
            <w:vAlign w:val="bottom"/>
          </w:tcPr>
          <w:p>
            <w:pPr>
              <w:spacing w:after="0"/>
              <w:rPr>
                <w:sz w:val="14"/>
                <w:szCs w:val="14"/>
                <w:color w:val="auto"/>
              </w:rPr>
            </w:pPr>
          </w:p>
        </w:tc>
        <w:tc>
          <w:tcPr>
            <w:tcW w:w="2300" w:type="dxa"/>
            <w:vAlign w:val="bottom"/>
          </w:tcPr>
          <w:p>
            <w:pPr>
              <w:jc w:val="center"/>
              <w:ind w:left="202"/>
              <w:spacing w:after="0"/>
              <w:rPr>
                <w:sz w:val="20"/>
                <w:szCs w:val="20"/>
                <w:color w:val="auto"/>
              </w:rPr>
            </w:pPr>
            <w:r>
              <w:rPr>
                <w:rFonts w:ascii="Arial" w:cs="Arial" w:eastAsia="Arial" w:hAnsi="Arial"/>
                <w:sz w:val="14"/>
                <w:szCs w:val="14"/>
                <w:b w:val="1"/>
                <w:bCs w:val="1"/>
                <w:color w:val="006098"/>
              </w:rPr>
              <w:t>WARRANTS AND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006098"/>
                <w:w w:val="98"/>
              </w:rPr>
              <w:t>AND</w:t>
            </w:r>
          </w:p>
        </w:tc>
        <w:tc>
          <w:tcPr>
            <w:tcW w:w="1540" w:type="dxa"/>
            <w:vAlign w:val="bottom"/>
          </w:tcPr>
          <w:p>
            <w:pPr>
              <w:jc w:val="center"/>
              <w:ind w:left="264"/>
              <w:spacing w:after="0"/>
              <w:rPr>
                <w:sz w:val="20"/>
                <w:szCs w:val="20"/>
                <w:color w:val="auto"/>
              </w:rPr>
            </w:pPr>
            <w:r>
              <w:rPr>
                <w:rFonts w:ascii="Arial" w:cs="Arial" w:eastAsia="Arial" w:hAnsi="Arial"/>
                <w:sz w:val="14"/>
                <w:szCs w:val="14"/>
                <w:b w:val="1"/>
                <w:bCs w:val="1"/>
                <w:color w:val="006098"/>
              </w:rPr>
              <w:t>COLUMN(A))</w:t>
            </w:r>
          </w:p>
        </w:tc>
      </w:tr>
      <w:tr>
        <w:trPr>
          <w:trHeight w:val="185"/>
        </w:trPr>
        <w:tc>
          <w:tcPr>
            <w:tcW w:w="5440" w:type="dxa"/>
            <w:vAlign w:val="bottom"/>
            <w:tcBorders>
              <w:bottom w:val="single" w:sz="8" w:color="83BA90"/>
            </w:tcBorders>
          </w:tcPr>
          <w:p>
            <w:pPr>
              <w:spacing w:after="0"/>
              <w:rPr>
                <w:sz w:val="20"/>
                <w:szCs w:val="20"/>
                <w:color w:val="auto"/>
              </w:rPr>
            </w:pPr>
            <w:r>
              <w:rPr>
                <w:rFonts w:ascii="Arial" w:cs="Arial" w:eastAsia="Arial" w:hAnsi="Arial"/>
                <w:sz w:val="14"/>
                <w:szCs w:val="14"/>
                <w:b w:val="1"/>
                <w:bCs w:val="1"/>
                <w:color w:val="006098"/>
              </w:rPr>
              <w:t>PLAN</w:t>
            </w:r>
          </w:p>
        </w:tc>
        <w:tc>
          <w:tcPr>
            <w:tcW w:w="2300" w:type="dxa"/>
            <w:vAlign w:val="bottom"/>
            <w:tcBorders>
              <w:bottom w:val="single" w:sz="8" w:color="83BA90"/>
            </w:tcBorders>
          </w:tcPr>
          <w:p>
            <w:pPr>
              <w:jc w:val="center"/>
              <w:ind w:left="202"/>
              <w:spacing w:after="0"/>
              <w:rPr>
                <w:sz w:val="20"/>
                <w:szCs w:val="20"/>
                <w:color w:val="auto"/>
              </w:rPr>
            </w:pPr>
            <w:r>
              <w:rPr>
                <w:rFonts w:ascii="Arial" w:cs="Arial" w:eastAsia="Arial" w:hAnsi="Arial"/>
                <w:sz w:val="14"/>
                <w:szCs w:val="14"/>
                <w:b w:val="1"/>
                <w:bCs w:val="1"/>
                <w:color w:val="006098"/>
              </w:rPr>
              <w:t>RIGHTS(A)</w:t>
            </w:r>
          </w:p>
        </w:tc>
        <w:tc>
          <w:tcPr>
            <w:tcW w:w="1740" w:type="dxa"/>
            <w:vAlign w:val="bottom"/>
            <w:tcBorders>
              <w:bottom w:val="single" w:sz="8" w:color="83BA90"/>
            </w:tcBorders>
          </w:tcPr>
          <w:p>
            <w:pPr>
              <w:jc w:val="center"/>
              <w:spacing w:after="0"/>
              <w:rPr>
                <w:sz w:val="20"/>
                <w:szCs w:val="20"/>
                <w:color w:val="auto"/>
              </w:rPr>
            </w:pPr>
            <w:r>
              <w:rPr>
                <w:rFonts w:ascii="Arial" w:cs="Arial" w:eastAsia="Arial" w:hAnsi="Arial"/>
                <w:sz w:val="14"/>
                <w:szCs w:val="14"/>
                <w:b w:val="1"/>
                <w:bCs w:val="1"/>
                <w:color w:val="006098"/>
              </w:rPr>
              <w:t>RIGHTS(B) (1)</w:t>
            </w:r>
          </w:p>
        </w:tc>
        <w:tc>
          <w:tcPr>
            <w:tcW w:w="1540" w:type="dxa"/>
            <w:vAlign w:val="bottom"/>
            <w:tcBorders>
              <w:bottom w:val="single" w:sz="8" w:color="83BA90"/>
            </w:tcBorders>
          </w:tcPr>
          <w:p>
            <w:pPr>
              <w:jc w:val="center"/>
              <w:ind w:left="284"/>
              <w:spacing w:after="0"/>
              <w:rPr>
                <w:sz w:val="20"/>
                <w:szCs w:val="20"/>
                <w:color w:val="auto"/>
              </w:rPr>
            </w:pPr>
            <w:r>
              <w:rPr>
                <w:rFonts w:ascii="Arial" w:cs="Arial" w:eastAsia="Arial" w:hAnsi="Arial"/>
                <w:sz w:val="14"/>
                <w:szCs w:val="14"/>
                <w:b w:val="1"/>
                <w:bCs w:val="1"/>
                <w:color w:val="006098"/>
              </w:rPr>
              <w:t>(C) (2)</w:t>
            </w:r>
          </w:p>
        </w:tc>
      </w:tr>
      <w:tr>
        <w:trPr>
          <w:trHeight w:val="177"/>
        </w:trPr>
        <w:tc>
          <w:tcPr>
            <w:tcW w:w="5440" w:type="dxa"/>
            <w:vAlign w:val="bottom"/>
          </w:tcPr>
          <w:p>
            <w:pPr>
              <w:spacing w:after="0" w:line="177" w:lineRule="exact"/>
              <w:rPr>
                <w:sz w:val="20"/>
                <w:szCs w:val="20"/>
                <w:color w:val="auto"/>
              </w:rPr>
            </w:pPr>
            <w:r>
              <w:rPr>
                <w:rFonts w:ascii="Arial" w:cs="Arial" w:eastAsia="Arial" w:hAnsi="Arial"/>
                <w:sz w:val="18"/>
                <w:szCs w:val="18"/>
                <w:color w:val="3F3F3F"/>
              </w:rPr>
              <w:t>Equity compensation plans approved by security holders</w:t>
            </w:r>
          </w:p>
        </w:tc>
        <w:tc>
          <w:tcPr>
            <w:tcW w:w="2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3F3F3F"/>
              </w:rPr>
              <w:t>2014 Equity Incentive Plan (3)</w:t>
            </w:r>
          </w:p>
        </w:tc>
        <w:tc>
          <w:tcPr>
            <w:tcW w:w="2300" w:type="dxa"/>
            <w:vAlign w:val="bottom"/>
          </w:tcPr>
          <w:p>
            <w:pPr>
              <w:jc w:val="center"/>
              <w:ind w:left="202"/>
              <w:spacing w:after="0" w:line="202" w:lineRule="exact"/>
              <w:rPr>
                <w:sz w:val="20"/>
                <w:szCs w:val="20"/>
                <w:color w:val="auto"/>
              </w:rPr>
            </w:pPr>
            <w:r>
              <w:rPr>
                <w:rFonts w:ascii="Arial" w:cs="Arial" w:eastAsia="Arial" w:hAnsi="Arial"/>
                <w:sz w:val="18"/>
                <w:szCs w:val="18"/>
                <w:color w:val="3F3F3F"/>
              </w:rPr>
              <w:t>165,269</w:t>
            </w:r>
          </w:p>
        </w:tc>
        <w:tc>
          <w:tcPr>
            <w:tcW w:w="1740" w:type="dxa"/>
            <w:vAlign w:val="bottom"/>
          </w:tcPr>
          <w:p>
            <w:pPr>
              <w:jc w:val="center"/>
              <w:spacing w:after="0" w:line="202" w:lineRule="exact"/>
              <w:rPr>
                <w:sz w:val="20"/>
                <w:szCs w:val="20"/>
                <w:color w:val="auto"/>
              </w:rPr>
            </w:pPr>
            <w:r>
              <w:rPr>
                <w:rFonts w:ascii="Arial" w:cs="Arial" w:eastAsia="Arial" w:hAnsi="Arial"/>
                <w:sz w:val="18"/>
                <w:szCs w:val="18"/>
                <w:color w:val="3F3F3F"/>
                <w:w w:val="98"/>
              </w:rPr>
              <w:t>$17.21</w:t>
            </w:r>
          </w:p>
        </w:tc>
        <w:tc>
          <w:tcPr>
            <w:tcW w:w="1540" w:type="dxa"/>
            <w:vAlign w:val="bottom"/>
          </w:tcPr>
          <w:p>
            <w:pPr>
              <w:jc w:val="center"/>
              <w:ind w:left="284"/>
              <w:spacing w:after="0" w:line="202" w:lineRule="exact"/>
              <w:rPr>
                <w:sz w:val="20"/>
                <w:szCs w:val="20"/>
                <w:color w:val="auto"/>
              </w:rPr>
            </w:pPr>
            <w:r>
              <w:rPr>
                <w:rFonts w:ascii="Arial" w:cs="Arial" w:eastAsia="Arial" w:hAnsi="Arial"/>
                <w:sz w:val="18"/>
                <w:szCs w:val="18"/>
                <w:color w:val="3F3F3F"/>
                <w:w w:val="99"/>
              </w:rPr>
              <w:t>—</w:t>
            </w:r>
          </w:p>
        </w:tc>
      </w:tr>
      <w:tr>
        <w:trPr>
          <w:trHeight w:val="221"/>
        </w:trPr>
        <w:tc>
          <w:tcPr>
            <w:tcW w:w="5440" w:type="dxa"/>
            <w:vAlign w:val="bottom"/>
            <w:tcBorders>
              <w:bottom w:val="single" w:sz="8" w:color="A5A5A5"/>
            </w:tcBorders>
          </w:tcPr>
          <w:p>
            <w:pPr>
              <w:ind w:left="180"/>
              <w:spacing w:after="0"/>
              <w:rPr>
                <w:sz w:val="20"/>
                <w:szCs w:val="20"/>
                <w:color w:val="auto"/>
              </w:rPr>
            </w:pPr>
            <w:r>
              <w:rPr>
                <w:rFonts w:ascii="Arial" w:cs="Arial" w:eastAsia="Arial" w:hAnsi="Arial"/>
                <w:sz w:val="18"/>
                <w:szCs w:val="18"/>
                <w:color w:val="3F3F3F"/>
              </w:rPr>
              <w:t>2016 Incentive Award Plan</w:t>
            </w:r>
          </w:p>
        </w:tc>
        <w:tc>
          <w:tcPr>
            <w:tcW w:w="2300" w:type="dxa"/>
            <w:vAlign w:val="bottom"/>
            <w:tcBorders>
              <w:bottom w:val="single" w:sz="8" w:color="A5A5A5"/>
            </w:tcBorders>
          </w:tcPr>
          <w:p>
            <w:pPr>
              <w:jc w:val="center"/>
              <w:ind w:left="222"/>
              <w:spacing w:after="0"/>
              <w:rPr>
                <w:sz w:val="20"/>
                <w:szCs w:val="20"/>
                <w:color w:val="auto"/>
              </w:rPr>
            </w:pPr>
            <w:r>
              <w:rPr>
                <w:rFonts w:ascii="Arial" w:cs="Arial" w:eastAsia="Arial" w:hAnsi="Arial"/>
                <w:sz w:val="18"/>
                <w:szCs w:val="18"/>
                <w:color w:val="3F3F3F"/>
                <w:w w:val="99"/>
              </w:rPr>
              <w:t>1,827,646</w:t>
            </w:r>
          </w:p>
        </w:tc>
        <w:tc>
          <w:tcPr>
            <w:tcW w:w="1740" w:type="dxa"/>
            <w:vAlign w:val="bottom"/>
            <w:tcBorders>
              <w:bottom w:val="single" w:sz="8" w:color="A5A5A5"/>
            </w:tcBorders>
          </w:tcPr>
          <w:p>
            <w:pPr>
              <w:jc w:val="center"/>
              <w:spacing w:after="0"/>
              <w:rPr>
                <w:sz w:val="20"/>
                <w:szCs w:val="20"/>
                <w:color w:val="auto"/>
              </w:rPr>
            </w:pPr>
            <w:r>
              <w:rPr>
                <w:rFonts w:ascii="Arial" w:cs="Arial" w:eastAsia="Arial" w:hAnsi="Arial"/>
                <w:sz w:val="18"/>
                <w:szCs w:val="18"/>
                <w:color w:val="3F3F3F"/>
                <w:w w:val="98"/>
              </w:rPr>
              <w:t>$73.02</w:t>
            </w:r>
          </w:p>
        </w:tc>
        <w:tc>
          <w:tcPr>
            <w:tcW w:w="1540" w:type="dxa"/>
            <w:vAlign w:val="bottom"/>
            <w:tcBorders>
              <w:bottom w:val="single" w:sz="8" w:color="A5A5A5"/>
            </w:tcBorders>
          </w:tcPr>
          <w:p>
            <w:pPr>
              <w:jc w:val="center"/>
              <w:ind w:left="264"/>
              <w:spacing w:after="0"/>
              <w:rPr>
                <w:sz w:val="20"/>
                <w:szCs w:val="20"/>
                <w:color w:val="auto"/>
              </w:rPr>
            </w:pPr>
            <w:r>
              <w:rPr>
                <w:rFonts w:ascii="Arial" w:cs="Arial" w:eastAsia="Arial" w:hAnsi="Arial"/>
                <w:sz w:val="18"/>
                <w:szCs w:val="18"/>
                <w:color w:val="3F3F3F"/>
                <w:w w:val="99"/>
              </w:rPr>
              <w:t>2,626,958</w:t>
            </w:r>
          </w:p>
        </w:tc>
      </w:tr>
      <w:tr>
        <w:trPr>
          <w:trHeight w:val="196"/>
        </w:trPr>
        <w:tc>
          <w:tcPr>
            <w:tcW w:w="5440" w:type="dxa"/>
            <w:vAlign w:val="bottom"/>
            <w:tcBorders>
              <w:bottom w:val="single" w:sz="8" w:color="A5A5A5"/>
            </w:tcBorders>
          </w:tcPr>
          <w:p>
            <w:pPr>
              <w:spacing w:after="0" w:line="196" w:lineRule="exact"/>
              <w:rPr>
                <w:sz w:val="20"/>
                <w:szCs w:val="20"/>
                <w:color w:val="auto"/>
              </w:rPr>
            </w:pPr>
            <w:r>
              <w:rPr>
                <w:rFonts w:ascii="Arial" w:cs="Arial" w:eastAsia="Arial" w:hAnsi="Arial"/>
                <w:sz w:val="18"/>
                <w:szCs w:val="18"/>
                <w:color w:val="3F3F3F"/>
              </w:rPr>
              <w:t>Equity compensation plans not approved by security holders</w:t>
            </w:r>
          </w:p>
        </w:tc>
        <w:tc>
          <w:tcPr>
            <w:tcW w:w="2300" w:type="dxa"/>
            <w:vAlign w:val="bottom"/>
            <w:tcBorders>
              <w:bottom w:val="single" w:sz="8" w:color="A5A5A5"/>
            </w:tcBorders>
          </w:tcPr>
          <w:p>
            <w:pPr>
              <w:jc w:val="center"/>
              <w:ind w:left="202"/>
              <w:spacing w:after="0" w:line="196" w:lineRule="exact"/>
              <w:rPr>
                <w:sz w:val="20"/>
                <w:szCs w:val="20"/>
                <w:color w:val="auto"/>
              </w:rPr>
            </w:pPr>
            <w:r>
              <w:rPr>
                <w:rFonts w:ascii="Arial" w:cs="Arial" w:eastAsia="Arial" w:hAnsi="Arial"/>
                <w:sz w:val="18"/>
                <w:szCs w:val="18"/>
                <w:color w:val="3F3F3F"/>
                <w:w w:val="99"/>
              </w:rPr>
              <w:t>—</w:t>
            </w:r>
          </w:p>
        </w:tc>
        <w:tc>
          <w:tcPr>
            <w:tcW w:w="1740" w:type="dxa"/>
            <w:vAlign w:val="bottom"/>
            <w:tcBorders>
              <w:bottom w:val="single" w:sz="8" w:color="A5A5A5"/>
            </w:tcBorders>
          </w:tcPr>
          <w:p>
            <w:pPr>
              <w:jc w:val="center"/>
              <w:spacing w:after="0" w:line="196" w:lineRule="exact"/>
              <w:rPr>
                <w:sz w:val="20"/>
                <w:szCs w:val="20"/>
                <w:color w:val="auto"/>
              </w:rPr>
            </w:pPr>
            <w:r>
              <w:rPr>
                <w:rFonts w:ascii="Arial" w:cs="Arial" w:eastAsia="Arial" w:hAnsi="Arial"/>
                <w:sz w:val="18"/>
                <w:szCs w:val="18"/>
                <w:color w:val="3F3F3F"/>
                <w:w w:val="99"/>
              </w:rPr>
              <w:t>—</w:t>
            </w:r>
          </w:p>
        </w:tc>
        <w:tc>
          <w:tcPr>
            <w:tcW w:w="1540" w:type="dxa"/>
            <w:vAlign w:val="bottom"/>
            <w:tcBorders>
              <w:bottom w:val="single" w:sz="8" w:color="A5A5A5"/>
            </w:tcBorders>
          </w:tcPr>
          <w:p>
            <w:pPr>
              <w:jc w:val="center"/>
              <w:ind w:left="284"/>
              <w:spacing w:after="0" w:line="196" w:lineRule="exact"/>
              <w:rPr>
                <w:sz w:val="20"/>
                <w:szCs w:val="20"/>
                <w:color w:val="auto"/>
              </w:rPr>
            </w:pPr>
            <w:r>
              <w:rPr>
                <w:rFonts w:ascii="Arial" w:cs="Arial" w:eastAsia="Arial" w:hAnsi="Arial"/>
                <w:sz w:val="18"/>
                <w:szCs w:val="18"/>
                <w:color w:val="3F3F3F"/>
                <w:w w:val="99"/>
              </w:rPr>
              <w:t>—</w:t>
            </w:r>
          </w:p>
        </w:tc>
      </w:tr>
      <w:tr>
        <w:trPr>
          <w:trHeight w:val="196"/>
        </w:trPr>
        <w:tc>
          <w:tcPr>
            <w:tcW w:w="5440" w:type="dxa"/>
            <w:vAlign w:val="bottom"/>
            <w:tcBorders>
              <w:bottom w:val="single" w:sz="8" w:color="A5A5A5"/>
            </w:tcBorders>
          </w:tcPr>
          <w:p>
            <w:pPr>
              <w:spacing w:after="0" w:line="196" w:lineRule="exact"/>
              <w:rPr>
                <w:sz w:val="20"/>
                <w:szCs w:val="20"/>
                <w:color w:val="auto"/>
              </w:rPr>
            </w:pPr>
            <w:r>
              <w:rPr>
                <w:rFonts w:ascii="Arial" w:cs="Arial" w:eastAsia="Arial" w:hAnsi="Arial"/>
                <w:sz w:val="18"/>
                <w:szCs w:val="18"/>
                <w:color w:val="3F3F3F"/>
              </w:rPr>
              <w:t>Total</w:t>
            </w:r>
          </w:p>
        </w:tc>
        <w:tc>
          <w:tcPr>
            <w:tcW w:w="2300" w:type="dxa"/>
            <w:vAlign w:val="bottom"/>
            <w:tcBorders>
              <w:bottom w:val="single" w:sz="8" w:color="A5A5A5"/>
            </w:tcBorders>
          </w:tcPr>
          <w:p>
            <w:pPr>
              <w:jc w:val="center"/>
              <w:ind w:left="222"/>
              <w:spacing w:after="0" w:line="196" w:lineRule="exact"/>
              <w:rPr>
                <w:sz w:val="20"/>
                <w:szCs w:val="20"/>
                <w:color w:val="auto"/>
              </w:rPr>
            </w:pPr>
            <w:r>
              <w:rPr>
                <w:rFonts w:ascii="Arial" w:cs="Arial" w:eastAsia="Arial" w:hAnsi="Arial"/>
                <w:sz w:val="18"/>
                <w:szCs w:val="18"/>
                <w:color w:val="3F3F3F"/>
                <w:w w:val="99"/>
              </w:rPr>
              <w:t>1,992,915</w:t>
            </w:r>
          </w:p>
        </w:tc>
        <w:tc>
          <w:tcPr>
            <w:tcW w:w="1740" w:type="dxa"/>
            <w:vAlign w:val="bottom"/>
            <w:tcBorders>
              <w:bottom w:val="single" w:sz="8" w:color="A5A5A5"/>
            </w:tcBorders>
          </w:tcPr>
          <w:p>
            <w:pPr>
              <w:jc w:val="center"/>
              <w:spacing w:after="0" w:line="196" w:lineRule="exact"/>
              <w:rPr>
                <w:sz w:val="20"/>
                <w:szCs w:val="20"/>
                <w:color w:val="auto"/>
              </w:rPr>
            </w:pPr>
            <w:r>
              <w:rPr>
                <w:rFonts w:ascii="Arial" w:cs="Arial" w:eastAsia="Arial" w:hAnsi="Arial"/>
                <w:sz w:val="18"/>
                <w:szCs w:val="18"/>
                <w:color w:val="3F3F3F"/>
                <w:w w:val="98"/>
              </w:rPr>
              <w:t>$68.39</w:t>
            </w:r>
          </w:p>
        </w:tc>
        <w:tc>
          <w:tcPr>
            <w:tcW w:w="1540" w:type="dxa"/>
            <w:vAlign w:val="bottom"/>
            <w:tcBorders>
              <w:bottom w:val="single" w:sz="8" w:color="A5A5A5"/>
            </w:tcBorders>
          </w:tcPr>
          <w:p>
            <w:pPr>
              <w:jc w:val="center"/>
              <w:ind w:left="264"/>
              <w:spacing w:after="0" w:line="196" w:lineRule="exact"/>
              <w:rPr>
                <w:sz w:val="20"/>
                <w:szCs w:val="20"/>
                <w:color w:val="auto"/>
              </w:rPr>
            </w:pPr>
            <w:r>
              <w:rPr>
                <w:rFonts w:ascii="Arial" w:cs="Arial" w:eastAsia="Arial" w:hAnsi="Arial"/>
                <w:sz w:val="18"/>
                <w:szCs w:val="18"/>
                <w:color w:val="3F3F3F"/>
                <w:w w:val="99"/>
              </w:rPr>
              <w:t>2,626,958</w:t>
            </w:r>
          </w:p>
        </w:tc>
      </w:tr>
    </w:tbl>
    <w:p>
      <w:pPr>
        <w:spacing w:after="0" w:line="103" w:lineRule="exact"/>
        <w:rPr>
          <w:sz w:val="20"/>
          <w:szCs w:val="20"/>
          <w:color w:val="auto"/>
        </w:rPr>
      </w:pPr>
    </w:p>
    <w:p>
      <w:pPr>
        <w:ind w:left="660" w:hanging="544"/>
        <w:spacing w:after="0"/>
        <w:tabs>
          <w:tab w:leader="none" w:pos="660" w:val="left"/>
        </w:tabs>
        <w:numPr>
          <w:ilvl w:val="0"/>
          <w:numId w:val="25"/>
        </w:numPr>
        <w:rPr>
          <w:rFonts w:ascii="Arial" w:cs="Arial" w:eastAsia="Arial" w:hAnsi="Arial"/>
          <w:sz w:val="18"/>
          <w:szCs w:val="18"/>
          <w:color w:val="3F3F3F"/>
        </w:rPr>
      </w:pPr>
      <w:r>
        <w:rPr>
          <w:rFonts w:ascii="Arial" w:cs="Arial" w:eastAsia="Arial" w:hAnsi="Arial"/>
          <w:sz w:val="18"/>
          <w:szCs w:val="18"/>
          <w:color w:val="3F3F3F"/>
        </w:rPr>
        <w:t>The Company has no outstanding options, warrants and rights that can be exercised for no consideration.</w:t>
      </w:r>
    </w:p>
    <w:p>
      <w:pPr>
        <w:spacing w:after="0" w:line="117" w:lineRule="exact"/>
        <w:rPr>
          <w:rFonts w:ascii="Arial" w:cs="Arial" w:eastAsia="Arial" w:hAnsi="Arial"/>
          <w:sz w:val="18"/>
          <w:szCs w:val="18"/>
          <w:color w:val="3F3F3F"/>
        </w:rPr>
      </w:pPr>
    </w:p>
    <w:p>
      <w:pPr>
        <w:ind w:left="660" w:hanging="544"/>
        <w:spacing w:after="0"/>
        <w:tabs>
          <w:tab w:leader="none" w:pos="660" w:val="left"/>
        </w:tabs>
        <w:numPr>
          <w:ilvl w:val="0"/>
          <w:numId w:val="25"/>
        </w:numPr>
        <w:rPr>
          <w:rFonts w:ascii="Arial" w:cs="Arial" w:eastAsia="Arial" w:hAnsi="Arial"/>
          <w:sz w:val="18"/>
          <w:szCs w:val="18"/>
          <w:color w:val="3F3F3F"/>
        </w:rPr>
      </w:pPr>
      <w:r>
        <w:rPr>
          <w:rFonts w:ascii="Arial" w:cs="Arial" w:eastAsia="Arial" w:hAnsi="Arial"/>
          <w:sz w:val="18"/>
          <w:szCs w:val="18"/>
          <w:color w:val="3F3F3F"/>
        </w:rPr>
        <w:t>Includes securities that may be issued as stock options, restricted shares and restricted stock units.</w:t>
      </w:r>
    </w:p>
    <w:p>
      <w:pPr>
        <w:spacing w:after="0" w:line="117" w:lineRule="exact"/>
        <w:rPr>
          <w:rFonts w:ascii="Arial" w:cs="Arial" w:eastAsia="Arial" w:hAnsi="Arial"/>
          <w:sz w:val="18"/>
          <w:szCs w:val="18"/>
          <w:color w:val="3F3F3F"/>
        </w:rPr>
      </w:pPr>
    </w:p>
    <w:p>
      <w:pPr>
        <w:ind w:left="5520" w:right="1520" w:hanging="5404"/>
        <w:spacing w:after="0" w:line="443" w:lineRule="auto"/>
        <w:tabs>
          <w:tab w:leader="none" w:pos="652" w:val="left"/>
        </w:tabs>
        <w:numPr>
          <w:ilvl w:val="0"/>
          <w:numId w:val="25"/>
        </w:numPr>
        <w:rPr>
          <w:rFonts w:ascii="Arial" w:cs="Arial" w:eastAsia="Arial" w:hAnsi="Arial"/>
          <w:sz w:val="18"/>
          <w:szCs w:val="18"/>
          <w:color w:val="3F3F3F"/>
        </w:rPr>
      </w:pPr>
      <w:r>
        <w:rPr>
          <w:rFonts w:ascii="Arial" w:cs="Arial" w:eastAsia="Arial" w:hAnsi="Arial"/>
          <w:sz w:val="18"/>
          <w:szCs w:val="18"/>
          <w:color w:val="3F3F3F"/>
        </w:rPr>
        <w:t>As of our initial public offering, no further grants have been or will be made under the 2014 Equity Incentive Plan. 46</w:t>
      </w:r>
    </w:p>
    <w:p>
      <w:pPr>
        <w:sectPr>
          <w:pgSz w:w="11900" w:h="16838" w:orient="portrait"/>
          <w:cols w:equalWidth="0" w:num="1">
            <w:col w:w="11140"/>
          </w:cols>
          <w:pgMar w:left="320" w:top="455" w:right="4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Security Ownership of Certain Beneficial Owners and Management</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COMMON STOCK</w:t>
      </w:r>
    </w:p>
    <w:p>
      <w:pPr>
        <w:spacing w:after="0" w:line="10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3F3F3F"/>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March 24, 2022, unless otherwise indicated. The number of shares beneficially owned by each stockholder is determined under rules issued by the SEC. Under these rules, beneficial ownership includes any shares as to which a person or an entity has sole or shared voting power or investment power. Applicable percentage ownership is based on 33,645,673 shares of Common Stock outstanding and entitled to vote as of March 24, 2022. In computing the number of shares beneficially owned by a person and the percentage ownership of that person, shares of Common Stock subject to options, warrants or other rights held by such person that are currently exercisable or will become exercisable within 60 days of March 24, 2022 are considered outstanding, although these shares are not considered outstanding for purposes of computing the percentage ownership of any other person.</w:t>
      </w:r>
    </w:p>
    <w:p>
      <w:pPr>
        <w:spacing w:after="0" w:line="180"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3F3F3F"/>
        </w:rPr>
        <w:t>Unless otherwise indicated, the address of each beneficial owner listed below is 5375 Medpace Way, Cincinnati, Ohio 45227.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40" w:type="dxa"/>
            <w:vAlign w:val="bottom"/>
            <w:tcBorders>
              <w:bottom w:val="single" w:sz="8" w:color="83BA90"/>
            </w:tcBorders>
            <w:gridSpan w:val="2"/>
          </w:tcPr>
          <w:p>
            <w:pPr>
              <w:spacing w:after="0"/>
              <w:rPr>
                <w:sz w:val="20"/>
                <w:szCs w:val="20"/>
                <w:color w:val="auto"/>
              </w:rPr>
            </w:pPr>
            <w:r>
              <w:rPr>
                <w:rFonts w:ascii="Arial" w:cs="Arial" w:eastAsia="Arial" w:hAnsi="Arial"/>
                <w:sz w:val="14"/>
                <w:szCs w:val="14"/>
                <w:b w:val="1"/>
                <w:bCs w:val="1"/>
                <w:color w:val="006098"/>
              </w:rPr>
              <w:t>NAME OF BENEFICIAL OWNER</w:t>
            </w:r>
          </w:p>
        </w:tc>
        <w:tc>
          <w:tcPr>
            <w:tcW w:w="2780" w:type="dxa"/>
            <w:vAlign w:val="bottom"/>
            <w:tcBorders>
              <w:bottom w:val="single" w:sz="8" w:color="83BA90"/>
            </w:tcBorders>
          </w:tcPr>
          <w:p>
            <w:pPr>
              <w:jc w:val="right"/>
              <w:ind w:right="311"/>
              <w:spacing w:after="0"/>
              <w:rPr>
                <w:sz w:val="20"/>
                <w:szCs w:val="20"/>
                <w:color w:val="auto"/>
              </w:rPr>
            </w:pPr>
            <w:r>
              <w:rPr>
                <w:rFonts w:ascii="Arial" w:cs="Arial" w:eastAsia="Arial" w:hAnsi="Arial"/>
                <w:sz w:val="14"/>
                <w:szCs w:val="14"/>
                <w:b w:val="1"/>
                <w:bCs w:val="1"/>
                <w:color w:val="006098"/>
              </w:rPr>
              <w:t>NUMBER</w:t>
            </w:r>
          </w:p>
        </w:tc>
        <w:tc>
          <w:tcPr>
            <w:tcW w:w="1500" w:type="dxa"/>
            <w:vAlign w:val="bottom"/>
            <w:tcBorders>
              <w:bottom w:val="single" w:sz="8" w:color="83BA90"/>
            </w:tcBorders>
          </w:tcPr>
          <w:p>
            <w:pPr>
              <w:jc w:val="right"/>
              <w:ind w:right="131"/>
              <w:spacing w:after="0"/>
              <w:rPr>
                <w:sz w:val="20"/>
                <w:szCs w:val="20"/>
                <w:color w:val="auto"/>
              </w:rPr>
            </w:pPr>
            <w:r>
              <w:rPr>
                <w:rFonts w:ascii="Arial" w:cs="Arial" w:eastAsia="Arial" w:hAnsi="Arial"/>
                <w:sz w:val="14"/>
                <w:szCs w:val="14"/>
                <w:b w:val="1"/>
                <w:bCs w:val="1"/>
                <w:color w:val="006098"/>
              </w:rPr>
              <w:t>PERCENTAGE</w:t>
            </w:r>
          </w:p>
        </w:tc>
      </w:tr>
      <w:tr>
        <w:trPr>
          <w:trHeight w:val="290"/>
        </w:trPr>
        <w:tc>
          <w:tcPr>
            <w:tcW w:w="6740" w:type="dxa"/>
            <w:vAlign w:val="bottom"/>
            <w:tcBorders>
              <w:bottom w:val="single" w:sz="8" w:color="A5A5A5"/>
            </w:tcBorders>
            <w:gridSpan w:val="2"/>
          </w:tcPr>
          <w:p>
            <w:pPr>
              <w:spacing w:after="0"/>
              <w:rPr>
                <w:sz w:val="20"/>
                <w:szCs w:val="20"/>
                <w:color w:val="auto"/>
              </w:rPr>
            </w:pPr>
            <w:r>
              <w:rPr>
                <w:rFonts w:ascii="Arial" w:cs="Arial" w:eastAsia="Arial" w:hAnsi="Arial"/>
                <w:sz w:val="18"/>
                <w:szCs w:val="18"/>
                <w:b w:val="1"/>
                <w:bCs w:val="1"/>
                <w:i w:val="1"/>
                <w:iCs w:val="1"/>
                <w:color w:val="006098"/>
              </w:rPr>
              <w:t>5% or Greater Stockholders</w:t>
            </w:r>
          </w:p>
        </w:tc>
        <w:tc>
          <w:tcPr>
            <w:tcW w:w="2780" w:type="dxa"/>
            <w:vAlign w:val="bottom"/>
            <w:tcBorders>
              <w:bottom w:val="single" w:sz="8" w:color="A5A5A5"/>
            </w:tcBorders>
          </w:tcPr>
          <w:p>
            <w:pPr>
              <w:spacing w:after="0"/>
              <w:rPr>
                <w:sz w:val="24"/>
                <w:szCs w:val="24"/>
                <w:color w:val="auto"/>
              </w:rPr>
            </w:pPr>
          </w:p>
        </w:tc>
        <w:tc>
          <w:tcPr>
            <w:tcW w:w="1500" w:type="dxa"/>
            <w:vAlign w:val="bottom"/>
            <w:tcBorders>
              <w:bottom w:val="single" w:sz="8" w:color="A5A5A5"/>
            </w:tcBorders>
          </w:tcPr>
          <w:p>
            <w:pPr>
              <w:spacing w:after="0"/>
              <w:rPr>
                <w:sz w:val="24"/>
                <w:szCs w:val="24"/>
                <w:color w:val="auto"/>
              </w:rPr>
            </w:pPr>
          </w:p>
        </w:tc>
      </w:tr>
      <w:tr>
        <w:trPr>
          <w:trHeight w:val="196"/>
        </w:trPr>
        <w:tc>
          <w:tcPr>
            <w:tcW w:w="6740" w:type="dxa"/>
            <w:vAlign w:val="bottom"/>
            <w:tcBorders>
              <w:bottom w:val="single" w:sz="8" w:color="A5A5A5"/>
            </w:tcBorders>
            <w:gridSpan w:val="2"/>
          </w:tcPr>
          <w:p>
            <w:pPr>
              <w:spacing w:after="0" w:line="196" w:lineRule="exact"/>
              <w:rPr>
                <w:sz w:val="20"/>
                <w:szCs w:val="20"/>
                <w:color w:val="auto"/>
              </w:rPr>
            </w:pPr>
            <w:r>
              <w:rPr>
                <w:rFonts w:ascii="Arial" w:cs="Arial" w:eastAsia="Arial" w:hAnsi="Arial"/>
                <w:sz w:val="18"/>
                <w:szCs w:val="18"/>
                <w:color w:val="3F3F3F"/>
              </w:rPr>
              <w:t>Medpace Investors, LLC (1)</w:t>
            </w:r>
          </w:p>
        </w:tc>
        <w:tc>
          <w:tcPr>
            <w:tcW w:w="2780" w:type="dxa"/>
            <w:vAlign w:val="bottom"/>
            <w:tcBorders>
              <w:bottom w:val="single" w:sz="8" w:color="A5A5A5"/>
            </w:tcBorders>
          </w:tcPr>
          <w:p>
            <w:pPr>
              <w:jc w:val="right"/>
              <w:ind w:right="191"/>
              <w:spacing w:after="0" w:line="196" w:lineRule="exact"/>
              <w:rPr>
                <w:sz w:val="20"/>
                <w:szCs w:val="20"/>
                <w:color w:val="auto"/>
              </w:rPr>
            </w:pPr>
            <w:r>
              <w:rPr>
                <w:rFonts w:ascii="Arial" w:cs="Arial" w:eastAsia="Arial" w:hAnsi="Arial"/>
                <w:sz w:val="18"/>
                <w:szCs w:val="18"/>
                <w:color w:val="3F3F3F"/>
              </w:rPr>
              <w:t>5,483,019</w:t>
            </w:r>
          </w:p>
        </w:tc>
        <w:tc>
          <w:tcPr>
            <w:tcW w:w="1500" w:type="dxa"/>
            <w:vAlign w:val="bottom"/>
            <w:tcBorders>
              <w:bottom w:val="single" w:sz="8" w:color="A5A5A5"/>
            </w:tcBorders>
          </w:tcPr>
          <w:p>
            <w:pPr>
              <w:jc w:val="right"/>
              <w:spacing w:after="0" w:line="196" w:lineRule="exact"/>
              <w:rPr>
                <w:sz w:val="20"/>
                <w:szCs w:val="20"/>
                <w:color w:val="auto"/>
              </w:rPr>
            </w:pPr>
            <w:r>
              <w:rPr>
                <w:rFonts w:ascii="Arial" w:cs="Arial" w:eastAsia="Arial" w:hAnsi="Arial"/>
                <w:sz w:val="18"/>
                <w:szCs w:val="18"/>
                <w:color w:val="3F3F3F"/>
              </w:rPr>
              <w:t>16.3%</w:t>
            </w:r>
          </w:p>
        </w:tc>
      </w:tr>
      <w:tr>
        <w:trPr>
          <w:trHeight w:val="196"/>
        </w:trPr>
        <w:tc>
          <w:tcPr>
            <w:tcW w:w="6740" w:type="dxa"/>
            <w:vAlign w:val="bottom"/>
            <w:tcBorders>
              <w:bottom w:val="single" w:sz="8" w:color="A5A5A5"/>
            </w:tcBorders>
            <w:gridSpan w:val="2"/>
          </w:tcPr>
          <w:p>
            <w:pPr>
              <w:spacing w:after="0" w:line="196" w:lineRule="exact"/>
              <w:rPr>
                <w:sz w:val="20"/>
                <w:szCs w:val="20"/>
                <w:color w:val="auto"/>
              </w:rPr>
            </w:pPr>
            <w:r>
              <w:rPr>
                <w:rFonts w:ascii="Arial" w:cs="Arial" w:eastAsia="Arial" w:hAnsi="Arial"/>
                <w:sz w:val="18"/>
                <w:szCs w:val="18"/>
                <w:color w:val="3F3F3F"/>
              </w:rPr>
              <w:t>BlackRock, Inc. (2)</w:t>
            </w:r>
          </w:p>
        </w:tc>
        <w:tc>
          <w:tcPr>
            <w:tcW w:w="2780" w:type="dxa"/>
            <w:vAlign w:val="bottom"/>
            <w:tcBorders>
              <w:bottom w:val="single" w:sz="8" w:color="A5A5A5"/>
            </w:tcBorders>
          </w:tcPr>
          <w:p>
            <w:pPr>
              <w:jc w:val="right"/>
              <w:ind w:right="191"/>
              <w:spacing w:after="0" w:line="196" w:lineRule="exact"/>
              <w:rPr>
                <w:sz w:val="20"/>
                <w:szCs w:val="20"/>
                <w:color w:val="auto"/>
              </w:rPr>
            </w:pPr>
            <w:r>
              <w:rPr>
                <w:rFonts w:ascii="Arial" w:cs="Arial" w:eastAsia="Arial" w:hAnsi="Arial"/>
                <w:sz w:val="18"/>
                <w:szCs w:val="18"/>
                <w:color w:val="3F3F3F"/>
              </w:rPr>
              <w:t>3,757,573</w:t>
            </w:r>
          </w:p>
        </w:tc>
        <w:tc>
          <w:tcPr>
            <w:tcW w:w="1500" w:type="dxa"/>
            <w:vAlign w:val="bottom"/>
            <w:tcBorders>
              <w:bottom w:val="single" w:sz="8" w:color="A5A5A5"/>
            </w:tcBorders>
          </w:tcPr>
          <w:p>
            <w:pPr>
              <w:jc w:val="right"/>
              <w:spacing w:after="0" w:line="196" w:lineRule="exact"/>
              <w:rPr>
                <w:sz w:val="20"/>
                <w:szCs w:val="20"/>
                <w:color w:val="auto"/>
              </w:rPr>
            </w:pPr>
            <w:r>
              <w:rPr>
                <w:rFonts w:ascii="Arial" w:cs="Arial" w:eastAsia="Arial" w:hAnsi="Arial"/>
                <w:sz w:val="18"/>
                <w:szCs w:val="18"/>
                <w:color w:val="3F3F3F"/>
              </w:rPr>
              <w:t>11.2%</w:t>
            </w:r>
          </w:p>
        </w:tc>
      </w:tr>
      <w:tr>
        <w:trPr>
          <w:trHeight w:val="196"/>
        </w:trPr>
        <w:tc>
          <w:tcPr>
            <w:tcW w:w="6740" w:type="dxa"/>
            <w:vAlign w:val="bottom"/>
            <w:tcBorders>
              <w:bottom w:val="single" w:sz="8" w:color="A5A5A5"/>
            </w:tcBorders>
            <w:gridSpan w:val="2"/>
          </w:tcPr>
          <w:p>
            <w:pPr>
              <w:spacing w:after="0" w:line="196" w:lineRule="exact"/>
              <w:rPr>
                <w:sz w:val="20"/>
                <w:szCs w:val="20"/>
                <w:color w:val="auto"/>
              </w:rPr>
            </w:pPr>
            <w:r>
              <w:rPr>
                <w:rFonts w:ascii="Arial" w:cs="Arial" w:eastAsia="Arial" w:hAnsi="Arial"/>
                <w:sz w:val="18"/>
                <w:szCs w:val="18"/>
                <w:color w:val="3F3F3F"/>
              </w:rPr>
              <w:t>The Vanguard Group (3)</w:t>
            </w:r>
          </w:p>
        </w:tc>
        <w:tc>
          <w:tcPr>
            <w:tcW w:w="2780" w:type="dxa"/>
            <w:vAlign w:val="bottom"/>
            <w:tcBorders>
              <w:bottom w:val="single" w:sz="8" w:color="A5A5A5"/>
            </w:tcBorders>
          </w:tcPr>
          <w:p>
            <w:pPr>
              <w:jc w:val="right"/>
              <w:ind w:right="191"/>
              <w:spacing w:after="0" w:line="196" w:lineRule="exact"/>
              <w:rPr>
                <w:sz w:val="20"/>
                <w:szCs w:val="20"/>
                <w:color w:val="auto"/>
              </w:rPr>
            </w:pPr>
            <w:r>
              <w:rPr>
                <w:rFonts w:ascii="Arial" w:cs="Arial" w:eastAsia="Arial" w:hAnsi="Arial"/>
                <w:sz w:val="18"/>
                <w:szCs w:val="18"/>
                <w:color w:val="3F3F3F"/>
              </w:rPr>
              <w:t>3,169,219</w:t>
            </w:r>
          </w:p>
        </w:tc>
        <w:tc>
          <w:tcPr>
            <w:tcW w:w="1500" w:type="dxa"/>
            <w:vAlign w:val="bottom"/>
            <w:tcBorders>
              <w:bottom w:val="single" w:sz="8" w:color="A5A5A5"/>
            </w:tcBorders>
          </w:tcPr>
          <w:p>
            <w:pPr>
              <w:jc w:val="right"/>
              <w:spacing w:after="0" w:line="196" w:lineRule="exact"/>
              <w:rPr>
                <w:sz w:val="20"/>
                <w:szCs w:val="20"/>
                <w:color w:val="auto"/>
              </w:rPr>
            </w:pPr>
            <w:r>
              <w:rPr>
                <w:rFonts w:ascii="Arial" w:cs="Arial" w:eastAsia="Arial" w:hAnsi="Arial"/>
                <w:sz w:val="18"/>
                <w:szCs w:val="18"/>
                <w:color w:val="3F3F3F"/>
              </w:rPr>
              <w:t>9.4%</w:t>
            </w:r>
          </w:p>
        </w:tc>
      </w:tr>
      <w:tr>
        <w:trPr>
          <w:trHeight w:val="196"/>
        </w:trPr>
        <w:tc>
          <w:tcPr>
            <w:tcW w:w="6740" w:type="dxa"/>
            <w:vAlign w:val="bottom"/>
            <w:tcBorders>
              <w:bottom w:val="single" w:sz="8" w:color="A5A5A5"/>
            </w:tcBorders>
            <w:gridSpan w:val="2"/>
          </w:tcPr>
          <w:p>
            <w:pPr>
              <w:spacing w:after="0" w:line="196" w:lineRule="exact"/>
              <w:rPr>
                <w:sz w:val="20"/>
                <w:szCs w:val="20"/>
                <w:color w:val="auto"/>
              </w:rPr>
            </w:pPr>
            <w:r>
              <w:rPr>
                <w:rFonts w:ascii="Arial" w:cs="Arial" w:eastAsia="Arial" w:hAnsi="Arial"/>
                <w:sz w:val="18"/>
                <w:szCs w:val="18"/>
                <w:color w:val="3F3F3F"/>
              </w:rPr>
              <w:t>Wasatch Advisors, Inc. (4)</w:t>
            </w:r>
          </w:p>
        </w:tc>
        <w:tc>
          <w:tcPr>
            <w:tcW w:w="2780" w:type="dxa"/>
            <w:vAlign w:val="bottom"/>
            <w:tcBorders>
              <w:bottom w:val="single" w:sz="8" w:color="A5A5A5"/>
            </w:tcBorders>
          </w:tcPr>
          <w:p>
            <w:pPr>
              <w:jc w:val="right"/>
              <w:ind w:right="191"/>
              <w:spacing w:after="0" w:line="196" w:lineRule="exact"/>
              <w:rPr>
                <w:sz w:val="20"/>
                <w:szCs w:val="20"/>
                <w:color w:val="auto"/>
              </w:rPr>
            </w:pPr>
            <w:r>
              <w:rPr>
                <w:rFonts w:ascii="Arial" w:cs="Arial" w:eastAsia="Arial" w:hAnsi="Arial"/>
                <w:sz w:val="18"/>
                <w:szCs w:val="18"/>
                <w:color w:val="3F3F3F"/>
              </w:rPr>
              <w:t>2,434,711</w:t>
            </w:r>
          </w:p>
        </w:tc>
        <w:tc>
          <w:tcPr>
            <w:tcW w:w="1500" w:type="dxa"/>
            <w:vAlign w:val="bottom"/>
            <w:tcBorders>
              <w:bottom w:val="single" w:sz="8" w:color="A5A5A5"/>
            </w:tcBorders>
          </w:tcPr>
          <w:p>
            <w:pPr>
              <w:jc w:val="right"/>
              <w:spacing w:after="0" w:line="196" w:lineRule="exact"/>
              <w:rPr>
                <w:sz w:val="20"/>
                <w:szCs w:val="20"/>
                <w:color w:val="auto"/>
              </w:rPr>
            </w:pPr>
            <w:r>
              <w:rPr>
                <w:rFonts w:ascii="Arial" w:cs="Arial" w:eastAsia="Arial" w:hAnsi="Arial"/>
                <w:sz w:val="18"/>
                <w:szCs w:val="18"/>
                <w:color w:val="3F3F3F"/>
              </w:rPr>
              <w:t>7.2%</w:t>
            </w:r>
          </w:p>
        </w:tc>
      </w:tr>
      <w:tr>
        <w:trPr>
          <w:trHeight w:val="290"/>
        </w:trPr>
        <w:tc>
          <w:tcPr>
            <w:tcW w:w="6740" w:type="dxa"/>
            <w:vAlign w:val="bottom"/>
            <w:tcBorders>
              <w:bottom w:val="single" w:sz="8" w:color="A5A5A5"/>
            </w:tcBorders>
            <w:gridSpan w:val="2"/>
          </w:tcPr>
          <w:p>
            <w:pPr>
              <w:spacing w:after="0"/>
              <w:rPr>
                <w:sz w:val="20"/>
                <w:szCs w:val="20"/>
                <w:color w:val="auto"/>
              </w:rPr>
            </w:pPr>
            <w:r>
              <w:rPr>
                <w:rFonts w:ascii="Arial" w:cs="Arial" w:eastAsia="Arial" w:hAnsi="Arial"/>
                <w:sz w:val="18"/>
                <w:szCs w:val="18"/>
                <w:b w:val="1"/>
                <w:bCs w:val="1"/>
                <w:i w:val="1"/>
                <w:iCs w:val="1"/>
                <w:color w:val="006098"/>
              </w:rPr>
              <w:t>Named Executive Officers</w:t>
            </w:r>
          </w:p>
        </w:tc>
        <w:tc>
          <w:tcPr>
            <w:tcW w:w="2780" w:type="dxa"/>
            <w:vAlign w:val="bottom"/>
            <w:tcBorders>
              <w:bottom w:val="single" w:sz="8" w:color="A5A5A5"/>
            </w:tcBorders>
          </w:tcPr>
          <w:p>
            <w:pPr>
              <w:spacing w:after="0"/>
              <w:rPr>
                <w:sz w:val="24"/>
                <w:szCs w:val="24"/>
                <w:color w:val="auto"/>
              </w:rPr>
            </w:pPr>
          </w:p>
        </w:tc>
        <w:tc>
          <w:tcPr>
            <w:tcW w:w="1500" w:type="dxa"/>
            <w:vAlign w:val="bottom"/>
            <w:tcBorders>
              <w:bottom w:val="single" w:sz="8" w:color="A5A5A5"/>
            </w:tcBorders>
          </w:tcPr>
          <w:p>
            <w:pPr>
              <w:spacing w:after="0"/>
              <w:rPr>
                <w:sz w:val="24"/>
                <w:szCs w:val="24"/>
                <w:color w:val="auto"/>
              </w:rPr>
            </w:pPr>
          </w:p>
        </w:tc>
      </w:tr>
      <w:tr>
        <w:trPr>
          <w:trHeight w:val="196"/>
        </w:trPr>
        <w:tc>
          <w:tcPr>
            <w:tcW w:w="6740" w:type="dxa"/>
            <w:vAlign w:val="bottom"/>
            <w:tcBorders>
              <w:bottom w:val="single" w:sz="8" w:color="A5A5A5"/>
            </w:tcBorders>
            <w:gridSpan w:val="2"/>
          </w:tcPr>
          <w:p>
            <w:pPr>
              <w:spacing w:after="0" w:line="196" w:lineRule="exact"/>
              <w:rPr>
                <w:sz w:val="20"/>
                <w:szCs w:val="20"/>
                <w:color w:val="auto"/>
              </w:rPr>
            </w:pPr>
            <w:r>
              <w:rPr>
                <w:rFonts w:ascii="Arial" w:cs="Arial" w:eastAsia="Arial" w:hAnsi="Arial"/>
                <w:sz w:val="18"/>
                <w:szCs w:val="18"/>
                <w:color w:val="3F3F3F"/>
              </w:rPr>
              <w:t>August J. Troendle (5)</w:t>
            </w:r>
          </w:p>
        </w:tc>
        <w:tc>
          <w:tcPr>
            <w:tcW w:w="2780" w:type="dxa"/>
            <w:vAlign w:val="bottom"/>
            <w:tcBorders>
              <w:bottom w:val="single" w:sz="8" w:color="A5A5A5"/>
            </w:tcBorders>
          </w:tcPr>
          <w:p>
            <w:pPr>
              <w:jc w:val="right"/>
              <w:ind w:right="191"/>
              <w:spacing w:after="0" w:line="196" w:lineRule="exact"/>
              <w:rPr>
                <w:sz w:val="20"/>
                <w:szCs w:val="20"/>
                <w:color w:val="auto"/>
              </w:rPr>
            </w:pPr>
            <w:r>
              <w:rPr>
                <w:rFonts w:ascii="Arial" w:cs="Arial" w:eastAsia="Arial" w:hAnsi="Arial"/>
                <w:sz w:val="18"/>
                <w:szCs w:val="18"/>
                <w:color w:val="3F3F3F"/>
              </w:rPr>
              <w:t>6,646,108</w:t>
            </w:r>
          </w:p>
        </w:tc>
        <w:tc>
          <w:tcPr>
            <w:tcW w:w="1500" w:type="dxa"/>
            <w:vAlign w:val="bottom"/>
            <w:tcBorders>
              <w:bottom w:val="single" w:sz="8" w:color="A5A5A5"/>
            </w:tcBorders>
          </w:tcPr>
          <w:p>
            <w:pPr>
              <w:jc w:val="right"/>
              <w:spacing w:after="0" w:line="196" w:lineRule="exact"/>
              <w:rPr>
                <w:sz w:val="20"/>
                <w:szCs w:val="20"/>
                <w:color w:val="auto"/>
              </w:rPr>
            </w:pPr>
            <w:r>
              <w:rPr>
                <w:rFonts w:ascii="Arial" w:cs="Arial" w:eastAsia="Arial" w:hAnsi="Arial"/>
                <w:sz w:val="18"/>
                <w:szCs w:val="18"/>
                <w:color w:val="3F3F3F"/>
              </w:rPr>
              <w:t>19.5%</w:t>
            </w:r>
          </w:p>
        </w:tc>
      </w:tr>
      <w:tr>
        <w:trPr>
          <w:trHeight w:val="196"/>
        </w:trPr>
        <w:tc>
          <w:tcPr>
            <w:tcW w:w="6740" w:type="dxa"/>
            <w:vAlign w:val="bottom"/>
            <w:tcBorders>
              <w:bottom w:val="single" w:sz="8" w:color="A5A5A5"/>
            </w:tcBorders>
            <w:gridSpan w:val="2"/>
          </w:tcPr>
          <w:p>
            <w:pPr>
              <w:spacing w:after="0" w:line="196" w:lineRule="exact"/>
              <w:rPr>
                <w:sz w:val="20"/>
                <w:szCs w:val="20"/>
                <w:color w:val="auto"/>
              </w:rPr>
            </w:pPr>
            <w:r>
              <w:rPr>
                <w:rFonts w:ascii="Arial" w:cs="Arial" w:eastAsia="Arial" w:hAnsi="Arial"/>
                <w:sz w:val="18"/>
                <w:szCs w:val="18"/>
                <w:color w:val="3F3F3F"/>
              </w:rPr>
              <w:t>Kevin M. Brady (6)</w:t>
            </w:r>
          </w:p>
        </w:tc>
        <w:tc>
          <w:tcPr>
            <w:tcW w:w="2780" w:type="dxa"/>
            <w:vAlign w:val="bottom"/>
            <w:tcBorders>
              <w:bottom w:val="single" w:sz="8" w:color="A5A5A5"/>
            </w:tcBorders>
          </w:tcPr>
          <w:p>
            <w:pPr>
              <w:jc w:val="right"/>
              <w:ind w:right="191"/>
              <w:spacing w:after="0" w:line="196" w:lineRule="exact"/>
              <w:rPr>
                <w:sz w:val="20"/>
                <w:szCs w:val="20"/>
                <w:color w:val="auto"/>
              </w:rPr>
            </w:pPr>
            <w:r>
              <w:rPr>
                <w:rFonts w:ascii="Arial" w:cs="Arial" w:eastAsia="Arial" w:hAnsi="Arial"/>
                <w:sz w:val="18"/>
                <w:szCs w:val="18"/>
                <w:color w:val="3F3F3F"/>
              </w:rPr>
              <w:t>10,000</w:t>
            </w:r>
          </w:p>
        </w:tc>
        <w:tc>
          <w:tcPr>
            <w:tcW w:w="1500" w:type="dxa"/>
            <w:vAlign w:val="bottom"/>
            <w:tcBorders>
              <w:bottom w:val="single" w:sz="8" w:color="A5A5A5"/>
            </w:tcBorders>
          </w:tcPr>
          <w:p>
            <w:pPr>
              <w:jc w:val="right"/>
              <w:ind w:right="131"/>
              <w:spacing w:after="0" w:line="196" w:lineRule="exact"/>
              <w:rPr>
                <w:sz w:val="20"/>
                <w:szCs w:val="20"/>
                <w:color w:val="auto"/>
              </w:rPr>
            </w:pPr>
            <w:r>
              <w:rPr>
                <w:rFonts w:ascii="Arial" w:cs="Arial" w:eastAsia="Arial" w:hAnsi="Arial"/>
                <w:sz w:val="18"/>
                <w:szCs w:val="18"/>
                <w:color w:val="3F3F3F"/>
              </w:rPr>
              <w:t>*</w:t>
            </w:r>
          </w:p>
        </w:tc>
      </w:tr>
      <w:tr>
        <w:trPr>
          <w:trHeight w:val="196"/>
        </w:trPr>
        <w:tc>
          <w:tcPr>
            <w:tcW w:w="6740" w:type="dxa"/>
            <w:vAlign w:val="bottom"/>
            <w:tcBorders>
              <w:bottom w:val="single" w:sz="8" w:color="A5A5A5"/>
            </w:tcBorders>
            <w:gridSpan w:val="2"/>
          </w:tcPr>
          <w:p>
            <w:pPr>
              <w:spacing w:after="0" w:line="196" w:lineRule="exact"/>
              <w:rPr>
                <w:sz w:val="20"/>
                <w:szCs w:val="20"/>
                <w:color w:val="auto"/>
              </w:rPr>
            </w:pPr>
            <w:r>
              <w:rPr>
                <w:rFonts w:ascii="Arial" w:cs="Arial" w:eastAsia="Arial" w:hAnsi="Arial"/>
                <w:sz w:val="18"/>
                <w:szCs w:val="18"/>
                <w:color w:val="3F3F3F"/>
              </w:rPr>
              <w:t>Jesse J. Geiger (7)</w:t>
            </w:r>
          </w:p>
        </w:tc>
        <w:tc>
          <w:tcPr>
            <w:tcW w:w="2780" w:type="dxa"/>
            <w:vAlign w:val="bottom"/>
            <w:tcBorders>
              <w:bottom w:val="single" w:sz="8" w:color="A5A5A5"/>
            </w:tcBorders>
          </w:tcPr>
          <w:p>
            <w:pPr>
              <w:jc w:val="right"/>
              <w:ind w:right="191"/>
              <w:spacing w:after="0" w:line="196" w:lineRule="exact"/>
              <w:rPr>
                <w:sz w:val="20"/>
                <w:szCs w:val="20"/>
                <w:color w:val="auto"/>
              </w:rPr>
            </w:pPr>
            <w:r>
              <w:rPr>
                <w:rFonts w:ascii="Arial" w:cs="Arial" w:eastAsia="Arial" w:hAnsi="Arial"/>
                <w:sz w:val="18"/>
                <w:szCs w:val="18"/>
                <w:color w:val="3F3F3F"/>
              </w:rPr>
              <w:t>103,801</w:t>
            </w:r>
          </w:p>
        </w:tc>
        <w:tc>
          <w:tcPr>
            <w:tcW w:w="1500" w:type="dxa"/>
            <w:vAlign w:val="bottom"/>
            <w:tcBorders>
              <w:bottom w:val="single" w:sz="8" w:color="A5A5A5"/>
            </w:tcBorders>
          </w:tcPr>
          <w:p>
            <w:pPr>
              <w:jc w:val="right"/>
              <w:ind w:right="131"/>
              <w:spacing w:after="0" w:line="196" w:lineRule="exact"/>
              <w:rPr>
                <w:sz w:val="20"/>
                <w:szCs w:val="20"/>
                <w:color w:val="auto"/>
              </w:rPr>
            </w:pPr>
            <w:r>
              <w:rPr>
                <w:rFonts w:ascii="Arial" w:cs="Arial" w:eastAsia="Arial" w:hAnsi="Arial"/>
                <w:sz w:val="18"/>
                <w:szCs w:val="18"/>
                <w:color w:val="3F3F3F"/>
              </w:rPr>
              <w:t>*</w:t>
            </w:r>
          </w:p>
        </w:tc>
      </w:tr>
      <w:tr>
        <w:trPr>
          <w:trHeight w:val="196"/>
        </w:trPr>
        <w:tc>
          <w:tcPr>
            <w:tcW w:w="6740" w:type="dxa"/>
            <w:vAlign w:val="bottom"/>
            <w:tcBorders>
              <w:bottom w:val="single" w:sz="8" w:color="A5A5A5"/>
            </w:tcBorders>
            <w:gridSpan w:val="2"/>
          </w:tcPr>
          <w:p>
            <w:pPr>
              <w:spacing w:after="0" w:line="196" w:lineRule="exact"/>
              <w:rPr>
                <w:sz w:val="20"/>
                <w:szCs w:val="20"/>
                <w:color w:val="auto"/>
              </w:rPr>
            </w:pPr>
            <w:r>
              <w:rPr>
                <w:rFonts w:ascii="Arial" w:cs="Arial" w:eastAsia="Arial" w:hAnsi="Arial"/>
                <w:sz w:val="18"/>
                <w:szCs w:val="18"/>
                <w:color w:val="3F3F3F"/>
              </w:rPr>
              <w:t>Susan E. Burwig (8)</w:t>
            </w:r>
          </w:p>
        </w:tc>
        <w:tc>
          <w:tcPr>
            <w:tcW w:w="2780" w:type="dxa"/>
            <w:vAlign w:val="bottom"/>
            <w:tcBorders>
              <w:bottom w:val="single" w:sz="8" w:color="A5A5A5"/>
            </w:tcBorders>
          </w:tcPr>
          <w:p>
            <w:pPr>
              <w:jc w:val="right"/>
              <w:ind w:right="191"/>
              <w:spacing w:after="0" w:line="196" w:lineRule="exact"/>
              <w:rPr>
                <w:sz w:val="20"/>
                <w:szCs w:val="20"/>
                <w:color w:val="auto"/>
              </w:rPr>
            </w:pPr>
            <w:r>
              <w:rPr>
                <w:rFonts w:ascii="Arial" w:cs="Arial" w:eastAsia="Arial" w:hAnsi="Arial"/>
                <w:sz w:val="18"/>
                <w:szCs w:val="18"/>
                <w:color w:val="3F3F3F"/>
              </w:rPr>
              <w:t>136,167</w:t>
            </w:r>
          </w:p>
        </w:tc>
        <w:tc>
          <w:tcPr>
            <w:tcW w:w="1500" w:type="dxa"/>
            <w:vAlign w:val="bottom"/>
            <w:tcBorders>
              <w:bottom w:val="single" w:sz="8" w:color="A5A5A5"/>
            </w:tcBorders>
          </w:tcPr>
          <w:p>
            <w:pPr>
              <w:jc w:val="right"/>
              <w:ind w:right="131"/>
              <w:spacing w:after="0" w:line="196" w:lineRule="exact"/>
              <w:rPr>
                <w:sz w:val="20"/>
                <w:szCs w:val="20"/>
                <w:color w:val="auto"/>
              </w:rPr>
            </w:pPr>
            <w:r>
              <w:rPr>
                <w:rFonts w:ascii="Arial" w:cs="Arial" w:eastAsia="Arial" w:hAnsi="Arial"/>
                <w:sz w:val="18"/>
                <w:szCs w:val="18"/>
                <w:color w:val="3F3F3F"/>
              </w:rPr>
              <w:t>*</w:t>
            </w:r>
          </w:p>
        </w:tc>
      </w:tr>
      <w:tr>
        <w:trPr>
          <w:trHeight w:val="196"/>
        </w:trPr>
        <w:tc>
          <w:tcPr>
            <w:tcW w:w="6740" w:type="dxa"/>
            <w:vAlign w:val="bottom"/>
            <w:tcBorders>
              <w:bottom w:val="single" w:sz="8" w:color="A5A5A5"/>
            </w:tcBorders>
            <w:gridSpan w:val="2"/>
          </w:tcPr>
          <w:p>
            <w:pPr>
              <w:spacing w:after="0" w:line="196" w:lineRule="exact"/>
              <w:rPr>
                <w:sz w:val="20"/>
                <w:szCs w:val="20"/>
                <w:color w:val="auto"/>
              </w:rPr>
            </w:pPr>
            <w:r>
              <w:rPr>
                <w:rFonts w:ascii="Arial" w:cs="Arial" w:eastAsia="Arial" w:hAnsi="Arial"/>
                <w:sz w:val="18"/>
                <w:szCs w:val="18"/>
                <w:color w:val="3F3F3F"/>
              </w:rPr>
              <w:t>Stephen P. Ewald (9)</w:t>
            </w:r>
          </w:p>
        </w:tc>
        <w:tc>
          <w:tcPr>
            <w:tcW w:w="2780" w:type="dxa"/>
            <w:vAlign w:val="bottom"/>
            <w:tcBorders>
              <w:bottom w:val="single" w:sz="8" w:color="A5A5A5"/>
            </w:tcBorders>
          </w:tcPr>
          <w:p>
            <w:pPr>
              <w:jc w:val="right"/>
              <w:ind w:right="191"/>
              <w:spacing w:after="0" w:line="196" w:lineRule="exact"/>
              <w:rPr>
                <w:sz w:val="20"/>
                <w:szCs w:val="20"/>
                <w:color w:val="auto"/>
              </w:rPr>
            </w:pPr>
            <w:r>
              <w:rPr>
                <w:rFonts w:ascii="Arial" w:cs="Arial" w:eastAsia="Arial" w:hAnsi="Arial"/>
                <w:sz w:val="18"/>
                <w:szCs w:val="18"/>
                <w:color w:val="3F3F3F"/>
              </w:rPr>
              <w:t>39,868</w:t>
            </w:r>
          </w:p>
        </w:tc>
        <w:tc>
          <w:tcPr>
            <w:tcW w:w="1500" w:type="dxa"/>
            <w:vAlign w:val="bottom"/>
            <w:tcBorders>
              <w:bottom w:val="single" w:sz="8" w:color="A5A5A5"/>
            </w:tcBorders>
          </w:tcPr>
          <w:p>
            <w:pPr>
              <w:jc w:val="right"/>
              <w:ind w:right="131"/>
              <w:spacing w:after="0" w:line="196" w:lineRule="exact"/>
              <w:rPr>
                <w:sz w:val="20"/>
                <w:szCs w:val="20"/>
                <w:color w:val="auto"/>
              </w:rPr>
            </w:pPr>
            <w:r>
              <w:rPr>
                <w:rFonts w:ascii="Arial" w:cs="Arial" w:eastAsia="Arial" w:hAnsi="Arial"/>
                <w:sz w:val="18"/>
                <w:szCs w:val="18"/>
                <w:color w:val="3F3F3F"/>
              </w:rPr>
              <w:t>*</w:t>
            </w:r>
          </w:p>
        </w:tc>
      </w:tr>
      <w:tr>
        <w:trPr>
          <w:trHeight w:val="290"/>
        </w:trPr>
        <w:tc>
          <w:tcPr>
            <w:tcW w:w="6740" w:type="dxa"/>
            <w:vAlign w:val="bottom"/>
            <w:tcBorders>
              <w:bottom w:val="single" w:sz="8" w:color="A5A5A5"/>
            </w:tcBorders>
            <w:gridSpan w:val="2"/>
          </w:tcPr>
          <w:p>
            <w:pPr>
              <w:spacing w:after="0"/>
              <w:rPr>
                <w:sz w:val="20"/>
                <w:szCs w:val="20"/>
                <w:color w:val="auto"/>
              </w:rPr>
            </w:pPr>
            <w:r>
              <w:rPr>
                <w:rFonts w:ascii="Arial" w:cs="Arial" w:eastAsia="Arial" w:hAnsi="Arial"/>
                <w:sz w:val="18"/>
                <w:szCs w:val="18"/>
                <w:b w:val="1"/>
                <w:bCs w:val="1"/>
                <w:i w:val="1"/>
                <w:iCs w:val="1"/>
                <w:color w:val="006098"/>
              </w:rPr>
              <w:t>Non-Employee Directors</w:t>
            </w:r>
          </w:p>
        </w:tc>
        <w:tc>
          <w:tcPr>
            <w:tcW w:w="2780" w:type="dxa"/>
            <w:vAlign w:val="bottom"/>
            <w:tcBorders>
              <w:bottom w:val="single" w:sz="8" w:color="A5A5A5"/>
            </w:tcBorders>
          </w:tcPr>
          <w:p>
            <w:pPr>
              <w:spacing w:after="0"/>
              <w:rPr>
                <w:sz w:val="24"/>
                <w:szCs w:val="24"/>
                <w:color w:val="auto"/>
              </w:rPr>
            </w:pPr>
          </w:p>
        </w:tc>
        <w:tc>
          <w:tcPr>
            <w:tcW w:w="1500" w:type="dxa"/>
            <w:vAlign w:val="bottom"/>
            <w:tcBorders>
              <w:bottom w:val="single" w:sz="8" w:color="A5A5A5"/>
            </w:tcBorders>
          </w:tcPr>
          <w:p>
            <w:pPr>
              <w:spacing w:after="0"/>
              <w:rPr>
                <w:sz w:val="24"/>
                <w:szCs w:val="24"/>
                <w:color w:val="auto"/>
              </w:rPr>
            </w:pPr>
          </w:p>
        </w:tc>
      </w:tr>
      <w:tr>
        <w:trPr>
          <w:trHeight w:val="196"/>
        </w:trPr>
        <w:tc>
          <w:tcPr>
            <w:tcW w:w="6740" w:type="dxa"/>
            <w:vAlign w:val="bottom"/>
            <w:tcBorders>
              <w:bottom w:val="single" w:sz="8" w:color="A5A5A5"/>
            </w:tcBorders>
            <w:gridSpan w:val="2"/>
          </w:tcPr>
          <w:p>
            <w:pPr>
              <w:spacing w:after="0" w:line="196" w:lineRule="exact"/>
              <w:rPr>
                <w:sz w:val="20"/>
                <w:szCs w:val="20"/>
                <w:color w:val="auto"/>
              </w:rPr>
            </w:pPr>
            <w:r>
              <w:rPr>
                <w:rFonts w:ascii="Arial" w:cs="Arial" w:eastAsia="Arial" w:hAnsi="Arial"/>
                <w:sz w:val="18"/>
                <w:szCs w:val="18"/>
                <w:color w:val="3F3F3F"/>
              </w:rPr>
              <w:t>Brian T. Carley (10)</w:t>
            </w:r>
          </w:p>
        </w:tc>
        <w:tc>
          <w:tcPr>
            <w:tcW w:w="2780" w:type="dxa"/>
            <w:vAlign w:val="bottom"/>
            <w:tcBorders>
              <w:bottom w:val="single" w:sz="8" w:color="A5A5A5"/>
            </w:tcBorders>
          </w:tcPr>
          <w:p>
            <w:pPr>
              <w:jc w:val="right"/>
              <w:ind w:right="191"/>
              <w:spacing w:after="0" w:line="196" w:lineRule="exact"/>
              <w:rPr>
                <w:sz w:val="20"/>
                <w:szCs w:val="20"/>
                <w:color w:val="auto"/>
              </w:rPr>
            </w:pPr>
            <w:r>
              <w:rPr>
                <w:rFonts w:ascii="Arial" w:cs="Arial" w:eastAsia="Arial" w:hAnsi="Arial"/>
                <w:sz w:val="18"/>
                <w:szCs w:val="18"/>
                <w:color w:val="3F3F3F"/>
              </w:rPr>
              <w:t>41,461</w:t>
            </w:r>
          </w:p>
        </w:tc>
        <w:tc>
          <w:tcPr>
            <w:tcW w:w="1500" w:type="dxa"/>
            <w:vAlign w:val="bottom"/>
            <w:tcBorders>
              <w:bottom w:val="single" w:sz="8" w:color="A5A5A5"/>
            </w:tcBorders>
          </w:tcPr>
          <w:p>
            <w:pPr>
              <w:jc w:val="right"/>
              <w:ind w:right="131"/>
              <w:spacing w:after="0" w:line="196" w:lineRule="exact"/>
              <w:rPr>
                <w:sz w:val="20"/>
                <w:szCs w:val="20"/>
                <w:color w:val="auto"/>
              </w:rPr>
            </w:pPr>
            <w:r>
              <w:rPr>
                <w:rFonts w:ascii="Arial" w:cs="Arial" w:eastAsia="Arial" w:hAnsi="Arial"/>
                <w:sz w:val="18"/>
                <w:szCs w:val="18"/>
                <w:color w:val="3F3F3F"/>
              </w:rPr>
              <w:t>*</w:t>
            </w:r>
          </w:p>
        </w:tc>
      </w:tr>
      <w:tr>
        <w:trPr>
          <w:trHeight w:val="196"/>
        </w:trPr>
        <w:tc>
          <w:tcPr>
            <w:tcW w:w="6740" w:type="dxa"/>
            <w:vAlign w:val="bottom"/>
            <w:tcBorders>
              <w:bottom w:val="single" w:sz="8" w:color="A5A5A5"/>
            </w:tcBorders>
            <w:gridSpan w:val="2"/>
          </w:tcPr>
          <w:p>
            <w:pPr>
              <w:spacing w:after="0" w:line="196" w:lineRule="exact"/>
              <w:rPr>
                <w:sz w:val="20"/>
                <w:szCs w:val="20"/>
                <w:color w:val="auto"/>
              </w:rPr>
            </w:pPr>
            <w:r>
              <w:rPr>
                <w:rFonts w:ascii="Arial" w:cs="Arial" w:eastAsia="Arial" w:hAnsi="Arial"/>
                <w:sz w:val="18"/>
                <w:szCs w:val="18"/>
                <w:color w:val="3F3F3F"/>
              </w:rPr>
              <w:t>Fred B. Davenport, Jr. (11)</w:t>
            </w:r>
          </w:p>
        </w:tc>
        <w:tc>
          <w:tcPr>
            <w:tcW w:w="2780" w:type="dxa"/>
            <w:vAlign w:val="bottom"/>
            <w:tcBorders>
              <w:bottom w:val="single" w:sz="8" w:color="A5A5A5"/>
            </w:tcBorders>
          </w:tcPr>
          <w:p>
            <w:pPr>
              <w:jc w:val="right"/>
              <w:ind w:right="191"/>
              <w:spacing w:after="0" w:line="196" w:lineRule="exact"/>
              <w:rPr>
                <w:sz w:val="20"/>
                <w:szCs w:val="20"/>
                <w:color w:val="auto"/>
              </w:rPr>
            </w:pPr>
            <w:r>
              <w:rPr>
                <w:rFonts w:ascii="Arial" w:cs="Arial" w:eastAsia="Arial" w:hAnsi="Arial"/>
                <w:sz w:val="18"/>
                <w:szCs w:val="18"/>
                <w:color w:val="3F3F3F"/>
              </w:rPr>
              <w:t>18,862</w:t>
            </w:r>
          </w:p>
        </w:tc>
        <w:tc>
          <w:tcPr>
            <w:tcW w:w="1500" w:type="dxa"/>
            <w:vAlign w:val="bottom"/>
            <w:tcBorders>
              <w:bottom w:val="single" w:sz="8" w:color="A5A5A5"/>
            </w:tcBorders>
          </w:tcPr>
          <w:p>
            <w:pPr>
              <w:jc w:val="right"/>
              <w:ind w:right="131"/>
              <w:spacing w:after="0" w:line="196" w:lineRule="exact"/>
              <w:rPr>
                <w:sz w:val="20"/>
                <w:szCs w:val="20"/>
                <w:color w:val="auto"/>
              </w:rPr>
            </w:pPr>
            <w:r>
              <w:rPr>
                <w:rFonts w:ascii="Arial" w:cs="Arial" w:eastAsia="Arial" w:hAnsi="Arial"/>
                <w:sz w:val="18"/>
                <w:szCs w:val="18"/>
                <w:color w:val="3F3F3F"/>
              </w:rPr>
              <w:t>*</w:t>
            </w:r>
          </w:p>
        </w:tc>
      </w:tr>
      <w:tr>
        <w:trPr>
          <w:trHeight w:val="196"/>
        </w:trPr>
        <w:tc>
          <w:tcPr>
            <w:tcW w:w="6740" w:type="dxa"/>
            <w:vAlign w:val="bottom"/>
            <w:tcBorders>
              <w:bottom w:val="single" w:sz="8" w:color="A5A5A5"/>
            </w:tcBorders>
            <w:gridSpan w:val="2"/>
          </w:tcPr>
          <w:p>
            <w:pPr>
              <w:spacing w:after="0" w:line="196" w:lineRule="exact"/>
              <w:rPr>
                <w:sz w:val="20"/>
                <w:szCs w:val="20"/>
                <w:color w:val="auto"/>
              </w:rPr>
            </w:pPr>
            <w:r>
              <w:rPr>
                <w:rFonts w:ascii="Arial" w:cs="Arial" w:eastAsia="Arial" w:hAnsi="Arial"/>
                <w:sz w:val="18"/>
                <w:szCs w:val="18"/>
                <w:color w:val="3F3F3F"/>
              </w:rPr>
              <w:t>Ashley M. Keating (10)</w:t>
            </w:r>
          </w:p>
        </w:tc>
        <w:tc>
          <w:tcPr>
            <w:tcW w:w="2780" w:type="dxa"/>
            <w:vAlign w:val="bottom"/>
            <w:tcBorders>
              <w:bottom w:val="single" w:sz="8" w:color="A5A5A5"/>
            </w:tcBorders>
          </w:tcPr>
          <w:p>
            <w:pPr>
              <w:jc w:val="right"/>
              <w:ind w:right="191"/>
              <w:spacing w:after="0" w:line="196" w:lineRule="exact"/>
              <w:rPr>
                <w:sz w:val="20"/>
                <w:szCs w:val="20"/>
                <w:color w:val="auto"/>
              </w:rPr>
            </w:pPr>
            <w:r>
              <w:rPr>
                <w:rFonts w:ascii="Arial" w:cs="Arial" w:eastAsia="Arial" w:hAnsi="Arial"/>
                <w:sz w:val="18"/>
                <w:szCs w:val="18"/>
                <w:color w:val="3F3F3F"/>
              </w:rPr>
              <w:t>7,152</w:t>
            </w:r>
          </w:p>
        </w:tc>
        <w:tc>
          <w:tcPr>
            <w:tcW w:w="1500" w:type="dxa"/>
            <w:vAlign w:val="bottom"/>
            <w:tcBorders>
              <w:bottom w:val="single" w:sz="8" w:color="A5A5A5"/>
            </w:tcBorders>
          </w:tcPr>
          <w:p>
            <w:pPr>
              <w:jc w:val="right"/>
              <w:ind w:right="131"/>
              <w:spacing w:after="0" w:line="196" w:lineRule="exact"/>
              <w:rPr>
                <w:sz w:val="20"/>
                <w:szCs w:val="20"/>
                <w:color w:val="auto"/>
              </w:rPr>
            </w:pPr>
            <w:r>
              <w:rPr>
                <w:rFonts w:ascii="Arial" w:cs="Arial" w:eastAsia="Arial" w:hAnsi="Arial"/>
                <w:sz w:val="18"/>
                <w:szCs w:val="18"/>
                <w:color w:val="3F3F3F"/>
              </w:rPr>
              <w:t>*</w:t>
            </w:r>
          </w:p>
        </w:tc>
      </w:tr>
      <w:tr>
        <w:trPr>
          <w:trHeight w:val="196"/>
        </w:trPr>
        <w:tc>
          <w:tcPr>
            <w:tcW w:w="6740" w:type="dxa"/>
            <w:vAlign w:val="bottom"/>
            <w:tcBorders>
              <w:bottom w:val="single" w:sz="8" w:color="A5A5A5"/>
            </w:tcBorders>
            <w:gridSpan w:val="2"/>
          </w:tcPr>
          <w:p>
            <w:pPr>
              <w:spacing w:after="0" w:line="196" w:lineRule="exact"/>
              <w:rPr>
                <w:sz w:val="20"/>
                <w:szCs w:val="20"/>
                <w:color w:val="auto"/>
              </w:rPr>
            </w:pPr>
            <w:r>
              <w:rPr>
                <w:rFonts w:ascii="Arial" w:cs="Arial" w:eastAsia="Arial" w:hAnsi="Arial"/>
                <w:sz w:val="18"/>
                <w:szCs w:val="18"/>
                <w:color w:val="3F3F3F"/>
              </w:rPr>
              <w:t>Thomas C. King (12)</w:t>
            </w:r>
          </w:p>
        </w:tc>
        <w:tc>
          <w:tcPr>
            <w:tcW w:w="2780" w:type="dxa"/>
            <w:vAlign w:val="bottom"/>
            <w:tcBorders>
              <w:bottom w:val="single" w:sz="8" w:color="A5A5A5"/>
            </w:tcBorders>
          </w:tcPr>
          <w:p>
            <w:pPr>
              <w:jc w:val="right"/>
              <w:ind w:right="191"/>
              <w:spacing w:after="0" w:line="196" w:lineRule="exact"/>
              <w:rPr>
                <w:sz w:val="20"/>
                <w:szCs w:val="20"/>
                <w:color w:val="auto"/>
              </w:rPr>
            </w:pPr>
            <w:r>
              <w:rPr>
                <w:rFonts w:ascii="Arial" w:cs="Arial" w:eastAsia="Arial" w:hAnsi="Arial"/>
                <w:sz w:val="18"/>
                <w:szCs w:val="18"/>
                <w:color w:val="3F3F3F"/>
              </w:rPr>
              <w:t>8,299</w:t>
            </w:r>
          </w:p>
        </w:tc>
        <w:tc>
          <w:tcPr>
            <w:tcW w:w="1500" w:type="dxa"/>
            <w:vAlign w:val="bottom"/>
            <w:tcBorders>
              <w:bottom w:val="single" w:sz="8" w:color="A5A5A5"/>
            </w:tcBorders>
          </w:tcPr>
          <w:p>
            <w:pPr>
              <w:jc w:val="right"/>
              <w:ind w:right="131"/>
              <w:spacing w:after="0" w:line="196" w:lineRule="exact"/>
              <w:rPr>
                <w:sz w:val="20"/>
                <w:szCs w:val="20"/>
                <w:color w:val="auto"/>
              </w:rPr>
            </w:pPr>
            <w:r>
              <w:rPr>
                <w:rFonts w:ascii="Arial" w:cs="Arial" w:eastAsia="Arial" w:hAnsi="Arial"/>
                <w:sz w:val="18"/>
                <w:szCs w:val="18"/>
                <w:color w:val="3F3F3F"/>
              </w:rPr>
              <w:t>*</w:t>
            </w:r>
          </w:p>
        </w:tc>
      </w:tr>
      <w:tr>
        <w:trPr>
          <w:trHeight w:val="196"/>
        </w:trPr>
        <w:tc>
          <w:tcPr>
            <w:tcW w:w="6740" w:type="dxa"/>
            <w:vAlign w:val="bottom"/>
            <w:tcBorders>
              <w:bottom w:val="single" w:sz="8" w:color="A5A5A5"/>
            </w:tcBorders>
            <w:gridSpan w:val="2"/>
          </w:tcPr>
          <w:p>
            <w:pPr>
              <w:spacing w:after="0" w:line="196" w:lineRule="exact"/>
              <w:rPr>
                <w:sz w:val="20"/>
                <w:szCs w:val="20"/>
                <w:color w:val="auto"/>
              </w:rPr>
            </w:pPr>
            <w:r>
              <w:rPr>
                <w:rFonts w:ascii="Arial" w:cs="Arial" w:eastAsia="Arial" w:hAnsi="Arial"/>
                <w:sz w:val="18"/>
                <w:szCs w:val="18"/>
                <w:color w:val="3F3F3F"/>
              </w:rPr>
              <w:t>Robert O. Kraft (10)</w:t>
            </w:r>
          </w:p>
        </w:tc>
        <w:tc>
          <w:tcPr>
            <w:tcW w:w="2780" w:type="dxa"/>
            <w:vAlign w:val="bottom"/>
            <w:tcBorders>
              <w:bottom w:val="single" w:sz="8" w:color="A5A5A5"/>
            </w:tcBorders>
          </w:tcPr>
          <w:p>
            <w:pPr>
              <w:jc w:val="right"/>
              <w:ind w:right="191"/>
              <w:spacing w:after="0" w:line="196" w:lineRule="exact"/>
              <w:rPr>
                <w:sz w:val="20"/>
                <w:szCs w:val="20"/>
                <w:color w:val="auto"/>
              </w:rPr>
            </w:pPr>
            <w:r>
              <w:rPr>
                <w:rFonts w:ascii="Arial" w:cs="Arial" w:eastAsia="Arial" w:hAnsi="Arial"/>
                <w:sz w:val="18"/>
                <w:szCs w:val="18"/>
                <w:color w:val="3F3F3F"/>
              </w:rPr>
              <w:t>43,691</w:t>
            </w:r>
          </w:p>
        </w:tc>
        <w:tc>
          <w:tcPr>
            <w:tcW w:w="1500" w:type="dxa"/>
            <w:vAlign w:val="bottom"/>
            <w:tcBorders>
              <w:bottom w:val="single" w:sz="8" w:color="A5A5A5"/>
            </w:tcBorders>
          </w:tcPr>
          <w:p>
            <w:pPr>
              <w:jc w:val="right"/>
              <w:ind w:right="131"/>
              <w:spacing w:after="0" w:line="196" w:lineRule="exact"/>
              <w:rPr>
                <w:sz w:val="20"/>
                <w:szCs w:val="20"/>
                <w:color w:val="auto"/>
              </w:rPr>
            </w:pPr>
            <w:r>
              <w:rPr>
                <w:rFonts w:ascii="Arial" w:cs="Arial" w:eastAsia="Arial" w:hAnsi="Arial"/>
                <w:sz w:val="18"/>
                <w:szCs w:val="18"/>
                <w:color w:val="3F3F3F"/>
              </w:rPr>
              <w:t>*</w:t>
            </w:r>
          </w:p>
        </w:tc>
      </w:tr>
      <w:tr>
        <w:trPr>
          <w:trHeight w:val="196"/>
        </w:trPr>
        <w:tc>
          <w:tcPr>
            <w:tcW w:w="6740" w:type="dxa"/>
            <w:vAlign w:val="bottom"/>
            <w:tcBorders>
              <w:bottom w:val="single" w:sz="8" w:color="A5A5A5"/>
            </w:tcBorders>
            <w:gridSpan w:val="2"/>
          </w:tcPr>
          <w:p>
            <w:pPr>
              <w:spacing w:after="0" w:line="196" w:lineRule="exact"/>
              <w:rPr>
                <w:sz w:val="20"/>
                <w:szCs w:val="20"/>
                <w:color w:val="auto"/>
              </w:rPr>
            </w:pPr>
            <w:r>
              <w:rPr>
                <w:rFonts w:ascii="Arial" w:cs="Arial" w:eastAsia="Arial" w:hAnsi="Arial"/>
                <w:sz w:val="18"/>
                <w:szCs w:val="18"/>
                <w:color w:val="3F3F3F"/>
              </w:rPr>
              <w:t>Cornelius P. McCarthy III (10)</w:t>
            </w:r>
          </w:p>
        </w:tc>
        <w:tc>
          <w:tcPr>
            <w:tcW w:w="2780" w:type="dxa"/>
            <w:vAlign w:val="bottom"/>
            <w:tcBorders>
              <w:bottom w:val="single" w:sz="8" w:color="A5A5A5"/>
            </w:tcBorders>
          </w:tcPr>
          <w:p>
            <w:pPr>
              <w:jc w:val="right"/>
              <w:ind w:right="191"/>
              <w:spacing w:after="0" w:line="196" w:lineRule="exact"/>
              <w:rPr>
                <w:sz w:val="20"/>
                <w:szCs w:val="20"/>
                <w:color w:val="auto"/>
              </w:rPr>
            </w:pPr>
            <w:r>
              <w:rPr>
                <w:rFonts w:ascii="Arial" w:cs="Arial" w:eastAsia="Arial" w:hAnsi="Arial"/>
                <w:sz w:val="18"/>
                <w:szCs w:val="18"/>
                <w:color w:val="3F3F3F"/>
              </w:rPr>
              <w:t>16,862</w:t>
            </w:r>
          </w:p>
        </w:tc>
        <w:tc>
          <w:tcPr>
            <w:tcW w:w="1500" w:type="dxa"/>
            <w:vAlign w:val="bottom"/>
            <w:tcBorders>
              <w:bottom w:val="single" w:sz="8" w:color="A5A5A5"/>
            </w:tcBorders>
          </w:tcPr>
          <w:p>
            <w:pPr>
              <w:jc w:val="right"/>
              <w:ind w:right="131"/>
              <w:spacing w:after="0" w:line="196" w:lineRule="exact"/>
              <w:rPr>
                <w:sz w:val="20"/>
                <w:szCs w:val="20"/>
                <w:color w:val="auto"/>
              </w:rPr>
            </w:pPr>
            <w:r>
              <w:rPr>
                <w:rFonts w:ascii="Arial" w:cs="Arial" w:eastAsia="Arial" w:hAnsi="Arial"/>
                <w:sz w:val="18"/>
                <w:szCs w:val="18"/>
                <w:color w:val="3F3F3F"/>
              </w:rPr>
              <w:t>*</w:t>
            </w:r>
          </w:p>
        </w:tc>
      </w:tr>
      <w:tr>
        <w:trPr>
          <w:trHeight w:val="196"/>
        </w:trPr>
        <w:tc>
          <w:tcPr>
            <w:tcW w:w="6740" w:type="dxa"/>
            <w:vAlign w:val="bottom"/>
            <w:tcBorders>
              <w:bottom w:val="single" w:sz="8" w:color="A5A5A5"/>
            </w:tcBorders>
            <w:gridSpan w:val="2"/>
          </w:tcPr>
          <w:p>
            <w:pPr>
              <w:spacing w:after="0" w:line="196" w:lineRule="exact"/>
              <w:rPr>
                <w:sz w:val="20"/>
                <w:szCs w:val="20"/>
                <w:color w:val="auto"/>
              </w:rPr>
            </w:pPr>
            <w:r>
              <w:rPr>
                <w:rFonts w:ascii="Arial" w:cs="Arial" w:eastAsia="Arial" w:hAnsi="Arial"/>
                <w:sz w:val="18"/>
                <w:szCs w:val="18"/>
                <w:color w:val="3F3F3F"/>
              </w:rPr>
              <w:t>All executive officers and directors as a group (11 persons) (13)</w:t>
            </w:r>
          </w:p>
        </w:tc>
        <w:tc>
          <w:tcPr>
            <w:tcW w:w="2780" w:type="dxa"/>
            <w:vAlign w:val="bottom"/>
            <w:tcBorders>
              <w:bottom w:val="single" w:sz="8" w:color="A5A5A5"/>
            </w:tcBorders>
          </w:tcPr>
          <w:p>
            <w:pPr>
              <w:jc w:val="right"/>
              <w:ind w:right="191"/>
              <w:spacing w:after="0" w:line="196" w:lineRule="exact"/>
              <w:rPr>
                <w:sz w:val="20"/>
                <w:szCs w:val="20"/>
                <w:color w:val="auto"/>
              </w:rPr>
            </w:pPr>
            <w:r>
              <w:rPr>
                <w:rFonts w:ascii="Arial" w:cs="Arial" w:eastAsia="Arial" w:hAnsi="Arial"/>
                <w:sz w:val="18"/>
                <w:szCs w:val="18"/>
                <w:color w:val="3F3F3F"/>
              </w:rPr>
              <w:t>7,072,271</w:t>
            </w:r>
          </w:p>
        </w:tc>
        <w:tc>
          <w:tcPr>
            <w:tcW w:w="1500" w:type="dxa"/>
            <w:vAlign w:val="bottom"/>
            <w:tcBorders>
              <w:bottom w:val="single" w:sz="8" w:color="A5A5A5"/>
            </w:tcBorders>
          </w:tcPr>
          <w:p>
            <w:pPr>
              <w:jc w:val="right"/>
              <w:spacing w:after="0" w:line="196" w:lineRule="exact"/>
              <w:rPr>
                <w:sz w:val="20"/>
                <w:szCs w:val="20"/>
                <w:color w:val="auto"/>
              </w:rPr>
            </w:pPr>
            <w:r>
              <w:rPr>
                <w:rFonts w:ascii="Arial" w:cs="Arial" w:eastAsia="Arial" w:hAnsi="Arial"/>
                <w:sz w:val="18"/>
                <w:szCs w:val="18"/>
                <w:color w:val="3F3F3F"/>
              </w:rPr>
              <w:t>20.6%</w:t>
            </w:r>
          </w:p>
        </w:tc>
      </w:tr>
      <w:tr>
        <w:trPr>
          <w:trHeight w:val="335"/>
        </w:trPr>
        <w:tc>
          <w:tcPr>
            <w:tcW w:w="300" w:type="dxa"/>
            <w:vAlign w:val="bottom"/>
          </w:tcPr>
          <w:p>
            <w:pPr>
              <w:spacing w:after="0"/>
              <w:rPr>
                <w:sz w:val="20"/>
                <w:szCs w:val="20"/>
                <w:color w:val="auto"/>
              </w:rPr>
            </w:pPr>
            <w:r>
              <w:rPr>
                <w:rFonts w:ascii="Arial" w:cs="Arial" w:eastAsia="Arial" w:hAnsi="Arial"/>
                <w:sz w:val="18"/>
                <w:szCs w:val="18"/>
                <w:color w:val="3F3F3F"/>
              </w:rPr>
              <w:t>*</w:t>
            </w:r>
          </w:p>
        </w:tc>
        <w:tc>
          <w:tcPr>
            <w:tcW w:w="6440" w:type="dxa"/>
            <w:vAlign w:val="bottom"/>
          </w:tcPr>
          <w:p>
            <w:pPr>
              <w:ind w:left="240"/>
              <w:spacing w:after="0"/>
              <w:rPr>
                <w:sz w:val="20"/>
                <w:szCs w:val="20"/>
                <w:color w:val="auto"/>
              </w:rPr>
            </w:pPr>
            <w:r>
              <w:rPr>
                <w:rFonts w:ascii="Arial" w:cs="Arial" w:eastAsia="Arial" w:hAnsi="Arial"/>
                <w:sz w:val="18"/>
                <w:szCs w:val="18"/>
                <w:color w:val="3F3F3F"/>
              </w:rPr>
              <w:t>Less than one percent.</w:t>
            </w:r>
          </w:p>
        </w:tc>
        <w:tc>
          <w:tcPr>
            <w:tcW w:w="27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85" w:lineRule="exact"/>
        <w:rPr>
          <w:sz w:val="20"/>
          <w:szCs w:val="20"/>
          <w:color w:val="auto"/>
        </w:rPr>
      </w:pPr>
    </w:p>
    <w:p>
      <w:pPr>
        <w:ind w:left="660" w:right="680" w:hanging="544"/>
        <w:spacing w:after="0" w:line="271" w:lineRule="auto"/>
        <w:tabs>
          <w:tab w:leader="none" w:pos="660" w:val="left"/>
        </w:tabs>
        <w:numPr>
          <w:ilvl w:val="0"/>
          <w:numId w:val="26"/>
        </w:numPr>
        <w:rPr>
          <w:rFonts w:ascii="Arial" w:cs="Arial" w:eastAsia="Arial" w:hAnsi="Arial"/>
          <w:sz w:val="18"/>
          <w:szCs w:val="18"/>
          <w:color w:val="3F3F3F"/>
        </w:rPr>
      </w:pPr>
      <w:r>
        <w:rPr>
          <w:rFonts w:ascii="Arial" w:cs="Arial" w:eastAsia="Arial" w:hAnsi="Arial"/>
          <w:sz w:val="18"/>
          <w:szCs w:val="18"/>
          <w:color w:val="3F3F3F"/>
        </w:rPr>
        <w:t>August J. Troendle, as the sole manager and controlling unit holder of Medpace Investors, LLC (“MPI”), has sole voting and investment control with respect to these shares.</w:t>
      </w:r>
    </w:p>
    <w:p>
      <w:pPr>
        <w:spacing w:after="0" w:line="59" w:lineRule="exact"/>
        <w:rPr>
          <w:rFonts w:ascii="Arial" w:cs="Arial" w:eastAsia="Arial" w:hAnsi="Arial"/>
          <w:sz w:val="18"/>
          <w:szCs w:val="18"/>
          <w:color w:val="3F3F3F"/>
        </w:rPr>
      </w:pPr>
    </w:p>
    <w:p>
      <w:pPr>
        <w:jc w:val="both"/>
        <w:ind w:left="660" w:right="180" w:hanging="544"/>
        <w:spacing w:after="0" w:line="253" w:lineRule="auto"/>
        <w:tabs>
          <w:tab w:leader="none" w:pos="660" w:val="left"/>
        </w:tabs>
        <w:numPr>
          <w:ilvl w:val="0"/>
          <w:numId w:val="26"/>
        </w:numPr>
        <w:rPr>
          <w:rFonts w:ascii="Arial" w:cs="Arial" w:eastAsia="Arial" w:hAnsi="Arial"/>
          <w:sz w:val="18"/>
          <w:szCs w:val="18"/>
          <w:color w:val="3F3F3F"/>
        </w:rPr>
      </w:pPr>
      <w:r>
        <w:rPr>
          <w:rFonts w:ascii="Arial" w:cs="Arial" w:eastAsia="Arial" w:hAnsi="Arial"/>
          <w:sz w:val="18"/>
          <w:szCs w:val="18"/>
          <w:color w:val="3F3F3F"/>
        </w:rPr>
        <w:t>Based solely on information contained in a Schedule 13G amendment filed with the SEC on January 27, 2022 by BlackRock, Inc. reporting sole voting power of 3,675,267 shares, shared voting power of 0 shares, sole dispositive power of 3,757,573 shares and shared dispositive power of 0 shares. The address for BlackRock, Inc. is 55 East 52nd Street, New York, New York 10055.</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F3F3F"/>
        </w:rPr>
        <w:t>47</w:t>
      </w:r>
    </w:p>
    <w:p>
      <w:pPr>
        <w:sectPr>
          <w:pgSz w:w="11900" w:h="16838" w:orient="portrait"/>
          <w:cols w:equalWidth="0" w:num="1">
            <w:col w:w="11140"/>
          </w:cols>
          <w:pgMar w:left="320" w:top="455" w:right="4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SECURITY OWNERSHIP OF CERTAIN BENEFICIAL OWNERS AND MANAGEMENT</w:t>
      </w:r>
    </w:p>
    <w:p>
      <w:pPr>
        <w:spacing w:after="0" w:line="144" w:lineRule="exact"/>
        <w:rPr>
          <w:sz w:val="20"/>
          <w:szCs w:val="20"/>
          <w:color w:val="auto"/>
        </w:rPr>
      </w:pPr>
    </w:p>
    <w:p>
      <w:pPr>
        <w:ind w:left="660" w:right="240" w:hanging="544"/>
        <w:spacing w:after="0" w:line="247" w:lineRule="auto"/>
        <w:tabs>
          <w:tab w:leader="none" w:pos="660" w:val="left"/>
        </w:tabs>
        <w:numPr>
          <w:ilvl w:val="0"/>
          <w:numId w:val="27"/>
        </w:numPr>
        <w:rPr>
          <w:rFonts w:ascii="Arial" w:cs="Arial" w:eastAsia="Arial" w:hAnsi="Arial"/>
          <w:sz w:val="18"/>
          <w:szCs w:val="18"/>
          <w:color w:val="3F3F3F"/>
        </w:rPr>
      </w:pPr>
      <w:r>
        <w:rPr>
          <w:rFonts w:ascii="Arial" w:cs="Arial" w:eastAsia="Arial" w:hAnsi="Arial"/>
          <w:sz w:val="18"/>
          <w:szCs w:val="18"/>
          <w:color w:val="3F3F3F"/>
        </w:rPr>
        <w:t>Based solely on information contained in a Schedule 13G amendment filed with the SEC on February 10, 2022 by The Vanguard Group reporting sole voting power of 0 shares, shared voting power of 55,112 shares, sole dispositive power of 3,088,848 shares and shared dispositive power of 80,371 shares. The address for The Vanguard Group is 100 Vanguard Blvd., Malvern, Pennsylvania 19355.</w:t>
      </w:r>
    </w:p>
    <w:p>
      <w:pPr>
        <w:spacing w:after="0" w:line="79" w:lineRule="exact"/>
        <w:rPr>
          <w:rFonts w:ascii="Arial" w:cs="Arial" w:eastAsia="Arial" w:hAnsi="Arial"/>
          <w:sz w:val="18"/>
          <w:szCs w:val="18"/>
          <w:color w:val="3F3F3F"/>
        </w:rPr>
      </w:pPr>
    </w:p>
    <w:p>
      <w:pPr>
        <w:ind w:left="660" w:hanging="544"/>
        <w:spacing w:after="0" w:line="247" w:lineRule="auto"/>
        <w:tabs>
          <w:tab w:leader="none" w:pos="660" w:val="left"/>
        </w:tabs>
        <w:numPr>
          <w:ilvl w:val="0"/>
          <w:numId w:val="27"/>
        </w:numPr>
        <w:rPr>
          <w:rFonts w:ascii="Arial" w:cs="Arial" w:eastAsia="Arial" w:hAnsi="Arial"/>
          <w:sz w:val="18"/>
          <w:szCs w:val="18"/>
          <w:color w:val="3F3F3F"/>
        </w:rPr>
      </w:pPr>
      <w:r>
        <w:rPr>
          <w:rFonts w:ascii="Arial" w:cs="Arial" w:eastAsia="Arial" w:hAnsi="Arial"/>
          <w:sz w:val="18"/>
          <w:szCs w:val="18"/>
          <w:color w:val="3F3F3F"/>
        </w:rPr>
        <w:t>Based solely on information contained in a Schedule 13G amendment filed with the SEC on February 11, 2022 by Wasatch Advisors, Inc. reporting sole voting power of 2,434,711 shares, shared voting power of 0 shares, sole dispositive power of 2,434,711 shares and shared dispositive power of 0 shares. The address for Wasatch Advisors, Inc. is 505 Wakara Way, Salt Lake City, Utah 84108.</w:t>
      </w:r>
    </w:p>
    <w:p>
      <w:pPr>
        <w:spacing w:after="0" w:line="79" w:lineRule="exact"/>
        <w:rPr>
          <w:rFonts w:ascii="Arial" w:cs="Arial" w:eastAsia="Arial" w:hAnsi="Arial"/>
          <w:sz w:val="18"/>
          <w:szCs w:val="18"/>
          <w:color w:val="3F3F3F"/>
        </w:rPr>
      </w:pPr>
    </w:p>
    <w:p>
      <w:pPr>
        <w:ind w:left="660" w:right="200" w:hanging="544"/>
        <w:spacing w:after="0" w:line="244" w:lineRule="auto"/>
        <w:tabs>
          <w:tab w:leader="none" w:pos="660" w:val="left"/>
        </w:tabs>
        <w:numPr>
          <w:ilvl w:val="0"/>
          <w:numId w:val="27"/>
        </w:numPr>
        <w:rPr>
          <w:rFonts w:ascii="Arial" w:cs="Arial" w:eastAsia="Arial" w:hAnsi="Arial"/>
          <w:sz w:val="18"/>
          <w:szCs w:val="18"/>
          <w:color w:val="3F3F3F"/>
        </w:rPr>
      </w:pPr>
      <w:r>
        <w:rPr>
          <w:rFonts w:ascii="Arial" w:cs="Arial" w:eastAsia="Arial" w:hAnsi="Arial"/>
          <w:sz w:val="18"/>
          <w:szCs w:val="18"/>
          <w:color w:val="3F3F3F"/>
        </w:rPr>
        <w:t>Includes 793,702 shares of Common Stock held by August J. Troendle in a revocable trust, 12,941 shares of restricted stock deemed to be outstanding and entitled to vote, 5,483,019 shares of Common Stock directly held by MPI and 356,446 shares of Common Stock which may be acquired upon the exercise of stock options which have vested or will vest within 60 days of March 24, 2022. Mr. Troendle, as the sole manager and controlling unit holder of MPI, has sole voting and investment control with respect to the shares held by MPI.</w:t>
      </w:r>
    </w:p>
    <w:p>
      <w:pPr>
        <w:spacing w:after="0" w:line="81" w:lineRule="exact"/>
        <w:rPr>
          <w:rFonts w:ascii="Arial" w:cs="Arial" w:eastAsia="Arial" w:hAnsi="Arial"/>
          <w:sz w:val="18"/>
          <w:szCs w:val="18"/>
          <w:color w:val="3F3F3F"/>
        </w:rPr>
      </w:pPr>
    </w:p>
    <w:p>
      <w:pPr>
        <w:ind w:left="660" w:right="120" w:hanging="544"/>
        <w:spacing w:after="0" w:line="253" w:lineRule="auto"/>
        <w:tabs>
          <w:tab w:leader="none" w:pos="660" w:val="left"/>
        </w:tabs>
        <w:numPr>
          <w:ilvl w:val="0"/>
          <w:numId w:val="27"/>
        </w:numPr>
        <w:rPr>
          <w:rFonts w:ascii="Arial" w:cs="Arial" w:eastAsia="Arial" w:hAnsi="Arial"/>
          <w:sz w:val="18"/>
          <w:szCs w:val="18"/>
          <w:color w:val="3F3F3F"/>
        </w:rPr>
      </w:pPr>
      <w:r>
        <w:rPr>
          <w:rFonts w:ascii="Arial" w:cs="Arial" w:eastAsia="Arial" w:hAnsi="Arial"/>
          <w:sz w:val="18"/>
          <w:szCs w:val="18"/>
          <w:color w:val="3F3F3F"/>
        </w:rPr>
        <w:t>Represents shares of Common Stock which may be acquired upon the exercise of stock options which have vested or will vest within 60 days of March 24, 2022. Does not include 5,000 unvested restricted stock units that do not have voting rights and will not vest within 60 days of March 24, 2022.</w:t>
      </w:r>
    </w:p>
    <w:p>
      <w:pPr>
        <w:spacing w:after="0" w:line="74" w:lineRule="exact"/>
        <w:rPr>
          <w:rFonts w:ascii="Arial" w:cs="Arial" w:eastAsia="Arial" w:hAnsi="Arial"/>
          <w:sz w:val="18"/>
          <w:szCs w:val="18"/>
          <w:color w:val="3F3F3F"/>
        </w:rPr>
      </w:pPr>
    </w:p>
    <w:p>
      <w:pPr>
        <w:ind w:left="660" w:right="120" w:hanging="544"/>
        <w:spacing w:after="0" w:line="253" w:lineRule="auto"/>
        <w:tabs>
          <w:tab w:leader="none" w:pos="660" w:val="left"/>
        </w:tabs>
        <w:numPr>
          <w:ilvl w:val="0"/>
          <w:numId w:val="27"/>
        </w:numPr>
        <w:rPr>
          <w:rFonts w:ascii="Arial" w:cs="Arial" w:eastAsia="Arial" w:hAnsi="Arial"/>
          <w:sz w:val="18"/>
          <w:szCs w:val="18"/>
          <w:color w:val="3F3F3F"/>
        </w:rPr>
      </w:pPr>
      <w:r>
        <w:rPr>
          <w:rFonts w:ascii="Arial" w:cs="Arial" w:eastAsia="Arial" w:hAnsi="Arial"/>
          <w:sz w:val="18"/>
          <w:szCs w:val="18"/>
          <w:color w:val="3F3F3F"/>
        </w:rPr>
        <w:t>Represents shares of Common Stock which may be acquired upon the exercise of stock options which have vested or will vest within 60 days of March 24, 2022. Does not include 6,382 unvested restricted stock units that do not have voting rights and will not vest within 60 days of March 24, 2022.</w:t>
      </w:r>
    </w:p>
    <w:p>
      <w:pPr>
        <w:spacing w:after="0" w:line="74" w:lineRule="exact"/>
        <w:rPr>
          <w:rFonts w:ascii="Arial" w:cs="Arial" w:eastAsia="Arial" w:hAnsi="Arial"/>
          <w:sz w:val="18"/>
          <w:szCs w:val="18"/>
          <w:color w:val="3F3F3F"/>
        </w:rPr>
      </w:pPr>
    </w:p>
    <w:p>
      <w:pPr>
        <w:ind w:left="660" w:right="180" w:hanging="544"/>
        <w:spacing w:after="0" w:line="253" w:lineRule="auto"/>
        <w:tabs>
          <w:tab w:leader="none" w:pos="660" w:val="left"/>
        </w:tabs>
        <w:numPr>
          <w:ilvl w:val="0"/>
          <w:numId w:val="27"/>
        </w:numPr>
        <w:rPr>
          <w:rFonts w:ascii="Arial" w:cs="Arial" w:eastAsia="Arial" w:hAnsi="Arial"/>
          <w:sz w:val="18"/>
          <w:szCs w:val="18"/>
          <w:color w:val="3F3F3F"/>
        </w:rPr>
      </w:pPr>
      <w:r>
        <w:rPr>
          <w:rFonts w:ascii="Arial" w:cs="Arial" w:eastAsia="Arial" w:hAnsi="Arial"/>
          <w:sz w:val="18"/>
          <w:szCs w:val="18"/>
          <w:color w:val="3F3F3F"/>
        </w:rPr>
        <w:t>Includes 12,400 shares of Common Stock, 7,783 shares of restricted stock deemed to be outstanding and entitled to vote and 115,984 shares of Common Stock which may be acquired upon the exercise of stock options which have vested or will vest within 60 days of March 24, 2022.</w:t>
      </w:r>
    </w:p>
    <w:p>
      <w:pPr>
        <w:spacing w:after="0" w:line="74" w:lineRule="exact"/>
        <w:rPr>
          <w:rFonts w:ascii="Arial" w:cs="Arial" w:eastAsia="Arial" w:hAnsi="Arial"/>
          <w:sz w:val="18"/>
          <w:szCs w:val="18"/>
          <w:color w:val="3F3F3F"/>
        </w:rPr>
      </w:pPr>
    </w:p>
    <w:p>
      <w:pPr>
        <w:jc w:val="both"/>
        <w:ind w:left="660" w:right="40" w:hanging="544"/>
        <w:spacing w:after="0" w:line="253" w:lineRule="auto"/>
        <w:tabs>
          <w:tab w:leader="none" w:pos="660" w:val="left"/>
        </w:tabs>
        <w:numPr>
          <w:ilvl w:val="0"/>
          <w:numId w:val="27"/>
        </w:numPr>
        <w:rPr>
          <w:rFonts w:ascii="Arial" w:cs="Arial" w:eastAsia="Arial" w:hAnsi="Arial"/>
          <w:sz w:val="18"/>
          <w:szCs w:val="18"/>
          <w:color w:val="3F3F3F"/>
        </w:rPr>
      </w:pPr>
      <w:r>
        <w:rPr>
          <w:rFonts w:ascii="Arial" w:cs="Arial" w:eastAsia="Arial" w:hAnsi="Arial"/>
          <w:sz w:val="18"/>
          <w:szCs w:val="18"/>
          <w:color w:val="3F3F3F"/>
        </w:rPr>
        <w:t>Includes 10,518 shares of Common Stock and 29,350 shares of Common Stock which may be acquired upon the exercise of stock options which have vested or will vest within 60 days of March 24, 2022. Does not include 3,336 unvested restricted stock units that do not have voting rights and will not vest within 60 days of March 24, 2022.</w:t>
      </w:r>
    </w:p>
    <w:p>
      <w:pPr>
        <w:spacing w:after="0" w:line="74" w:lineRule="exact"/>
        <w:rPr>
          <w:rFonts w:ascii="Arial" w:cs="Arial" w:eastAsia="Arial" w:hAnsi="Arial"/>
          <w:sz w:val="18"/>
          <w:szCs w:val="18"/>
          <w:color w:val="3F3F3F"/>
        </w:rPr>
      </w:pPr>
    </w:p>
    <w:p>
      <w:pPr>
        <w:ind w:left="660" w:right="420" w:hanging="544"/>
        <w:spacing w:after="0" w:line="271" w:lineRule="auto"/>
        <w:tabs>
          <w:tab w:leader="none" w:pos="660" w:val="left"/>
        </w:tabs>
        <w:numPr>
          <w:ilvl w:val="0"/>
          <w:numId w:val="27"/>
        </w:numPr>
        <w:rPr>
          <w:rFonts w:ascii="Arial" w:cs="Arial" w:eastAsia="Arial" w:hAnsi="Arial"/>
          <w:sz w:val="18"/>
          <w:szCs w:val="18"/>
          <w:color w:val="3F3F3F"/>
        </w:rPr>
      </w:pPr>
      <w:r>
        <w:rPr>
          <w:rFonts w:ascii="Arial" w:cs="Arial" w:eastAsia="Arial" w:hAnsi="Arial"/>
          <w:sz w:val="18"/>
          <w:szCs w:val="18"/>
          <w:color w:val="3F3F3F"/>
        </w:rPr>
        <w:t>Represents shares of Common Stock which may be acquired upon the exercise of stock options which have vested or will vest within 60 days of March 24, 2022.</w:t>
      </w:r>
    </w:p>
    <w:p>
      <w:pPr>
        <w:spacing w:after="0" w:line="59" w:lineRule="exact"/>
        <w:rPr>
          <w:rFonts w:ascii="Arial" w:cs="Arial" w:eastAsia="Arial" w:hAnsi="Arial"/>
          <w:sz w:val="18"/>
          <w:szCs w:val="18"/>
          <w:color w:val="3F3F3F"/>
        </w:rPr>
      </w:pPr>
    </w:p>
    <w:p>
      <w:pPr>
        <w:ind w:left="660" w:right="320" w:hanging="544"/>
        <w:spacing w:after="0" w:line="301" w:lineRule="auto"/>
        <w:tabs>
          <w:tab w:leader="none" w:pos="660" w:val="left"/>
        </w:tabs>
        <w:numPr>
          <w:ilvl w:val="0"/>
          <w:numId w:val="27"/>
        </w:numPr>
        <w:rPr>
          <w:rFonts w:ascii="Arial" w:cs="Arial" w:eastAsia="Arial" w:hAnsi="Arial"/>
          <w:sz w:val="17"/>
          <w:szCs w:val="17"/>
          <w:color w:val="3F3F3F"/>
        </w:rPr>
      </w:pPr>
      <w:r>
        <w:rPr>
          <w:rFonts w:ascii="Arial" w:cs="Arial" w:eastAsia="Arial" w:hAnsi="Arial"/>
          <w:sz w:val="17"/>
          <w:szCs w:val="17"/>
          <w:color w:val="3F3F3F"/>
        </w:rPr>
        <w:t>Includes 2,000 shares of Common Stock owned by a trust for the benefit of Mr. Davenport and 16,862 shares of Common Stock which may be acquired upon the exercise of stock options which have vested or will vest within 60 days of March 24, 2022.</w:t>
      </w:r>
    </w:p>
    <w:p>
      <w:pPr>
        <w:spacing w:after="0" w:line="36" w:lineRule="exact"/>
        <w:rPr>
          <w:rFonts w:ascii="Arial" w:cs="Arial" w:eastAsia="Arial" w:hAnsi="Arial"/>
          <w:sz w:val="17"/>
          <w:szCs w:val="17"/>
          <w:color w:val="3F3F3F"/>
        </w:rPr>
      </w:pPr>
    </w:p>
    <w:p>
      <w:pPr>
        <w:ind w:left="660" w:right="440" w:hanging="544"/>
        <w:spacing w:after="0" w:line="271" w:lineRule="auto"/>
        <w:tabs>
          <w:tab w:leader="none" w:pos="660" w:val="left"/>
        </w:tabs>
        <w:numPr>
          <w:ilvl w:val="0"/>
          <w:numId w:val="27"/>
        </w:numPr>
        <w:rPr>
          <w:rFonts w:ascii="Arial" w:cs="Arial" w:eastAsia="Arial" w:hAnsi="Arial"/>
          <w:sz w:val="18"/>
          <w:szCs w:val="18"/>
          <w:color w:val="3F3F3F"/>
        </w:rPr>
      </w:pPr>
      <w:r>
        <w:rPr>
          <w:rFonts w:ascii="Arial" w:cs="Arial" w:eastAsia="Arial" w:hAnsi="Arial"/>
          <w:sz w:val="18"/>
          <w:szCs w:val="18"/>
          <w:color w:val="3F3F3F"/>
        </w:rPr>
        <w:t>Includes 598 shares of Common Stock and 7,701 shares of Common Stock which may be acquired upon the exercise of stock options which have vested or will vest within 60 days of March 24, 2022.</w:t>
      </w:r>
    </w:p>
    <w:p>
      <w:pPr>
        <w:spacing w:after="0" w:line="59" w:lineRule="exact"/>
        <w:rPr>
          <w:rFonts w:ascii="Arial" w:cs="Arial" w:eastAsia="Arial" w:hAnsi="Arial"/>
          <w:sz w:val="18"/>
          <w:szCs w:val="18"/>
          <w:color w:val="3F3F3F"/>
        </w:rPr>
      </w:pPr>
    </w:p>
    <w:p>
      <w:pPr>
        <w:ind w:left="660" w:right="140" w:hanging="544"/>
        <w:spacing w:after="0" w:line="261" w:lineRule="auto"/>
        <w:tabs>
          <w:tab w:leader="none" w:pos="660" w:val="left"/>
        </w:tabs>
        <w:numPr>
          <w:ilvl w:val="0"/>
          <w:numId w:val="27"/>
        </w:numPr>
        <w:rPr>
          <w:rFonts w:ascii="Arial" w:cs="Arial" w:eastAsia="Arial" w:hAnsi="Arial"/>
          <w:sz w:val="17"/>
          <w:szCs w:val="17"/>
          <w:color w:val="3F3F3F"/>
        </w:rPr>
      </w:pPr>
      <w:r>
        <w:rPr>
          <w:rFonts w:ascii="Arial" w:cs="Arial" w:eastAsia="Arial" w:hAnsi="Arial"/>
          <w:sz w:val="17"/>
          <w:szCs w:val="17"/>
          <w:color w:val="3F3F3F"/>
        </w:rPr>
        <w:t>Includes 5,483,019 shares of Common Stock directly held by MPI. Mr. Troendle, as the sole manager and controlling unit holder of MPI, has sole voting and investment control with respect to the shares held by MPI. Includes 819,218 shares of Common Stock, 20,724 shares of restricted stock deemed to be outstanding and entitled to vote and 749,310 shares of Common Stock which may be acquired upon the exercise of stock options which have vested or will vest within 60 days of March 24, 2022. Does not include 14,718 unvested restricted stock units that do not have voting rights and will not vest within 60 days of March 24, 2022.</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48</w:t>
      </w:r>
    </w:p>
    <w:p>
      <w:pPr>
        <w:sectPr>
          <w:pgSz w:w="11900" w:h="16838" w:orient="portrait"/>
          <w:cols w:equalWidth="0" w:num="1">
            <w:col w:w="11140"/>
          </w:cols>
          <w:pgMar w:left="320" w:top="455"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Certain Relationships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POLICIES AND PROCEDURES FOR RELATED PERSON TRANSACTIONS</w:t>
      </w:r>
    </w:p>
    <w:p>
      <w:pPr>
        <w:spacing w:after="0" w:line="104" w:lineRule="exact"/>
        <w:rPr>
          <w:sz w:val="20"/>
          <w:szCs w:val="20"/>
          <w:color w:val="auto"/>
        </w:rPr>
      </w:pPr>
    </w:p>
    <w:p>
      <w:pPr>
        <w:ind w:left="120" w:right="20"/>
        <w:spacing w:after="0"/>
        <w:rPr>
          <w:sz w:val="20"/>
          <w:szCs w:val="20"/>
          <w:color w:val="auto"/>
        </w:rPr>
      </w:pPr>
      <w:r>
        <w:rPr>
          <w:rFonts w:ascii="Arial" w:cs="Arial" w:eastAsia="Arial" w:hAnsi="Arial"/>
          <w:sz w:val="18"/>
          <w:szCs w:val="18"/>
          <w:color w:val="3F3F3F"/>
        </w:rPr>
        <w:t>Our Board has adopted a written Related Person Transaction Policy and Procedures, setting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we (including any of our subsidiaries) are, were or will be a participant, where the amount involved exceeds $120,000 in any fiscal year and a related person has, had or will have a direct or indirect material interest, which may include, without limitation, purchases of goods or services by or from the related party or entities in which the related party has a material interest, indebtedness, guarantees of indebtedness and employment by us of a related party.</w:t>
      </w:r>
    </w:p>
    <w:p>
      <w:pPr>
        <w:spacing w:after="0" w:line="18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3F3F3F"/>
        </w:rPr>
        <w:t>Under the policy, management is required to present to the Audit Committee each proposed related party transaction.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If advance Audit Committee approval of a related party transaction is not feasible, then the transaction may be preliminarily entered into by management upon prior approval by the Chairperson of the Audit Committee, subject to ratification of the transaction by the Audit Committee at the Audit Committee’s next regularly scheduled meeting. Any related party transaction must be approved or ratified by the Audit Committee in order to be consummated or continue, as applicable. Management is responsible for updating the Committee as to any material changes to any approved or ratified related party transaction and for providing a status report at least annually of all current related party transactions at a regularly scheduled meeting of the Audit Committee. No director may participate in approval of a related party transaction for which he or she is a related party.</w:t>
      </w:r>
    </w:p>
    <w:p>
      <w:pPr>
        <w:spacing w:after="0" w:line="180"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color w:val="3F3F3F"/>
        </w:rPr>
        <w:t>In this section the term “Advanced billings” represents cash received from customers, or billed amounts per an agreed upon payment schedule, in advance of services being performed or revenue being recognized.</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In this section the term “Accounts receivable and unbilled, net” means:</w:t>
      </w:r>
    </w:p>
    <w:p>
      <w:pPr>
        <w:spacing w:after="0" w:line="212"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3F3F3F"/>
        </w:rPr>
        <w:t>Accounts receivable represent amounts due from the Company’s customers who are concentrated primarily in the pharmaceutical, biotechnology, and medical device industries. Unbilled services represent revenue recognized to date that is currently not billable to the customer pursuant to contractual terms. In general, amounts become billable upon the achievement of negotiated contractual events or in accordance with predetermined payment schedules. Amounts classified to unbilled services are those billable to customers within one year from the respective balance sheet date.</w:t>
      </w:r>
    </w:p>
    <w:p>
      <w:pPr>
        <w:spacing w:after="0" w:line="176" w:lineRule="exact"/>
        <w:rPr>
          <w:sz w:val="20"/>
          <w:szCs w:val="20"/>
          <w:color w:val="auto"/>
        </w:rPr>
      </w:pPr>
    </w:p>
    <w:p>
      <w:pPr>
        <w:ind w:left="120" w:right="40"/>
        <w:spacing w:after="0" w:line="261" w:lineRule="auto"/>
        <w:rPr>
          <w:sz w:val="20"/>
          <w:szCs w:val="20"/>
          <w:color w:val="auto"/>
        </w:rPr>
      </w:pPr>
      <w:r>
        <w:rPr>
          <w:rFonts w:ascii="Arial" w:cs="Arial" w:eastAsia="Arial" w:hAnsi="Arial"/>
          <w:sz w:val="17"/>
          <w:szCs w:val="17"/>
          <w:color w:val="3F3F3F"/>
        </w:rPr>
        <w:t>The Company grants credit terms to its customers prior to signing a service contract and monitors the creditworthiness of its customers on an ongoing basis. The Company maintains an allowance for doubtful accounts based on specific identification of accounts receivable that are at risk of not being collected. Uncollectible accounts receivable are written off only after all reasonable collection efforts have been exhausted. Moreover, in some cases the Company requires advance payment from its customers for a portion of the study contract price upon the signing of a service contract. These advance payments are deferred and recognized as revenue as services are performed.</w:t>
      </w:r>
    </w:p>
    <w:p>
      <w:pPr>
        <w:spacing w:after="0" w:line="166"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3F3F3F"/>
        </w:rPr>
        <w:t>The following are certain transactions, arrangements and relationships with our directors, executive officers and stockholders owning 5% or more of our outstanding Common Stock.</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F3F3F"/>
        </w:rPr>
        <w:t>49</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CERTAIN RELATIONSHIPS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REGISTRATION RIGHTS AGREEMENT</w:t>
      </w:r>
    </w:p>
    <w:p>
      <w:pPr>
        <w:spacing w:after="0" w:line="104"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3F3F3F"/>
        </w:rPr>
        <w:t>In connection with our IPO, we entered into a Registration Rights Agreement with Mr. Troendle and other holders of Company common stock who have since sold all of their shares and are no longer parties to the Registration Rights Agreement. Pursuant to this Registration Rights Agreement, on February 25, 2020 we filed a registration statement on Form S-3 with the U.S. Securities and Exchange Commission (“SEC”) covering an indeterminate amount of securities for a primary offering by us and an aggregate of 8,584,258 shares of common stock for a secondary offering by Medpace Investors, LLC and Mr. Troendle. The Company is responsible for the payment of certain fees and expenses related to the filing of the registration statement and related offerings of securities.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LIB THERAPEUTICS, LLC AND SUBSIDIARIES (“LIB”)</w:t>
      </w:r>
    </w:p>
    <w:p>
      <w:pPr>
        <w:spacing w:after="0" w:line="104" w:lineRule="exact"/>
        <w:rPr>
          <w:sz w:val="20"/>
          <w:szCs w:val="20"/>
          <w:color w:val="auto"/>
        </w:rPr>
      </w:pPr>
    </w:p>
    <w:p>
      <w:pPr>
        <w:ind w:left="120" w:right="40"/>
        <w:spacing w:after="0"/>
        <w:rPr>
          <w:sz w:val="20"/>
          <w:szCs w:val="20"/>
          <w:color w:val="auto"/>
        </w:rPr>
      </w:pPr>
      <w:r>
        <w:rPr>
          <w:rFonts w:ascii="Arial" w:cs="Arial" w:eastAsia="Arial" w:hAnsi="Arial"/>
          <w:sz w:val="18"/>
          <w:szCs w:val="18"/>
          <w:color w:val="3F3F3F"/>
        </w:rPr>
        <w:t>Certain executives and employees of the Company, including our Chief Executive Officer, are members of LIB’s board of managers and/or have equity investments in LIB. The Company entered into a Master Services Agreement dated November 24, 2015, with LIB, a company that engages in research, development, marketing and commercialization of pharmaceutical drugs. Subsequently, the Company and LIB have entered into several task orders for the Company to perform clinical trial related services. The Company recognized total revenue from LIB of $11.8 million during the year ended December 31, 2021 in the Company’s consolidated statement of operations. As of December 31, 2021, the Company had, from LIB, Advanced billings of $2.9 million in the consolidated balance sheets. In addition, the Company had Accounts receivable and unbilled, net from LIB of $0.5 million in the consolidated balance sheets at December 31, 2021.</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CINRX PHARMA AND SUBSIDIARIES (“CINRX”)</w:t>
      </w:r>
    </w:p>
    <w:p>
      <w:pPr>
        <w:spacing w:after="0" w:line="104"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3F3F3F"/>
        </w:rPr>
        <w:t>Certain executives and employees of the Company, including our Chief Executive Officer, are members of CinRx’s board of managers and/or have equity investments in CinRx, a biotech company. The Company and CinRx have entered into several task orders for the Company to perform clinical trial related services. During the year ended December 31, 2021, the Company recognized total revenue from CinRx of $22.7 million in the Company’s consolidated statements of operations. As of December 31, 2021, the Company had Advanced billings from CinRx of $5.4 million in the consolidated balance sheets. As of December 31, 2021, the Company had Accounts receivable and unbilled, net from CinRx of $2.1 million in the consolidated balance sheets.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THE SUMMIT HOTEL (“THE SUMMIT HOTEL”)</w:t>
      </w:r>
    </w:p>
    <w:p>
      <w:pPr>
        <w:spacing w:after="0" w:line="104" w:lineRule="exact"/>
        <w:rPr>
          <w:sz w:val="20"/>
          <w:szCs w:val="20"/>
          <w:color w:val="auto"/>
        </w:rPr>
      </w:pPr>
    </w:p>
    <w:p>
      <w:pPr>
        <w:jc w:val="both"/>
        <w:ind w:left="120" w:right="300"/>
        <w:spacing w:after="0" w:line="253" w:lineRule="auto"/>
        <w:rPr>
          <w:sz w:val="20"/>
          <w:szCs w:val="20"/>
          <w:color w:val="auto"/>
        </w:rPr>
      </w:pPr>
      <w:r>
        <w:rPr>
          <w:rFonts w:ascii="Arial" w:cs="Arial" w:eastAsia="Arial" w:hAnsi="Arial"/>
          <w:sz w:val="18"/>
          <w:szCs w:val="18"/>
          <w:color w:val="3F3F3F"/>
        </w:rPr>
        <w:t>The Summit Hotel, located on the Medpace campus, is owned by our Chief Executive Officer, and managed by an unrelated hospitality management entity. Medpace incurs travel lodging and meeting expenses at The Summit Hotel. During the year ended December 31, 2021, Medpace incurred expenses of $0.3 million at The Summit Hotel.</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MEDPACE INVESTORS, LLC (“MEDPACE INVESTORS”)</w:t>
      </w:r>
    </w:p>
    <w:p>
      <w:pPr>
        <w:spacing w:after="0" w:line="104"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3F3F3F"/>
        </w:rPr>
        <w:t>Medpace Investors is a noncontrolling stockholder and related party of the Company. Medpace Investors is owned and managed by employees of the Company. Our Chief Executive Officer is also the manager and majority unit holder of Medpace Investors and our other executive officers and certain other employees are unit holders of Medpace Investors. As of December 31, 2021, upon a distribution of our Common Stock held by Medpace Investors, our Chief Executive Officer would receive approximately 85.2% of such shares. The Company acts as a paying agent for Medpace Investors with taxing authorities principally in instances when employee tax payments or remittance of withholdings related to equity compensation are required.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3F3F3F"/>
        </w:rPr>
        <w:t>50</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CERTAIN RELATIONSHIPS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LEASED REAL ESTATE</w:t>
      </w:r>
    </w:p>
    <w:p>
      <w:pPr>
        <w:spacing w:after="0" w:line="104"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3F3F3F"/>
        </w:rPr>
        <w:t>The Company has entered into operating leases for its corporate headquarters and a storage space facility with an entity that is wholly owned by our Chief Executive Officer. The lease for headquarters is for an initial term of twelve years through November 2022 with a renewal option for one 10-year term at prevailing market rates. The Company pays rent, taxes, insurance, and maintenance expenses that arise from the use of the properties. Annual base rent for the corporate headquarters allows for adjustments to the rental rate annually for increases in the consumer price index. Operating lease cost recognized for the year ended December 31, 2021 was $2.1 million.</w:t>
      </w:r>
    </w:p>
    <w:p>
      <w:pPr>
        <w:spacing w:after="0" w:line="176"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3F3F3F"/>
        </w:rPr>
        <w:t>In 2018, Medpace, Inc. entered into a multi-year lease agreement governing future occupancy of additional office space in Cincinnati, Ohio with an entity that is wholly owned by our Chief Executive Officer and certain members of his immediate family. The Company began to occupy the premises in the second quarter of fiscal year 2020. The lease expires in 2040 and the Company has two 10-year options to extend the term of the lease. The Company pays rent, taxes, insurance, and maintenance expenses that arise from the use of the property. Annual base rent for the corporate headquarters allows for adjustments to the rental rate annually for increases in the consumer price index. Operating lease cost recognized for the year ended December 31, 2021 was $5.7 million.</w:t>
      </w:r>
    </w:p>
    <w:p>
      <w:pPr>
        <w:spacing w:after="0" w:line="179"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3F3F3F"/>
        </w:rPr>
        <w:t>The Company entered into two multi-year lease agreements governing the occupancy of space of two buildings in Cincinnati, Ohio with an entity that is wholly owned by our Chief Executive Officer and certain members of his immediate family. The Company assumed occupancy in 2012 and the leases expire in 2027 with the Company having one 10-year option to extend the lease term. The Company pays rent, taxes, insurance, and maintenance expenses that arise from the use of the property. Annual base rent for the corporate headquarters allows for adjustments to the rental rate annually for increases in the consumer price index. Operating lease cost recognized for the year ended December 31, 2021 was $3.6 million.</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TRAVEL SERVICES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The Company incurs expenses for travel services for company executives provided by a company controlled by our Chief Executive Officer (“private aviation charter”). The Company may contract directly with the private aviation charter for the use of its aircraft or indirectly through a third party aircraft management and jet charter company (the “Aircraft Management Company”). The travel services provided are primarily for business purposes, with certain personal travel paid for as part of the executives’ compensation arrangements. The Aircraft Management Company also makes the private aviation charter aircraft available to third parties. The Company incurred travel expenses of $1.3 million during the year ended December 31, 2021. As of December 31, 2021, the Company had Accounts payable to the Aircraft Management Company of $0.2 million in the consolidated balance sheet. For more information, see “Aircraft Usage.”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EMPLOYMENT AGREEMENT</w:t>
      </w:r>
    </w:p>
    <w:p>
      <w:pPr>
        <w:spacing w:after="0" w:line="104"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3F3F3F"/>
        </w:rPr>
        <w:t>We currently have an employment agreement with our Chief Executive Officer and founder, August J. Troendle. For more information, see “NEO Employment Agreement”.</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INDEMNIFICATION AGREEMENTS</w:t>
      </w:r>
    </w:p>
    <w:p>
      <w:pPr>
        <w:spacing w:after="0" w:line="104"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3F3F3F"/>
        </w:rPr>
        <w:t>We have entered into indemnification agreements with each of our directors and executive officers. These agreements, among other things, require us or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51</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Delinquent Section 16(a) Reports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Section 16(a) of the Exchange Act requires our directors, executive officers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All Reporting Persons are required by SEC regulation to furnish us with copies of all reports that such Reporting Persons file with the SEC pursuant to Section 16(a).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the fiscal year ended December 31, 2021.</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Compensation Committee Interlocks and Insider Participation</w:t>
      </w:r>
    </w:p>
    <w:p>
      <w:pPr>
        <w:spacing w:after="0" w:line="108"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3F3F3F"/>
        </w:rPr>
        <w:t>During the fiscal year ended December 31, 2021, Fred B. Davenport, Jr., Robert O. Kraft, and Cornelius P. McCarthy III served as members of our Compensation Committee. No current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2021.</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3F3F3F"/>
        </w:rPr>
        <w:t>52</w:t>
      </w:r>
    </w:p>
    <w:p>
      <w:pPr>
        <w:sectPr>
          <w:pgSz w:w="11900" w:h="16838" w:orient="portrait"/>
          <w:cols w:equalWidth="0" w:num="1">
            <w:col w:w="11020"/>
          </w:cols>
          <w:pgMar w:left="320" w:top="455" w:right="5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Stockholders’ Proposals</w:t>
      </w:r>
    </w:p>
    <w:p>
      <w:pPr>
        <w:spacing w:after="0" w:line="108"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3F3F3F"/>
        </w:rPr>
        <w:t>Stockholders who intend to have a proposal considered for inclusion in our proxy materials for presentation at our 2023 Annual Meeting of Stockholders pursuant to Rule 14a-8 under the Exchange Act must submit the proposal to our Corporate Secretary at our offices at 5375 Medpace Way, Cincinnati, Ohio 45227 in writing not later than December 7, 2022.</w:t>
      </w:r>
    </w:p>
    <w:p>
      <w:pPr>
        <w:spacing w:after="0" w:line="16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3F3F3F"/>
        </w:rPr>
        <w:t>Stockholders intending to present a proposal at the 2023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Corporate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we must receive notice of such a proposal or nomination for the 2023 Annual Meeting of Stockholders no earlier than the close of business on January 20, 2023 and no later than the close of business on February 19, 2023. The notice must contain the information required by the Amended and Restated Bylaws, a copy of which is available upon request to our Corporate Secretary. In the event that the date of the 2023 Annual Meeting of Stockholders is more than 30 days before or more than 70 days after May 20, 2023, then our Corporate Secretary must receive such written notice not earlier than the close of business on the 120th day prior to the 2023 Annual Meeting and not later than the close of business on the 90th day prior to the 2023 Annual Meeting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w:t>
      </w:r>
    </w:p>
    <w:p>
      <w:pPr>
        <w:spacing w:after="0" w:line="189"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color w:val="3F3F3F"/>
        </w:rPr>
        <w:t>We reserve the right to reject, rule out of order, or take other appropriate action with respect to any proposal that does not comply with these or other applicable requirements.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Other Matters</w:t>
      </w:r>
    </w:p>
    <w:p>
      <w:pPr>
        <w:spacing w:after="0" w:line="104"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3F3F3F"/>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6098"/>
        </w:rPr>
        <w:t>Solicitation of Proxies</w:t>
      </w:r>
    </w:p>
    <w:p>
      <w:pPr>
        <w:spacing w:after="0" w:line="104"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3F3F3F"/>
        </w:rPr>
        <w:t>The accompanying proxy is solicited by and on behalf of our Board,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179"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color w:val="3F3F3F"/>
        </w:rPr>
        <w:t>Certain information contained in this proxy statement relating to the occupations and security holdings of our directors and officers is based upon information received from the individual directors and officers.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F3F3F"/>
        </w:rPr>
        <w:t>53</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6098"/>
        </w:rPr>
        <w:t>Medpace’s Annual Report on Form 10-K</w:t>
      </w:r>
    </w:p>
    <w:p>
      <w:pPr>
        <w:spacing w:after="0" w:line="108" w:lineRule="exact"/>
        <w:rPr>
          <w:sz w:val="20"/>
          <w:szCs w:val="20"/>
          <w:color w:val="auto"/>
        </w:rPr>
      </w:pPr>
    </w:p>
    <w:p>
      <w:pPr>
        <w:jc w:val="both"/>
        <w:ind w:left="120" w:right="220"/>
        <w:spacing w:after="0" w:line="257" w:lineRule="auto"/>
        <w:rPr>
          <w:sz w:val="20"/>
          <w:szCs w:val="20"/>
          <w:color w:val="auto"/>
        </w:rPr>
      </w:pPr>
      <w:r>
        <w:rPr>
          <w:rFonts w:ascii="Arial" w:cs="Arial" w:eastAsia="Arial" w:hAnsi="Arial"/>
          <w:sz w:val="18"/>
          <w:szCs w:val="18"/>
          <w:b w:val="1"/>
          <w:bCs w:val="1"/>
          <w:color w:val="3F3F3F"/>
        </w:rPr>
        <w:t>A copy of Medpace’s Annual Report on Form 10-K for the fiscal year ended December 31, 2021, including financial statements and schedules thereto but not including exhibits, as filed with the SEC, will be sent to any stockholder of record on March 24, 2022 without charge upon written request addressed to:</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color w:val="3F3F3F"/>
        </w:rPr>
        <w:t>Medpace Holdings, Inc.</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3F3F3F"/>
        </w:rPr>
        <w:t>Attention: Corporate Secretary</w:t>
      </w:r>
    </w:p>
    <w:p>
      <w:pPr>
        <w:ind w:left="560"/>
        <w:spacing w:after="0" w:line="234" w:lineRule="auto"/>
        <w:rPr>
          <w:sz w:val="20"/>
          <w:szCs w:val="20"/>
          <w:color w:val="auto"/>
        </w:rPr>
      </w:pPr>
      <w:r>
        <w:rPr>
          <w:rFonts w:ascii="Arial" w:cs="Arial" w:eastAsia="Arial" w:hAnsi="Arial"/>
          <w:sz w:val="18"/>
          <w:szCs w:val="18"/>
          <w:color w:val="3F3F3F"/>
        </w:rPr>
        <w:t>5375 Medpace Way</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3F3F3F"/>
        </w:rPr>
        <w:t>Cincinnati, Ohio 45227</w:t>
      </w:r>
    </w:p>
    <w:p>
      <w:pPr>
        <w:spacing w:after="0" w:line="19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3F3F3F"/>
        </w:rPr>
        <w:t xml:space="preserve">A reasonable fee will be charged for copies of exhibits. You also may access this proxy statement and our Annual Report on Form 10-K at </w:t>
      </w:r>
      <w:r>
        <w:rPr>
          <w:rFonts w:ascii="Arial" w:cs="Arial" w:eastAsia="Arial" w:hAnsi="Arial"/>
          <w:sz w:val="18"/>
          <w:szCs w:val="18"/>
          <w:i w:val="1"/>
          <w:iCs w:val="1"/>
          <w:color w:val="3F3F3F"/>
        </w:rPr>
        <w:t>www.proxyvote.com</w:t>
      </w:r>
      <w:r>
        <w:rPr>
          <w:rFonts w:ascii="Arial" w:cs="Arial" w:eastAsia="Arial" w:hAnsi="Arial"/>
          <w:sz w:val="18"/>
          <w:szCs w:val="18"/>
          <w:color w:val="3F3F3F"/>
        </w:rPr>
        <w:t>. You also may access our Annual Report on Form 10-K for the year ended December 31, 2021 at</w:t>
      </w:r>
      <w:r>
        <w:rPr>
          <w:rFonts w:ascii="Arial" w:cs="Arial" w:eastAsia="Arial" w:hAnsi="Arial"/>
          <w:sz w:val="18"/>
          <w:szCs w:val="18"/>
          <w:i w:val="1"/>
          <w:iCs w:val="1"/>
          <w:color w:val="3F3F3F"/>
        </w:rPr>
        <w:t xml:space="preserve"> www.medpace.com.</w:t>
      </w:r>
    </w:p>
    <w:p>
      <w:pPr>
        <w:spacing w:after="0" w:line="169"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b w:val="1"/>
          <w:bCs w:val="1"/>
          <w:color w:val="3F3F3F"/>
        </w:rPr>
        <w:t>WHETHER OR NOT YOU PLAN TO ATTEND THE ANNUAL MEETING VIRTUALLY, WE URGE YOU TO VOTE YOUR SHARES VIA THE TOLL-FREE TELEPHONE NUMBER OR OVER THE INTERNET, AS DESCRIBED IN THIS PROXY STATEMENT. IF YOU RECEIVED A COPY OF THE PROXY CARD BY MAIL, YOU MAY SIGN, DATE AND MAIL THE PROXY CARD IN THE ENCLOSED RETURN POSTAGE-PAID ENVELOPE. PROMPTLY VOTING YOUR SHARES WILL ENSURE THE PRESENCE OF A QUORUM AT THE ANNUAL MEETING AND WILL SAVE US THE EXPENSE OF FURTHER SOLICITATION.</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1431290" cy="643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3129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Stephen P. Ewald,</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General Counsel and Corporate Secretary</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Cincinnati, Ohio</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April 6, 2022</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3F3F3F"/>
        </w:rPr>
        <w:t>54</w:t>
      </w:r>
    </w:p>
    <w:p>
      <w:pPr>
        <w:sectPr>
          <w:pgSz w:w="11900" w:h="16838" w:orient="portrait"/>
          <w:cols w:equalWidth="0" w:num="1">
            <w:col w:w="11080"/>
          </w:cols>
          <w:pgMar w:left="320" w:top="455" w:right="499" w:bottom="1440" w:gutter="0" w:footer="0" w:header="0"/>
        </w:sectPr>
      </w:pPr>
    </w:p>
    <w:bookmarkStart w:id="60" w:name="page61"/>
    <w:bookmarkEnd w:id="6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3978910</wp:posOffset>
            </wp:positionV>
            <wp:extent cx="4114800" cy="9601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114800" cy="96012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61" w:name="page62"/>
    <w:bookmarkEnd w:id="6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208280</wp:posOffset>
            </wp:positionV>
            <wp:extent cx="1225550" cy="1974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25550" cy="19748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208280</wp:posOffset>
            </wp:positionV>
            <wp:extent cx="1911350" cy="4546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1135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0"/>
        <w:spacing w:after="0"/>
        <w:rPr>
          <w:sz w:val="20"/>
          <w:szCs w:val="20"/>
          <w:color w:val="auto"/>
        </w:rPr>
      </w:pPr>
      <w:r>
        <w:rPr>
          <w:rFonts w:ascii="Arial" w:cs="Arial" w:eastAsia="Arial" w:hAnsi="Arial"/>
          <w:sz w:val="9"/>
          <w:szCs w:val="9"/>
          <w:i w:val="1"/>
          <w:iCs w:val="1"/>
          <w:color w:val="auto"/>
        </w:rPr>
        <w:t>MEDPACE HOLDINGS, INC.</w:t>
      </w:r>
    </w:p>
    <w:p>
      <w:pPr>
        <w:ind w:left="480"/>
        <w:spacing w:after="0" w:line="219" w:lineRule="auto"/>
        <w:rPr>
          <w:sz w:val="20"/>
          <w:szCs w:val="20"/>
          <w:color w:val="auto"/>
        </w:rPr>
      </w:pPr>
      <w:r>
        <w:rPr>
          <w:rFonts w:ascii="Arial" w:cs="Arial" w:eastAsia="Arial" w:hAnsi="Arial"/>
          <w:sz w:val="9"/>
          <w:szCs w:val="9"/>
          <w:i w:val="1"/>
          <w:iCs w:val="1"/>
          <w:color w:val="auto"/>
        </w:rPr>
        <w:t>5375 MEDPACE WAY</w:t>
      </w:r>
    </w:p>
    <w:p>
      <w:pPr>
        <w:ind w:left="480"/>
        <w:spacing w:after="0"/>
        <w:rPr>
          <w:sz w:val="20"/>
          <w:szCs w:val="20"/>
          <w:color w:val="auto"/>
        </w:rPr>
      </w:pPr>
      <w:r>
        <w:rPr>
          <w:rFonts w:ascii="Arial" w:cs="Arial" w:eastAsia="Arial" w:hAnsi="Arial"/>
          <w:sz w:val="9"/>
          <w:szCs w:val="9"/>
          <w:i w:val="1"/>
          <w:iCs w:val="1"/>
          <w:color w:val="auto"/>
        </w:rPr>
        <w:t>CINCINNATI, OHIO 45227</w:t>
      </w: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1"/>
          <w:szCs w:val="11"/>
          <w:b w:val="1"/>
          <w:bCs w:val="1"/>
          <w:color w:val="auto"/>
        </w:rPr>
        <w:t>VOTE BY INTERNET</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1"/>
          <w:szCs w:val="11"/>
          <w:i w:val="1"/>
          <w:iCs w:val="1"/>
          <w:color w:val="auto"/>
        </w:rPr>
        <w:t xml:space="preserve">Before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www.proxyvote.com</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or scan the QR Barcode above</w:t>
      </w:r>
    </w:p>
    <w:p>
      <w:pPr>
        <w:spacing w:after="0" w:line="134" w:lineRule="exact"/>
        <w:rPr>
          <w:sz w:val="20"/>
          <w:szCs w:val="20"/>
          <w:color w:val="auto"/>
        </w:rPr>
      </w:pPr>
    </w:p>
    <w:p>
      <w:pPr>
        <w:ind w:left="5740"/>
        <w:spacing w:after="0"/>
        <w:rPr>
          <w:sz w:val="20"/>
          <w:szCs w:val="20"/>
          <w:color w:val="auto"/>
        </w:rPr>
      </w:pPr>
      <w:r>
        <w:rPr>
          <w:rFonts w:ascii="Arial" w:cs="Arial" w:eastAsia="Arial" w:hAnsi="Arial"/>
          <w:sz w:val="11"/>
          <w:szCs w:val="11"/>
          <w:color w:val="auto"/>
        </w:rPr>
        <w:t>Use the Internet to transmit your voting instructions and for electronic delivery of information up until 11:59 p.m.</w:t>
      </w:r>
    </w:p>
    <w:p>
      <w:pPr>
        <w:ind w:left="5740"/>
        <w:spacing w:after="0"/>
        <w:rPr>
          <w:sz w:val="20"/>
          <w:szCs w:val="20"/>
          <w:color w:val="auto"/>
        </w:rPr>
      </w:pPr>
      <w:r>
        <w:rPr>
          <w:rFonts w:ascii="Arial" w:cs="Arial" w:eastAsia="Arial" w:hAnsi="Arial"/>
          <w:sz w:val="11"/>
          <w:szCs w:val="11"/>
          <w:color w:val="auto"/>
        </w:rPr>
        <w:t>Eastern Time the day before the cut-off date or meeting date. Have your proxy card in hand when you access</w:t>
      </w:r>
    </w:p>
    <w:p>
      <w:pPr>
        <w:ind w:left="5740"/>
        <w:spacing w:after="0"/>
        <w:rPr>
          <w:sz w:val="20"/>
          <w:szCs w:val="20"/>
          <w:color w:val="auto"/>
        </w:rPr>
      </w:pPr>
      <w:r>
        <w:rPr>
          <w:rFonts w:ascii="Arial" w:cs="Arial" w:eastAsia="Arial" w:hAnsi="Arial"/>
          <w:sz w:val="11"/>
          <w:szCs w:val="11"/>
          <w:color w:val="auto"/>
        </w:rPr>
        <w:t>the web site and follow the instructions to obtain your records and to create an electronic voting instruction form.</w:t>
      </w:r>
    </w:p>
    <w:p>
      <w:pPr>
        <w:spacing w:after="0" w:line="134" w:lineRule="exact"/>
        <w:rPr>
          <w:sz w:val="20"/>
          <w:szCs w:val="20"/>
          <w:color w:val="auto"/>
        </w:rPr>
      </w:pPr>
    </w:p>
    <w:p>
      <w:pPr>
        <w:ind w:left="5740"/>
        <w:spacing w:after="0"/>
        <w:rPr>
          <w:sz w:val="20"/>
          <w:szCs w:val="20"/>
          <w:color w:val="auto"/>
        </w:rPr>
      </w:pPr>
      <w:r>
        <w:rPr>
          <w:rFonts w:ascii="Arial" w:cs="Arial" w:eastAsia="Arial" w:hAnsi="Arial"/>
          <w:sz w:val="11"/>
          <w:szCs w:val="11"/>
          <w:i w:val="1"/>
          <w:iCs w:val="1"/>
          <w:color w:val="auto"/>
        </w:rPr>
        <w:t xml:space="preserve">During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www.virtualshareholdermeeting.com/MEDP2022</w:t>
      </w:r>
    </w:p>
    <w:p>
      <w:pPr>
        <w:spacing w:after="0" w:line="157" w:lineRule="exact"/>
        <w:rPr>
          <w:sz w:val="20"/>
          <w:szCs w:val="20"/>
          <w:color w:val="auto"/>
        </w:rPr>
      </w:pPr>
    </w:p>
    <w:p>
      <w:pPr>
        <w:ind w:left="5740"/>
        <w:spacing w:after="0"/>
        <w:rPr>
          <w:sz w:val="20"/>
          <w:szCs w:val="20"/>
          <w:color w:val="auto"/>
        </w:rPr>
      </w:pPr>
      <w:r>
        <w:rPr>
          <w:rFonts w:ascii="Arial" w:cs="Arial" w:eastAsia="Arial" w:hAnsi="Arial"/>
          <w:sz w:val="11"/>
          <w:szCs w:val="11"/>
          <w:color w:val="auto"/>
        </w:rPr>
        <w:t>You may attend the meeting via the Internet and vote during the meeting. Have the information that is printed in</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1"/>
          <w:szCs w:val="11"/>
          <w:color w:val="auto"/>
        </w:rPr>
        <w:t>the box marked by the arrow available and follow the instructions.</w:t>
      </w:r>
    </w:p>
    <w:p>
      <w:pPr>
        <w:spacing w:after="0" w:line="134" w:lineRule="exact"/>
        <w:rPr>
          <w:sz w:val="20"/>
          <w:szCs w:val="20"/>
          <w:color w:val="auto"/>
        </w:rPr>
      </w:pPr>
    </w:p>
    <w:p>
      <w:pPr>
        <w:ind w:left="5740"/>
        <w:spacing w:after="0"/>
        <w:rPr>
          <w:sz w:val="20"/>
          <w:szCs w:val="20"/>
          <w:color w:val="auto"/>
        </w:rPr>
      </w:pPr>
      <w:r>
        <w:rPr>
          <w:rFonts w:ascii="Arial" w:cs="Arial" w:eastAsia="Arial" w:hAnsi="Arial"/>
          <w:sz w:val="11"/>
          <w:szCs w:val="11"/>
          <w:b w:val="1"/>
          <w:bCs w:val="1"/>
          <w:color w:val="auto"/>
        </w:rPr>
        <w:t>VOTE BY PHONE - 1-800-690-6903</w:t>
      </w:r>
    </w:p>
    <w:p>
      <w:pPr>
        <w:ind w:left="5740"/>
        <w:spacing w:after="0"/>
        <w:rPr>
          <w:sz w:val="20"/>
          <w:szCs w:val="20"/>
          <w:color w:val="auto"/>
        </w:rPr>
      </w:pPr>
      <w:r>
        <w:rPr>
          <w:rFonts w:ascii="Arial" w:cs="Arial" w:eastAsia="Arial" w:hAnsi="Arial"/>
          <w:sz w:val="11"/>
          <w:szCs w:val="11"/>
          <w:color w:val="auto"/>
        </w:rPr>
        <w:t>Use any touch-tone telephone to transmit your voting instructions up until 11:59 p.m. Eastern Time the day</w:t>
      </w:r>
    </w:p>
    <w:p>
      <w:pPr>
        <w:ind w:left="5740"/>
        <w:spacing w:after="0" w:line="230" w:lineRule="auto"/>
        <w:rPr>
          <w:sz w:val="20"/>
          <w:szCs w:val="20"/>
          <w:color w:val="auto"/>
        </w:rPr>
      </w:pPr>
      <w:r>
        <w:rPr>
          <w:rFonts w:ascii="Arial" w:cs="Arial" w:eastAsia="Arial" w:hAnsi="Arial"/>
          <w:sz w:val="11"/>
          <w:szCs w:val="11"/>
          <w:color w:val="auto"/>
        </w:rPr>
        <w:t>before the cut-off date or meeting date. Have your proxy card in hand when you call and then follow the</w:t>
      </w:r>
    </w:p>
    <w:p>
      <w:pPr>
        <w:ind w:left="5740"/>
        <w:spacing w:after="0"/>
        <w:rPr>
          <w:sz w:val="20"/>
          <w:szCs w:val="20"/>
          <w:color w:val="auto"/>
        </w:rPr>
      </w:pPr>
      <w:r>
        <w:rPr>
          <w:rFonts w:ascii="Arial" w:cs="Arial" w:eastAsia="Arial" w:hAnsi="Arial"/>
          <w:sz w:val="11"/>
          <w:szCs w:val="11"/>
          <w:color w:val="auto"/>
        </w:rPr>
        <w:t>instructions.</w:t>
      </w:r>
    </w:p>
    <w:p>
      <w:pPr>
        <w:spacing w:after="0" w:line="134" w:lineRule="exact"/>
        <w:rPr>
          <w:sz w:val="20"/>
          <w:szCs w:val="20"/>
          <w:color w:val="auto"/>
        </w:rPr>
      </w:pPr>
    </w:p>
    <w:p>
      <w:pPr>
        <w:ind w:left="5740"/>
        <w:spacing w:after="0"/>
        <w:rPr>
          <w:sz w:val="20"/>
          <w:szCs w:val="20"/>
          <w:color w:val="auto"/>
        </w:rPr>
      </w:pPr>
      <w:r>
        <w:rPr>
          <w:rFonts w:ascii="Arial" w:cs="Arial" w:eastAsia="Arial" w:hAnsi="Arial"/>
          <w:sz w:val="11"/>
          <w:szCs w:val="11"/>
          <w:b w:val="1"/>
          <w:bCs w:val="1"/>
          <w:color w:val="auto"/>
        </w:rPr>
        <w:t>VOTE BY MAIL</w:t>
      </w:r>
    </w:p>
    <w:p>
      <w:pPr>
        <w:ind w:left="5740"/>
        <w:spacing w:after="0"/>
        <w:rPr>
          <w:sz w:val="20"/>
          <w:szCs w:val="20"/>
          <w:color w:val="auto"/>
        </w:rPr>
      </w:pPr>
      <w:r>
        <w:rPr>
          <w:rFonts w:ascii="Arial" w:cs="Arial" w:eastAsia="Arial" w:hAnsi="Arial"/>
          <w:sz w:val="11"/>
          <w:szCs w:val="11"/>
          <w:color w:val="auto"/>
        </w:rPr>
        <w:t>Mark, sign and date your proxy card and return it in the postage-paid envelope we have provided or return it to</w:t>
      </w:r>
    </w:p>
    <w:p>
      <w:pPr>
        <w:ind w:left="5740"/>
        <w:spacing w:after="0"/>
        <w:rPr>
          <w:sz w:val="20"/>
          <w:szCs w:val="20"/>
          <w:color w:val="auto"/>
        </w:rPr>
      </w:pPr>
      <w:r>
        <w:rPr>
          <w:rFonts w:ascii="Arial" w:cs="Arial" w:eastAsia="Arial" w:hAnsi="Arial"/>
          <w:sz w:val="11"/>
          <w:szCs w:val="11"/>
          <w:color w:val="auto"/>
        </w:rPr>
        <w:t>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 VOTE, MARK BLOCKS BELOW IN BLUE OR BLACK INK AS FOLLOWS:</w:t>
      </w:r>
    </w:p>
    <w:p>
      <w:pPr>
        <w:ind w:left="6880"/>
        <w:spacing w:after="0"/>
        <w:tabs>
          <w:tab w:leader="none" w:pos="8480" w:val="left"/>
        </w:tabs>
        <w:rPr>
          <w:sz w:val="20"/>
          <w:szCs w:val="20"/>
          <w:color w:val="auto"/>
        </w:rPr>
      </w:pPr>
      <w:r>
        <w:rPr>
          <w:rFonts w:ascii="Arial" w:cs="Arial" w:eastAsia="Arial" w:hAnsi="Arial"/>
          <w:sz w:val="13"/>
          <w:szCs w:val="13"/>
          <w:color w:val="auto"/>
        </w:rPr>
        <w:t>D75006-P70226</w:t>
      </w:r>
      <w:r>
        <w:rPr>
          <w:sz w:val="20"/>
          <w:szCs w:val="20"/>
          <w:color w:val="auto"/>
        </w:rPr>
        <w:tab/>
      </w:r>
      <w:r>
        <w:rPr>
          <w:rFonts w:ascii="Arial" w:cs="Arial" w:eastAsia="Arial" w:hAnsi="Arial"/>
          <w:sz w:val="12"/>
          <w:szCs w:val="12"/>
          <w:color w:val="auto"/>
        </w:rPr>
        <w:t>KEEP THIS PORTION FOR YOUR RECORDS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3F3F3F"/>
        </w:rPr>
        <w:t>— — — — — — — — — — — — — — — — — — — — — — — — — — — — — — — — — — — — — — — — — — — — — — — —</w:t>
      </w:r>
    </w:p>
    <w:p>
      <w:pPr>
        <w:spacing w:after="0" w:line="14" w:lineRule="exact"/>
        <w:rPr>
          <w:sz w:val="20"/>
          <w:szCs w:val="20"/>
          <w:color w:val="auto"/>
        </w:rPr>
      </w:pPr>
    </w:p>
    <w:p>
      <w:pPr>
        <w:ind w:left="8460"/>
        <w:spacing w:after="0"/>
        <w:rPr>
          <w:sz w:val="20"/>
          <w:szCs w:val="20"/>
          <w:color w:val="auto"/>
        </w:rPr>
      </w:pPr>
      <w:r>
        <w:rPr>
          <w:rFonts w:ascii="Arial" w:cs="Arial" w:eastAsia="Arial" w:hAnsi="Arial"/>
          <w:sz w:val="12"/>
          <w:szCs w:val="12"/>
          <w:color w:val="auto"/>
        </w:rPr>
        <w:t>DETACH AND RETURN THIS PORTION ONLY</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4525" cy="4371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4525" cy="4371340"/>
                    </a:xfrm>
                    <a:prstGeom prst="rect">
                      <a:avLst/>
                    </a:prstGeom>
                    <a:noFill/>
                  </pic:spPr>
                </pic:pic>
              </a:graphicData>
            </a:graphic>
          </wp:anchor>
        </w:drawing>
      </w:r>
    </w:p>
    <w:p>
      <w:pPr>
        <w:sectPr>
          <w:pgSz w:w="11900" w:h="16838" w:orient="portrait"/>
          <w:cols w:equalWidth="0" w:num="1">
            <w:col w:w="11200"/>
          </w:cols>
          <w:pgMar w:left="320" w:top="455" w:right="379" w:bottom="1440" w:gutter="0" w:footer="0" w:header="0"/>
        </w:sectPr>
      </w:pPr>
    </w:p>
    <w:p>
      <w:pPr>
        <w:spacing w:after="0" w:line="14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MEDPACE HOLDINGS, INC.</w:t>
      </w:r>
    </w:p>
    <w:p>
      <w:pPr>
        <w:spacing w:after="0" w:line="69" w:lineRule="exact"/>
        <w:rPr>
          <w:sz w:val="20"/>
          <w:szCs w:val="20"/>
          <w:color w:val="auto"/>
        </w:rPr>
      </w:pPr>
    </w:p>
    <w:p>
      <w:pPr>
        <w:ind w:left="580"/>
        <w:spacing w:after="0" w:line="252" w:lineRule="auto"/>
        <w:rPr>
          <w:sz w:val="20"/>
          <w:szCs w:val="20"/>
          <w:color w:val="auto"/>
        </w:rPr>
      </w:pPr>
      <w:r>
        <w:rPr>
          <w:rFonts w:ascii="Arial" w:cs="Arial" w:eastAsia="Arial" w:hAnsi="Arial"/>
          <w:sz w:val="13"/>
          <w:szCs w:val="13"/>
          <w:b w:val="1"/>
          <w:bCs w:val="1"/>
          <w:color w:val="auto"/>
        </w:rPr>
        <w:t>The Board of Directors recommends you vote FOR the following:</w:t>
      </w:r>
    </w:p>
    <w:p>
      <w:pPr>
        <w:spacing w:after="0" w:line="91" w:lineRule="exact"/>
        <w:rPr>
          <w:sz w:val="20"/>
          <w:szCs w:val="20"/>
          <w:color w:val="auto"/>
        </w:rPr>
      </w:pPr>
    </w:p>
    <w:p>
      <w:pPr>
        <w:ind w:left="900" w:hanging="320"/>
        <w:spacing w:after="0"/>
        <w:tabs>
          <w:tab w:leader="none" w:pos="9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107" w:lineRule="exact"/>
        <w:rPr>
          <w:rFonts w:ascii="Arial" w:cs="Arial" w:eastAsia="Arial" w:hAnsi="Arial"/>
          <w:sz w:val="13"/>
          <w:szCs w:val="13"/>
          <w:color w:val="auto"/>
        </w:rPr>
      </w:pPr>
    </w:p>
    <w:p>
      <w:pPr>
        <w:ind w:left="900"/>
        <w:spacing w:after="0"/>
        <w:rPr>
          <w:rFonts w:ascii="Arial" w:cs="Arial" w:eastAsia="Arial" w:hAnsi="Arial"/>
          <w:sz w:val="13"/>
          <w:szCs w:val="13"/>
          <w:color w:val="auto"/>
        </w:rPr>
      </w:pPr>
      <w:r>
        <w:rPr>
          <w:rFonts w:ascii="Arial" w:cs="Arial" w:eastAsia="Arial" w:hAnsi="Arial"/>
          <w:sz w:val="13"/>
          <w:szCs w:val="13"/>
          <w:b w:val="1"/>
          <w:bCs w:val="1"/>
          <w:color w:val="auto"/>
        </w:rPr>
        <w:t>Nominees:</w:t>
      </w:r>
    </w:p>
    <w:p>
      <w:pPr>
        <w:spacing w:after="0" w:line="51" w:lineRule="exact"/>
        <w:rPr>
          <w:sz w:val="20"/>
          <w:szCs w:val="20"/>
          <w:color w:val="auto"/>
        </w:rPr>
      </w:pPr>
    </w:p>
    <w:p>
      <w:pPr>
        <w:ind w:left="1280" w:hanging="376"/>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August J. Troendle</w:t>
      </w:r>
    </w:p>
    <w:p>
      <w:pPr>
        <w:ind w:left="1280" w:hanging="376"/>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Ashley M. Keating</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jc w:val="center"/>
              <w:ind w:right="54"/>
              <w:spacing w:after="0"/>
              <w:rPr>
                <w:sz w:val="20"/>
                <w:szCs w:val="20"/>
                <w:color w:val="auto"/>
              </w:rPr>
            </w:pPr>
            <w:r>
              <w:rPr>
                <w:rFonts w:ascii="Arial" w:cs="Arial" w:eastAsia="Arial" w:hAnsi="Arial"/>
                <w:sz w:val="13"/>
                <w:szCs w:val="13"/>
                <w:b w:val="1"/>
                <w:bCs w:val="1"/>
                <w:color w:val="auto"/>
                <w:w w:val="95"/>
              </w:rPr>
              <w:t>For</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900" w:type="dxa"/>
            <w:vAlign w:val="bottom"/>
          </w:tcPr>
          <w:p>
            <w:pPr>
              <w:jc w:val="center"/>
              <w:ind w:right="194"/>
              <w:spacing w:after="0"/>
              <w:rPr>
                <w:sz w:val="20"/>
                <w:szCs w:val="20"/>
                <w:color w:val="auto"/>
              </w:rPr>
            </w:pPr>
            <w:r>
              <w:rPr>
                <w:rFonts w:ascii="Arial" w:cs="Arial" w:eastAsia="Arial" w:hAnsi="Arial"/>
                <w:sz w:val="13"/>
                <w:szCs w:val="13"/>
                <w:b w:val="1"/>
                <w:bCs w:val="1"/>
                <w:color w:val="auto"/>
                <w:w w:val="97"/>
              </w:rPr>
              <w:t>For All</w:t>
            </w:r>
          </w:p>
        </w:tc>
        <w:tc>
          <w:tcPr>
            <w:tcW w:w="3020" w:type="dxa"/>
            <w:vAlign w:val="bottom"/>
            <w:gridSpan w:val="2"/>
          </w:tcPr>
          <w:p>
            <w:pPr>
              <w:spacing w:after="0"/>
              <w:rPr>
                <w:sz w:val="20"/>
                <w:szCs w:val="20"/>
                <w:color w:val="auto"/>
              </w:rPr>
            </w:pPr>
            <w:r>
              <w:rPr>
                <w:rFonts w:ascii="Arial" w:cs="Arial" w:eastAsia="Arial" w:hAnsi="Arial"/>
                <w:sz w:val="13"/>
                <w:szCs w:val="13"/>
                <w:color w:val="auto"/>
              </w:rPr>
              <w:t>To  withhold  authority  to  vote  for  any  individual</w:t>
            </w:r>
          </w:p>
        </w:tc>
      </w:tr>
      <w:tr>
        <w:trPr>
          <w:trHeight w:val="135"/>
        </w:trPr>
        <w:tc>
          <w:tcPr>
            <w:tcW w:w="32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96"/>
              </w:rPr>
              <w:t>All</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All</w:t>
            </w:r>
          </w:p>
        </w:tc>
        <w:tc>
          <w:tcPr>
            <w:tcW w:w="900" w:type="dxa"/>
            <w:vAlign w:val="bottom"/>
          </w:tcPr>
          <w:p>
            <w:pPr>
              <w:jc w:val="center"/>
              <w:ind w:right="214"/>
              <w:spacing w:after="0" w:line="135" w:lineRule="exact"/>
              <w:rPr>
                <w:sz w:val="20"/>
                <w:szCs w:val="20"/>
                <w:color w:val="auto"/>
              </w:rPr>
            </w:pPr>
            <w:r>
              <w:rPr>
                <w:rFonts w:ascii="Arial" w:cs="Arial" w:eastAsia="Arial" w:hAnsi="Arial"/>
                <w:sz w:val="13"/>
                <w:szCs w:val="13"/>
                <w:b w:val="1"/>
                <w:bCs w:val="1"/>
                <w:color w:val="auto"/>
                <w:w w:val="98"/>
              </w:rPr>
              <w:t>Except</w:t>
            </w:r>
          </w:p>
        </w:tc>
        <w:tc>
          <w:tcPr>
            <w:tcW w:w="3020" w:type="dxa"/>
            <w:vAlign w:val="bottom"/>
            <w:gridSpan w:val="2"/>
          </w:tcPr>
          <w:p>
            <w:pPr>
              <w:spacing w:after="0" w:line="135" w:lineRule="exact"/>
              <w:rPr>
                <w:sz w:val="20"/>
                <w:szCs w:val="20"/>
                <w:color w:val="auto"/>
              </w:rPr>
            </w:pPr>
            <w:r>
              <w:rPr>
                <w:rFonts w:ascii="Arial" w:cs="Arial" w:eastAsia="Arial" w:hAnsi="Arial"/>
                <w:sz w:val="13"/>
                <w:szCs w:val="13"/>
                <w:color w:val="auto"/>
              </w:rPr>
              <w:t>nominee(s),  mark  “For  All  Except”  and  write  the</w:t>
            </w:r>
          </w:p>
        </w:tc>
      </w:tr>
      <w:tr>
        <w:trPr>
          <w:trHeight w:val="166"/>
        </w:trPr>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Arial" w:cs="Arial" w:eastAsia="Arial" w:hAnsi="Arial"/>
                <w:sz w:val="13"/>
                <w:szCs w:val="13"/>
                <w:color w:val="auto"/>
              </w:rPr>
              <w:t>number(s) of the nominee(s) on the line below.</w:t>
            </w:r>
          </w:p>
        </w:tc>
      </w:tr>
      <w:tr>
        <w:trPr>
          <w:trHeight w:val="405"/>
        </w:trPr>
        <w:tc>
          <w:tcPr>
            <w:tcW w:w="320" w:type="dxa"/>
            <w:vAlign w:val="bottom"/>
          </w:tcPr>
          <w:p>
            <w:pPr>
              <w:jc w:val="center"/>
              <w:ind w:right="54"/>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900" w:type="dxa"/>
            <w:vAlign w:val="bottom"/>
          </w:tcPr>
          <w:p>
            <w:pPr>
              <w:jc w:val="center"/>
              <w:ind w:right="214"/>
              <w:spacing w:after="0" w:line="141" w:lineRule="exact"/>
              <w:rPr>
                <w:sz w:val="20"/>
                <w:szCs w:val="20"/>
                <w:color w:val="auto"/>
              </w:rPr>
            </w:pPr>
            <w:r>
              <w:rPr>
                <w:rFonts w:ascii="MS PGothic" w:cs="MS PGothic" w:eastAsia="MS PGothic" w:hAnsi="MS PGothic"/>
                <w:sz w:val="14"/>
                <w:szCs w:val="14"/>
                <w:color w:val="auto"/>
                <w:w w:val="99"/>
              </w:rPr>
              <w:t>☐</w:t>
            </w:r>
          </w:p>
        </w:tc>
        <w:tc>
          <w:tcPr>
            <w:tcW w:w="26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bl>
    <w:p>
      <w:pPr>
        <w:spacing w:after="0" w:line="762" w:lineRule="exact"/>
        <w:rPr>
          <w:sz w:val="20"/>
          <w:szCs w:val="20"/>
          <w:color w:val="auto"/>
        </w:rPr>
      </w:pPr>
    </w:p>
    <w:p>
      <w:pPr>
        <w:sectPr>
          <w:pgSz w:w="11900" w:h="16838" w:orient="portrait"/>
          <w:cols w:equalWidth="0" w:num="2">
            <w:col w:w="3840" w:space="300"/>
            <w:col w:w="7060"/>
          </w:cols>
          <w:pgMar w:left="320" w:top="455" w:right="379" w:bottom="1440" w:gutter="0" w:footer="0" w:header="0"/>
          <w:type w:val="continuous"/>
        </w:sectPr>
      </w:pPr>
    </w:p>
    <w:p>
      <w:pPr>
        <w:spacing w:after="0" w:line="98" w:lineRule="exact"/>
        <w:rPr>
          <w:sz w:val="20"/>
          <w:szCs w:val="20"/>
          <w:color w:val="auto"/>
        </w:rPr>
      </w:pPr>
    </w:p>
    <w:p>
      <w:pPr>
        <w:ind w:left="580"/>
        <w:spacing w:after="0"/>
        <w:tabs>
          <w:tab w:leader="none" w:pos="9240" w:val="left"/>
          <w:tab w:leader="none" w:pos="9600" w:val="left"/>
          <w:tab w:leader="none" w:pos="10260" w:val="left"/>
        </w:tabs>
        <w:rPr>
          <w:sz w:val="20"/>
          <w:szCs w:val="20"/>
          <w:color w:val="auto"/>
        </w:rPr>
      </w:pPr>
      <w:r>
        <w:rPr>
          <w:rFonts w:ascii="Arial" w:cs="Arial" w:eastAsia="Arial" w:hAnsi="Arial"/>
          <w:sz w:val="13"/>
          <w:szCs w:val="13"/>
          <w:b w:val="1"/>
          <w:bCs w:val="1"/>
          <w:color w:val="auto"/>
        </w:rPr>
        <w:t>The Board of Directors recommends you vote FOR the following proposals:</w:t>
      </w:r>
      <w:r>
        <w:rPr>
          <w:sz w:val="20"/>
          <w:szCs w:val="20"/>
          <w:color w:val="auto"/>
        </w:rPr>
        <w:tab/>
      </w: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ectPr>
          <w:pgSz w:w="11900" w:h="16838" w:orient="portrait"/>
          <w:cols w:equalWidth="0" w:num="1">
            <w:col w:w="11200"/>
          </w:cols>
          <w:pgMar w:left="320" w:top="455" w:right="379" w:bottom="1440" w:gutter="0" w:footer="0" w:header="0"/>
          <w:type w:val="continuous"/>
        </w:sectPr>
      </w:pPr>
    </w:p>
    <w:p>
      <w:pPr>
        <w:spacing w:after="0" w:line="161" w:lineRule="exact"/>
        <w:rPr>
          <w:sz w:val="20"/>
          <w:szCs w:val="20"/>
          <w:color w:val="auto"/>
        </w:rPr>
      </w:pPr>
    </w:p>
    <w:p>
      <w:pPr>
        <w:ind w:left="900" w:right="420" w:hanging="320"/>
        <w:spacing w:after="0" w:line="243" w:lineRule="auto"/>
        <w:tabs>
          <w:tab w:leader="none" w:pos="9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To ratify the appointment of Deloitte &amp; Touche LLP as our independent registered public accounting firm for the fiscal year ending December 31, 2022.</w:t>
      </w:r>
    </w:p>
    <w:p>
      <w:pPr>
        <w:spacing w:after="0" w:line="183" w:lineRule="exact"/>
        <w:rPr>
          <w:rFonts w:ascii="Arial" w:cs="Arial" w:eastAsia="Arial" w:hAnsi="Arial"/>
          <w:sz w:val="13"/>
          <w:szCs w:val="13"/>
          <w:color w:val="auto"/>
        </w:rPr>
      </w:pPr>
    </w:p>
    <w:p>
      <w:pPr>
        <w:ind w:left="900" w:right="420" w:hanging="320"/>
        <w:spacing w:after="0" w:line="243" w:lineRule="auto"/>
        <w:tabs>
          <w:tab w:leader="none" w:pos="9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To approve, on an advisory basis, the compensation of our named executive officers as disclosed in the proxy statement for the 2022 Annual Meeting.</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To transact such other business as may properly come before the meeting or any continuation, postponement, or adjournment thereof.</w:t>
      </w:r>
    </w:p>
    <w:p>
      <w:pPr>
        <w:spacing w:after="0" w:line="107" w:lineRule="exact"/>
        <w:rPr>
          <w:sz w:val="20"/>
          <w:szCs w:val="20"/>
          <w:color w:val="auto"/>
        </w:rPr>
      </w:pPr>
    </w:p>
    <w:p>
      <w:pPr>
        <w:jc w:val="both"/>
        <w:ind w:left="580"/>
        <w:spacing w:after="0" w:line="225"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THIS PROXY WILL BE VOTED AS DIRECTED OR, IF NO CONTRARY DIRECTION IS INDICATED, WILL BE VOTED AS FOLLOWS: (1) FOR</w:t>
      </w:r>
      <w:r>
        <w:rPr>
          <w:rFonts w:ascii="Arial" w:cs="Arial" w:eastAsia="Arial" w:hAnsi="Arial"/>
          <w:sz w:val="13"/>
          <w:szCs w:val="13"/>
          <w:b w:val="1"/>
          <w:bCs w:val="1"/>
          <w:color w:val="auto"/>
        </w:rPr>
        <w:t xml:space="preserve"> </w:t>
      </w:r>
      <w:r>
        <w:rPr>
          <w:rFonts w:ascii="Arial" w:cs="Arial" w:eastAsia="Arial" w:hAnsi="Arial"/>
          <w:sz w:val="13"/>
          <w:szCs w:val="13"/>
          <w:color w:val="auto"/>
        </w:rPr>
        <w:t>THE ELECTION OF THE TWO NOMINATED DIRECTORS; (2) FOR THE RATIFICATION OF THE APPOINTMENT OF DELOITTE &amp; TOUCHE LLP AS OUR INDEPENDENT REGISTERED PUBLIC ACCOUNTING FIRM FOR THE FISCAL YEAR ENDING DECEMBER 31, 2022; (3) FOR THE APPROVAL, ON AN ADVISORY BASIS, OF THE COMPENSATION OF OUR NAMED EXECUTIVE OFFICERS AS DISCLOSED IN THE PROXY STATEMENT FOR THE 2022 ANNUAL MEETING; AND (4) IN THE DISCRETION OF THE PROXY HOLDERS ON SUCH MATTERS AS MAY COME BEFORE THE MEETING.</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41" w:lineRule="exact"/>
        <w:tabs>
          <w:tab w:leader="none" w:pos="460" w:val="left"/>
          <w:tab w:leader="none" w:pos="11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346" w:lineRule="exact"/>
        <w:rPr>
          <w:sz w:val="20"/>
          <w:szCs w:val="20"/>
          <w:color w:val="auto"/>
        </w:rPr>
      </w:pPr>
    </w:p>
    <w:p>
      <w:pPr>
        <w:spacing w:after="0" w:line="141" w:lineRule="exact"/>
        <w:tabs>
          <w:tab w:leader="none" w:pos="460" w:val="left"/>
          <w:tab w:leader="none" w:pos="11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1657" w:lineRule="exact"/>
        <w:rPr>
          <w:sz w:val="20"/>
          <w:szCs w:val="20"/>
          <w:color w:val="auto"/>
        </w:rPr>
      </w:pPr>
    </w:p>
    <w:p>
      <w:pPr>
        <w:sectPr>
          <w:pgSz w:w="11900" w:h="16838" w:orient="portrait"/>
          <w:cols w:equalWidth="0" w:num="2">
            <w:col w:w="9140" w:space="160"/>
            <w:col w:w="1900"/>
          </w:cols>
          <w:pgMar w:left="320" w:top="45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Please sign exactly as your name(s) appear(s) hereon. When signing as attorney,</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executor, administrator, or other fiduciary, please give full title as such. Joint owners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should each sign personally. All holders must sign. If a corporation or partnership,</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please sign in full corporate or partnership name by authorized officer.</w:t>
      </w:r>
    </w:p>
    <w:p>
      <w:pPr>
        <w:sectPr>
          <w:pgSz w:w="11900" w:h="16838" w:orient="portrait"/>
          <w:cols w:equalWidth="0" w:num="1">
            <w:col w:w="11200"/>
          </w:cols>
          <w:pgMar w:left="320" w:top="455" w:right="379"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ind w:left="560"/>
        <w:spacing w:after="0"/>
        <w:tabs>
          <w:tab w:leader="none" w:pos="3420" w:val="left"/>
          <w:tab w:leader="none" w:pos="5220" w:val="left"/>
          <w:tab w:leader="none" w:pos="81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ectPr>
          <w:pgSz w:w="11900" w:h="16838" w:orient="portrait"/>
          <w:cols w:equalWidth="0" w:num="1">
            <w:col w:w="11200"/>
          </w:cols>
          <w:pgMar w:left="320" w:top="455" w:right="379" w:bottom="1440" w:gutter="0" w:footer="0" w:header="0"/>
          <w:type w:val="continuous"/>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F3F3F"/>
        </w:rPr>
        <w:t>— — — — — — — — — — — — — — — — — — — — — — — — — — — — — — — — — — — — — — — — — — — — — — — —</w:t>
      </w:r>
    </w:p>
    <w:p>
      <w:pPr>
        <w:spacing w:after="0" w:line="40" w:lineRule="exact"/>
        <w:rPr>
          <w:sz w:val="20"/>
          <w:szCs w:val="20"/>
          <w:color w:val="auto"/>
        </w:rPr>
      </w:pPr>
    </w:p>
    <w:p>
      <w:pPr>
        <w:ind w:left="9800"/>
        <w:spacing w:after="0"/>
        <w:rPr>
          <w:sz w:val="20"/>
          <w:szCs w:val="20"/>
          <w:color w:val="auto"/>
        </w:rPr>
      </w:pPr>
      <w:r>
        <w:rPr>
          <w:rFonts w:ascii="Arial" w:cs="Arial" w:eastAsia="Arial" w:hAnsi="Arial"/>
          <w:sz w:val="13"/>
          <w:szCs w:val="13"/>
          <w:color w:val="auto"/>
        </w:rPr>
        <w:t>D75007-P70226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4525" cy="384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4525" cy="384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MEDPACE HOLDINGS,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w:t>
      </w:r>
    </w:p>
    <w:p>
      <w:pPr>
        <w:jc w:val="center"/>
        <w:ind w:right="-39"/>
        <w:spacing w:after="0" w:line="234" w:lineRule="auto"/>
        <w:rPr>
          <w:sz w:val="20"/>
          <w:szCs w:val="20"/>
          <w:color w:val="auto"/>
        </w:rPr>
      </w:pPr>
      <w:r>
        <w:rPr>
          <w:rFonts w:ascii="Arial" w:cs="Arial" w:eastAsia="Arial" w:hAnsi="Arial"/>
          <w:sz w:val="18"/>
          <w:szCs w:val="18"/>
          <w:b w:val="1"/>
          <w:bCs w:val="1"/>
          <w:color w:val="auto"/>
        </w:rPr>
        <w:t>May 20, 2022 9:00 AM EDT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194" w:lineRule="exact"/>
        <w:rPr>
          <w:sz w:val="20"/>
          <w:szCs w:val="20"/>
          <w:color w:val="auto"/>
        </w:rPr>
      </w:pPr>
    </w:p>
    <w:p>
      <w:pPr>
        <w:jc w:val="both"/>
        <w:ind w:left="380" w:right="320"/>
        <w:spacing w:after="0" w:line="244" w:lineRule="auto"/>
        <w:rPr>
          <w:sz w:val="20"/>
          <w:szCs w:val="20"/>
          <w:color w:val="auto"/>
        </w:rPr>
      </w:pPr>
      <w:r>
        <w:rPr>
          <w:rFonts w:ascii="Arial" w:cs="Arial" w:eastAsia="Arial" w:hAnsi="Arial"/>
          <w:sz w:val="18"/>
          <w:szCs w:val="18"/>
          <w:color w:val="3F3F3F"/>
        </w:rPr>
        <w:t>The undersigned stockholder(s) of Medpace Holdings, Inc. (the “Company”) hereby appoint(s) Jesse J. Geiger and Stephen P. Ewald, or either of them, as proxies, each with the power to appoint his substitute, and hereby authorize(s) them to represent and to vote, as designated on the reverse side of this proxy card, all of the shares of common stock of the Company that the stockholder(s) is/are entitled to vote at the Annual Meeting of Stockholders to be held at 9:00 AM EDT on May 20, 2022, at www.virtualshareholdermeeting.com/MEDP2022, and any continuation, postponement or adjournment thereof.</w:t>
      </w:r>
    </w:p>
    <w:p>
      <w:pPr>
        <w:spacing w:after="0" w:line="176" w:lineRule="exact"/>
        <w:rPr>
          <w:sz w:val="20"/>
          <w:szCs w:val="20"/>
          <w:color w:val="auto"/>
        </w:rPr>
      </w:pPr>
    </w:p>
    <w:p>
      <w:pPr>
        <w:jc w:val="both"/>
        <w:ind w:left="380" w:right="320"/>
        <w:spacing w:after="0" w:line="247" w:lineRule="auto"/>
        <w:rPr>
          <w:sz w:val="20"/>
          <w:szCs w:val="20"/>
          <w:color w:val="auto"/>
        </w:rPr>
      </w:pPr>
      <w:r>
        <w:rPr>
          <w:rFonts w:ascii="Arial" w:cs="Arial" w:eastAsia="Arial" w:hAnsi="Arial"/>
          <w:sz w:val="18"/>
          <w:szCs w:val="18"/>
          <w:color w:val="3F3F3F"/>
        </w:rPr>
        <w:t>Such proxies are authorized to vote in their discretion (x) for the election of any person to the Board of Directors if any nominee named herein becomes unable to serve or for good cause will not serve, (y) on any matter that the Board of Directors did not know would be presented at the Annual Meeting by a reasonable time before the proxy solicitation was made, and (z) on such other business as may properly be brought before the meeting or any continuation, postponement or adjournment thereof.</w:t>
      </w:r>
    </w:p>
    <w:p>
      <w:pPr>
        <w:spacing w:after="0" w:line="174" w:lineRule="exact"/>
        <w:rPr>
          <w:sz w:val="20"/>
          <w:szCs w:val="20"/>
          <w:color w:val="auto"/>
        </w:rPr>
      </w:pPr>
    </w:p>
    <w:p>
      <w:pPr>
        <w:jc w:val="both"/>
        <w:ind w:left="380" w:right="320"/>
        <w:spacing w:after="0" w:line="281"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stockholder(s). If no such direction is made, this proxy will be voted in accordance with the Board of Directors’ recommendations.</w:t>
      </w:r>
    </w:p>
    <w:p>
      <w:pPr>
        <w:sectPr>
          <w:pgSz w:w="11900" w:h="16838" w:orient="portrait"/>
          <w:cols w:equalWidth="0" w:num="1">
            <w:col w:w="11200"/>
          </w:cols>
          <w:pgMar w:left="320" w:top="455" w:right="37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Continued and to be signed on reverse side</w:t>
      </w:r>
    </w:p>
    <w:sectPr>
      <w:pgSz w:w="11900" w:h="16838" w:orient="portrait"/>
      <w:cols w:equalWidth="0" w:num="1">
        <w:col w:w="11200"/>
      </w:cols>
      <w:pgMar w:left="320" w:top="455"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lowerRoman"/>
      <w:start w:val="2"/>
    </w:lvl>
  </w:abstractNum>
  <w:abstractNum w:abstractNumId="9">
    <w:nsid w:val="436C6125"/>
    <w:multiLevelType w:val="hybridMultilevel"/>
    <w:lvl w:ilvl="0">
      <w:lvlJc w:val="left"/>
      <w:lvlText w:val="(%1)"/>
      <w:numFmt w:val="lowerRoman"/>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4"/>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3"/>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2"/>
    </w:lvl>
  </w:abstractNum>
  <w:abstractNum w:abstractNumId="30">
    <w:nsid w:val="7C3DBD3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2022-04-06T15:07:26Z</dcterms:created>
  <dcterms:modified xsi:type="dcterms:W3CDTF">2022-04-06T15:07:26Z</dcterms:modified>
</cp:coreProperties>
</file>