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333-220306</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 TO PROSPECTUS DATED OCTOBER 23, 2017</w:t>
      </w:r>
    </w:p>
    <w:p>
      <w:pPr>
        <w:spacing w:after="0" w:line="35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5,224,997 Shares</w:t>
      </w: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Medpace Holdings, Inc.</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69" w:lineRule="exact"/>
        <w:rPr>
          <w:sz w:val="24"/>
          <w:szCs w:val="24"/>
          <w:color w:val="auto"/>
        </w:rPr>
      </w:pPr>
    </w:p>
    <w:p>
      <w:pPr>
        <w:ind w:left="200" w:right="100"/>
        <w:spacing w:after="0" w:line="277" w:lineRule="auto"/>
        <w:rPr>
          <w:sz w:val="20"/>
          <w:szCs w:val="20"/>
          <w:color w:val="auto"/>
        </w:rPr>
      </w:pPr>
      <w:r>
        <w:rPr>
          <w:rFonts w:ascii="Arial" w:cs="Arial" w:eastAsia="Arial" w:hAnsi="Arial"/>
          <w:sz w:val="18"/>
          <w:szCs w:val="18"/>
          <w:color w:val="auto"/>
        </w:rPr>
        <w:t>The selling shareholder named in this prospectus supplement is offering 5,224,997 shares of our common stock in this offering. We will not receive any proceeds from the sale of our common stock by the selling shareholder in this offering.</w:t>
      </w:r>
    </w:p>
    <w:p>
      <w:pPr>
        <w:spacing w:after="0" w:line="319" w:lineRule="exact"/>
        <w:rPr>
          <w:sz w:val="24"/>
          <w:szCs w:val="24"/>
          <w:color w:val="auto"/>
        </w:rPr>
      </w:pPr>
    </w:p>
    <w:p>
      <w:pPr>
        <w:ind w:left="200" w:right="38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“MEDP.” On August 22, 2018, the closing sale price of our common stock as reported on NASDAQ was $56.36 per share.</w:t>
      </w:r>
    </w:p>
    <w:p>
      <w:pPr>
        <w:spacing w:after="0" w:line="319" w:lineRule="exact"/>
        <w:rPr>
          <w:sz w:val="24"/>
          <w:szCs w:val="24"/>
          <w:color w:val="auto"/>
        </w:rPr>
      </w:pPr>
    </w:p>
    <w:p>
      <w:pPr>
        <w:ind w:left="200" w:right="320"/>
        <w:spacing w:after="0" w:line="277"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supplement and future filings.</w:t>
      </w:r>
    </w:p>
    <w:p>
      <w:pPr>
        <w:spacing w:after="0" w:line="292" w:lineRule="exact"/>
        <w:rPr>
          <w:sz w:val="24"/>
          <w:szCs w:val="24"/>
          <w:color w:val="auto"/>
        </w:rPr>
      </w:pPr>
    </w:p>
    <w:p>
      <w:pPr>
        <w:ind w:left="200" w:right="8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risks. See “</w:t>
      </w:r>
      <w:hyperlink w:anchor="page1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S-6 of this prospectus supplement and the risk factors described in the documents incorporated by reference in this prospectus supplement, including our 2017 10-K, our 2018 First Quarter 10-Q and our 2018 Second Quarter 10-Q (each as defined herein), and the accompanying prospectus to read about factors you should consider before purchasing our common stock.</w:t>
      </w:r>
    </w:p>
    <w:p>
      <w:pPr>
        <w:spacing w:after="0" w:line="294" w:lineRule="exact"/>
        <w:rPr>
          <w:sz w:val="24"/>
          <w:szCs w:val="24"/>
          <w:color w:val="auto"/>
        </w:rPr>
      </w:pPr>
    </w:p>
    <w:p>
      <w:pPr>
        <w:ind w:left="200" w:right="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nor any other regulatory body has approved or disapproved of these securities or passed upon the accuracy or adequacy of this prospectus supplement. Any representation to the contrary is a criminal offense.</w:t>
      </w:r>
    </w:p>
    <w:p>
      <w:pPr>
        <w:spacing w:after="0" w:line="374" w:lineRule="exact"/>
        <w:rPr>
          <w:sz w:val="24"/>
          <w:szCs w:val="24"/>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120" w:type="dxa"/>
            <w:vAlign w:val="bottom"/>
            <w:gridSpan w:val="3"/>
          </w:tcPr>
          <w:p>
            <w:pPr>
              <w:ind w:left="2300"/>
              <w:spacing w:after="0"/>
              <w:rPr>
                <w:sz w:val="20"/>
                <w:szCs w:val="20"/>
                <w:color w:val="auto"/>
              </w:rPr>
            </w:pPr>
            <w:r>
              <w:rPr>
                <w:rFonts w:ascii="Arial" w:cs="Arial" w:eastAsia="Arial" w:hAnsi="Arial"/>
                <w:sz w:val="14"/>
                <w:szCs w:val="14"/>
                <w:b w:val="1"/>
                <w:bCs w:val="1"/>
                <w:color w:val="auto"/>
                <w:w w:val="97"/>
              </w:rPr>
              <w:t>PER SHARE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289,987,333.50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56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3,918,747.75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256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286,068,585.75</w:t>
            </w:r>
          </w:p>
        </w:tc>
        <w:tc>
          <w:tcPr>
            <w:tcW w:w="6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4"/>
          <w:szCs w:val="24"/>
          <w:color w:val="auto"/>
        </w:rPr>
      </w:pPr>
    </w:p>
    <w:p>
      <w:pPr>
        <w:ind w:left="200" w:right="400" w:firstLine="4"/>
        <w:spacing w:after="0" w:line="684" w:lineRule="auto"/>
        <w:tabs>
          <w:tab w:leader="none" w:pos="63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 for certain expenses in connection with this offering. See “Underwriting (Conflicts of Interest).” Delivery of the shares of common stock is expected to be made on or about August 27, 2018.</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Morgan Stanley</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dated August 22, 2018.</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25"/>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058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820" w:type="dxa"/>
            <w:vAlign w:val="bottom"/>
            <w:tcBorders>
              <w:top w:val="single" w:sz="8" w:color="0000EE"/>
            </w:tcBorders>
            <w:gridSpan w:val="7"/>
          </w:tcPr>
          <w:p>
            <w:pPr>
              <w:spacing w:after="0"/>
              <w:rPr>
                <w:sz w:val="17"/>
                <w:szCs w:val="17"/>
                <w:color w:val="auto"/>
              </w:rPr>
            </w:pPr>
          </w:p>
        </w:tc>
        <w:tc>
          <w:tcPr>
            <w:tcW w:w="85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CAUTIONARY NOTE REGARDING FORWARD LOOKING STATEMENTS</w:t>
              </w:r>
            </w:hyperlink>
          </w:p>
        </w:tc>
        <w:tc>
          <w:tcPr>
            <w:tcW w:w="48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MARKET PRICE OF OUR COMMON STOCK</w:t>
              </w:r>
            </w:hyperlink>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70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DIVIDEND POLICY</w:t>
              </w:r>
            </w:hyperlink>
          </w:p>
        </w:tc>
        <w:tc>
          <w:tcPr>
            <w:tcW w:w="900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SELLING SHAREHOLDER</w:t>
              </w:r>
            </w:hyperlink>
          </w:p>
        </w:tc>
        <w:tc>
          <w:tcPr>
            <w:tcW w:w="84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MATERIAL U.S. FEDERAL INCOME TAX CONSEQUENCES TO NON-U.S. HOLDERS</w:t>
              </w:r>
            </w:hyperlink>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UNDERWRITING (CONFLICTS OF INTEREST)</w:t>
              </w:r>
            </w:hyperlink>
          </w:p>
        </w:tc>
        <w:tc>
          <w:tcPr>
            <w:tcW w:w="38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2240" w:type="dxa"/>
            <w:vAlign w:val="bottom"/>
            <w:tcBorders>
              <w:top w:val="single" w:sz="8" w:color="0000EE"/>
            </w:tcBorders>
            <w:gridSpan w:val="14"/>
          </w:tcPr>
          <w:p>
            <w:pPr>
              <w:spacing w:after="0"/>
              <w:rPr>
                <w:sz w:val="17"/>
                <w:szCs w:val="17"/>
                <w:color w:val="auto"/>
              </w:rPr>
            </w:pPr>
          </w:p>
        </w:tc>
        <w:tc>
          <w:tcPr>
            <w:tcW w:w="68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98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67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OF DOCUMENTS BY REFERENCE</w:t>
              </w:r>
            </w:hyperlink>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S-35</w:t>
            </w:r>
          </w:p>
        </w:tc>
        <w:tc>
          <w:tcPr>
            <w:tcW w:w="0" w:type="dxa"/>
            <w:vAlign w:val="bottom"/>
          </w:tcPr>
          <w:p>
            <w:pPr>
              <w:spacing w:after="0"/>
              <w:rPr>
                <w:sz w:val="1"/>
                <w:szCs w:val="1"/>
                <w:color w:val="auto"/>
              </w:rPr>
            </w:pPr>
          </w:p>
        </w:tc>
      </w:tr>
      <w:tr>
        <w:trPr>
          <w:trHeight w:val="669"/>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320" w:type="dxa"/>
            <w:vAlign w:val="bottom"/>
            <w:gridSpan w:val="5"/>
          </w:tcPr>
          <w:p>
            <w:pPr>
              <w:ind w:left="660"/>
              <w:spacing w:after="0"/>
              <w:rPr>
                <w:sz w:val="20"/>
                <w:szCs w:val="20"/>
                <w:color w:val="auto"/>
              </w:rPr>
            </w:pPr>
            <w:r>
              <w:rPr>
                <w:rFonts w:ascii="Arial" w:cs="Arial" w:eastAsia="Arial" w:hAnsi="Arial"/>
                <w:sz w:val="18"/>
                <w:szCs w:val="18"/>
                <w:b w:val="1"/>
                <w:bCs w:val="1"/>
                <w:color w:val="auto"/>
              </w:rPr>
              <w:t>PROSPECTUS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gridSpan w:val="11"/>
            <w:vMerge w:val="restart"/>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8340" w:type="dxa"/>
            <w:vAlign w:val="bottom"/>
            <w:gridSpan w:val="14"/>
            <w:vMerge w:val="restart"/>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1"/>
            <w:vMerge w:val="continue"/>
          </w:tcPr>
          <w:p>
            <w:pPr>
              <w:spacing w:after="0"/>
              <w:rPr>
                <w:sz w:val="14"/>
                <w:szCs w:val="14"/>
                <w:color w:val="auto"/>
              </w:rPr>
            </w:pPr>
          </w:p>
        </w:tc>
        <w:tc>
          <w:tcPr>
            <w:tcW w:w="834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WHERE YOU CAN FIND MORE INFORMATION; INCORPORATION BY REFERENCE</w:t>
              </w:r>
            </w:hyperlink>
          </w:p>
        </w:tc>
        <w:tc>
          <w:tcPr>
            <w:tcW w:w="384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THE COMPANY</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9300" w:type="dxa"/>
            <w:vAlign w:val="bottom"/>
            <w:gridSpan w:val="2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CAUTIONARY NOTE REGARDING FORWARD LOOKING STATEMENTS</w:t>
              </w:r>
            </w:hyperlink>
          </w:p>
        </w:tc>
        <w:tc>
          <w:tcPr>
            <w:tcW w:w="48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RATIO OF EARNINGS TO FIXED CHARGES AND PREFERRED STOCK DIVIDENDS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DESCRIPTION OF CAPITAL STOCK</w:t>
              </w:r>
            </w:hyperlink>
          </w:p>
        </w:tc>
        <w:tc>
          <w:tcPr>
            <w:tcW w:w="3780" w:type="dxa"/>
            <w:vAlign w:val="bottom"/>
            <w:tcBorders>
              <w:top w:val="single" w:sz="8" w:color="0000EE"/>
            </w:tcBorders>
            <w:gridSpan w:val="8"/>
          </w:tcPr>
          <w:p>
            <w:pPr>
              <w:spacing w:after="0"/>
              <w:rPr>
                <w:sz w:val="17"/>
                <w:szCs w:val="17"/>
                <w:color w:val="auto"/>
              </w:rPr>
            </w:pPr>
          </w:p>
        </w:tc>
        <w:tc>
          <w:tcPr>
            <w:tcW w:w="392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DEBT SECURITIES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DEPOSITARY SHARES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WARRANTS</w:t>
              </w:r>
            </w:hyperlink>
          </w:p>
        </w:tc>
        <w:tc>
          <w:tcPr>
            <w:tcW w:w="726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UNITS</w:t>
              </w:r>
            </w:hyperlink>
          </w:p>
        </w:tc>
        <w:tc>
          <w:tcPr>
            <w:tcW w:w="8100" w:type="dxa"/>
            <w:vAlign w:val="bottom"/>
            <w:gridSpan w:val="1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GLOBAL SECURITIES</w:t>
              </w:r>
            </w:hyperlink>
          </w:p>
        </w:tc>
        <w:tc>
          <w:tcPr>
            <w:tcW w:w="220" w:type="dxa"/>
            <w:vAlign w:val="bottom"/>
            <w:tcBorders>
              <w:top w:val="single" w:sz="8" w:color="0000EE"/>
            </w:tcBorders>
          </w:tcPr>
          <w:p>
            <w:pPr>
              <w:spacing w:after="0"/>
              <w:rPr>
                <w:sz w:val="17"/>
                <w:szCs w:val="17"/>
                <w:color w:val="auto"/>
              </w:rPr>
            </w:pPr>
          </w:p>
        </w:tc>
        <w:tc>
          <w:tcPr>
            <w:tcW w:w="8560" w:type="dxa"/>
            <w:vAlign w:val="bottom"/>
            <w:gridSpan w:val="18"/>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SELLING SECURITYHOLDERS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5"/>
          </w:tcPr>
          <w:p>
            <w:pPr>
              <w:spacing w:after="0"/>
              <w:rPr>
                <w:sz w:val="17"/>
                <w:szCs w:val="17"/>
                <w:color w:val="auto"/>
              </w:rPr>
            </w:pPr>
          </w:p>
        </w:tc>
        <w:tc>
          <w:tcPr>
            <w:tcW w:w="808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LEGAL MATTERS</w:t>
              </w:r>
            </w:hyperlink>
          </w:p>
        </w:tc>
        <w:tc>
          <w:tcPr>
            <w:tcW w:w="9120" w:type="dxa"/>
            <w:vAlign w:val="bottom"/>
            <w:gridSpan w:val="2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EXPERTS</w:t>
              </w:r>
            </w:hyperlink>
          </w:p>
        </w:tc>
        <w:tc>
          <w:tcPr>
            <w:tcW w:w="9800" w:type="dxa"/>
            <w:vAlign w:val="bottom"/>
            <w:gridSpan w:val="2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You should rely only on the information contained in this prospectus supplement, the accompanying prospectus, or incorporated by reference herein and therein, or in any free writing prospectus we may authorize to be delivered or made available to you. Neither we, the selling shareholder nor the underwriter (or any of our or its respective affiliates) have authorized anyone to provide any information other than that contained in this prospectus supplement, the accompanying prospectus, or incorporated by reference herein and therein, or in any free writing prospectus prepared by or on behalf of us or to which we have referred you. Neither we, the selling shareholder nor the underwriter (or any of our or its respective affiliates) take any responsibility for, and can provide no assurance as to the reliability of, any other information that others may give you. We, the selling shareholder and the underwriter (or any of our or its respective affiliates) are not making an offer to sell these securities in any jurisdiction where the offer or sale is not permitted. You should assume that the information appearing in this prospectus supplement, the accompanying prospectus, or incorporated by reference herein and therein, and any free writing prospectus is only accurate as of its date. Our business, financial condition, results of operations and prospects may have changed since such date.</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 xml:space="preserve">We own or have the rights to use various trademarks referred to or incorporated by reference in this prospectus supplement and the accompanying prospectus, including, among others, Medpace and ClinTrak and their respective logos. Solely for convenience, we may refer to or incorporate by reference trademarks in this prospectus supplement and the accompanying prospectus without the TM and </w:t>
      </w:r>
      <w:r>
        <w:rPr>
          <w:rFonts w:ascii="Arial" w:cs="Arial" w:eastAsia="Arial" w:hAnsi="Arial"/>
          <w:sz w:val="15"/>
          <w:szCs w:val="15"/>
          <w:color w:val="auto"/>
        </w:rPr>
        <w:t>®</w:t>
      </w:r>
      <w:r>
        <w:rPr>
          <w:rFonts w:ascii="Arial" w:cs="Arial" w:eastAsia="Arial" w:hAnsi="Arial"/>
          <w:sz w:val="18"/>
          <w:szCs w:val="18"/>
          <w:color w:val="auto"/>
        </w:rPr>
        <w:t xml:space="preserve"> symbols. Such references are not intended to indicate, in any way, that we will not assert, to the fullest extent permitted by law, our rights to our trademarks. Other trademarks appearing in this prospectus supplement, the accompanying prospectus and documents incorporated by reference herein and therein,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AND INDUSTRY INFORMATION</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Market data used throughout or incorporated by reference in this prospectus supplement and the accompanying prospectus is based on management’s knowledge of the industry and the good faith estimates of management. All of management’s estimates presented or incorporated by reference in this prospectus supplement and the accompanying prospectus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included or incorporated by reference in this prospectus supplement and the accompanying prospectus and while we believe that each of the publications, studies and surveys used throughout or incorporated by reference in this prospectus supplement and the accompanying prospectus are prepared by reputable sources, neither we nor the underwriter have independently verified market and industry data from third-party sources.</w:t>
      </w:r>
    </w:p>
    <w:p>
      <w:pPr>
        <w:spacing w:after="0" w:line="17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All of the market data used or incorporated by reference in this prospectus supplement and the accompanying prospectus involves a number of assumptions and limitations, and you are cautioned not to give undue weight to such estimates. While we believe the estimated market position, market opportunity and market size information included or incorporated by reference in this prospectus supplement and the accompanying prospectus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“Risk Factors”, elsewhere in this prospectus supplement, the accompanying prospectus and in the documents incorporated by reference herein and therein. These and other factors could cause results to differ materially from those expressed in our estimates and beliefs and in the estimates prepared by independent parties. See “Cautionary Note Regarding Forward Looking Statements.”</w:t>
      </w: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define the terms below that appear throughout this prospectus supplement as follows:</w:t>
      </w:r>
    </w:p>
    <w:p>
      <w:pPr>
        <w:spacing w:after="0" w:line="22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2017 10-K.</w:t>
      </w:r>
      <w:r>
        <w:rPr>
          <w:rFonts w:ascii="Arial" w:cs="Arial" w:eastAsia="Arial" w:hAnsi="Arial"/>
          <w:sz w:val="18"/>
          <w:szCs w:val="18"/>
          <w:color w:val="auto"/>
        </w:rPr>
        <w:t>” 2017 10-K refers to our Annual Report on Form 10-K for the year ended December 31, 2017, filed with the Securities and Exchange Commission, or the SEC, on February 27, 2018, which is incorporated by reference herein.</w:t>
      </w:r>
    </w:p>
    <w:p>
      <w:pPr>
        <w:spacing w:after="0" w:line="17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2017 Proxy Statement.</w:t>
      </w:r>
      <w:r>
        <w:rPr>
          <w:rFonts w:ascii="Arial" w:cs="Arial" w:eastAsia="Arial" w:hAnsi="Arial"/>
          <w:sz w:val="18"/>
          <w:szCs w:val="18"/>
          <w:color w:val="auto"/>
        </w:rPr>
        <w:t>” refers to our Definitive Proxy Statement on Schedule 14A for the year ended December 31, 2017, filed with the SEC on April 5, 2018, which is incorporated by reference herein.</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2018 First Quarter 10-Q.</w:t>
      </w:r>
      <w:r>
        <w:rPr>
          <w:rFonts w:ascii="Arial" w:cs="Arial" w:eastAsia="Arial" w:hAnsi="Arial"/>
          <w:sz w:val="18"/>
          <w:szCs w:val="18"/>
          <w:color w:val="auto"/>
        </w:rPr>
        <w:t>” 2018 First Quarter 10-Q refers to our Quarterly Report on Form 10-Q, filed with the SEC on May 1, 2018, which is incorporated by reference herein.</w:t>
      </w:r>
    </w:p>
    <w:p>
      <w:pPr>
        <w:spacing w:after="0" w:line="17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2018 Second Quarter 10-Q.</w:t>
      </w:r>
      <w:r>
        <w:rPr>
          <w:rFonts w:ascii="Arial" w:cs="Arial" w:eastAsia="Arial" w:hAnsi="Arial"/>
          <w:sz w:val="18"/>
          <w:szCs w:val="18"/>
          <w:color w:val="auto"/>
        </w:rPr>
        <w:t>” 2018 Second Quarter 10-Q refers to our Quarterly Report on Form 10-Q, filed with the SEC on July 31, 2018, which is incorporated by reference herein.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Backlog</w:t>
      </w:r>
      <w:r>
        <w:rPr>
          <w:rFonts w:ascii="Arial" w:cs="Arial" w:eastAsia="Arial" w:hAnsi="Arial"/>
          <w:sz w:val="17"/>
          <w:szCs w:val="17"/>
          <w:b w:val="1"/>
          <w:bCs w:val="1"/>
          <w:color w:val="auto"/>
        </w:rPr>
        <w:t>.</w:t>
      </w:r>
      <w:r>
        <w:rPr>
          <w:rFonts w:ascii="Arial" w:cs="Arial" w:eastAsia="Arial" w:hAnsi="Arial"/>
          <w:sz w:val="17"/>
          <w:szCs w:val="17"/>
          <w:color w:val="auto"/>
        </w:rPr>
        <w:t>” Backlog represents anticipated future net revenue from net new business awards that have commenced, but have not been completed.</w:t>
      </w:r>
    </w:p>
    <w:p>
      <w:pPr>
        <w:spacing w:after="0" w:line="237" w:lineRule="exact"/>
        <w:rPr>
          <w:sz w:val="20"/>
          <w:szCs w:val="20"/>
          <w:color w:val="auto"/>
        </w:rPr>
      </w:pPr>
    </w:p>
    <w:p>
      <w:pPr>
        <w:jc w:val="both"/>
        <w:ind w:left="200" w:righ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Large pharmaceutical companies</w:t>
      </w:r>
      <w:r>
        <w:rPr>
          <w:rFonts w:ascii="Arial" w:cs="Arial" w:eastAsia="Arial" w:hAnsi="Arial"/>
          <w:sz w:val="16"/>
          <w:szCs w:val="16"/>
          <w:b w:val="1"/>
          <w:bCs w:val="1"/>
          <w:color w:val="auto"/>
        </w:rPr>
        <w:t>.</w:t>
      </w:r>
      <w:r>
        <w:rPr>
          <w:rFonts w:ascii="Arial" w:cs="Arial" w:eastAsia="Arial" w:hAnsi="Arial"/>
          <w:sz w:val="16"/>
          <w:szCs w:val="16"/>
          <w:color w:val="auto"/>
        </w:rPr>
        <w:t>” Large pharmaceutical companies represent the top 20 pharmaceutical companies by worldwide prescription drug sales in the year ended December 31, 2016 as classified by Evaluate Ltd in EvaluatePharma</w:t>
      </w:r>
      <w:r>
        <w:rPr>
          <w:rFonts w:ascii="Arial" w:cs="Arial" w:eastAsia="Arial" w:hAnsi="Arial"/>
          <w:sz w:val="13"/>
          <w:szCs w:val="13"/>
          <w:color w:val="auto"/>
        </w:rPr>
        <w:t>©</w:t>
      </w:r>
      <w:r>
        <w:rPr>
          <w:rFonts w:ascii="Arial" w:cs="Arial" w:eastAsia="Arial" w:hAnsi="Arial"/>
          <w:sz w:val="16"/>
          <w:szCs w:val="16"/>
          <w:color w:val="auto"/>
        </w:rPr>
        <w:t xml:space="preserve"> World Preview 2017 Outlook to 2022, an industry report.</w:t>
      </w:r>
    </w:p>
    <w:p>
      <w:pPr>
        <w:spacing w:after="0" w:line="12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Mid-sized biopharmaceutical companies.</w:t>
      </w:r>
      <w:r>
        <w:rPr>
          <w:rFonts w:ascii="Arial" w:cs="Arial" w:eastAsia="Arial" w:hAnsi="Arial"/>
          <w:sz w:val="17"/>
          <w:szCs w:val="17"/>
          <w:color w:val="auto"/>
        </w:rPr>
        <w:t>” Mid-sized biopharmaceutical companies represent biopharmaceutical companies with at least $250 million in sales in the year ended December 31, 2016, based on publicly available data and management’s knowledge, that are not classified as a top 20 pharmaceutical company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2017 Outlook to 2022, an industry report.</w:t>
      </w:r>
    </w:p>
    <w:p>
      <w:pPr>
        <w:spacing w:after="0" w:line="166"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new business awards.</w:t>
      </w:r>
      <w:r>
        <w:rPr>
          <w:rFonts w:ascii="Arial" w:cs="Arial" w:eastAsia="Arial" w:hAnsi="Arial"/>
          <w:sz w:val="16"/>
          <w:szCs w:val="16"/>
          <w:color w:val="auto"/>
        </w:rPr>
        <w:t>” Net new business awards represent gross new business awards received in a period offset by total cancellations in that period. New business awards represent the value of anticipated future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w:t>
      </w:r>
    </w:p>
    <w:p>
      <w:pPr>
        <w:spacing w:after="0" w:line="166"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w:t>
      </w:r>
      <w:r>
        <w:rPr>
          <w:rFonts w:ascii="Arial" w:cs="Arial" w:eastAsia="Arial" w:hAnsi="Arial"/>
          <w:sz w:val="17"/>
          <w:szCs w:val="17"/>
          <w:color w:val="auto"/>
        </w:rPr>
        <w:t>” Phase I trials are typically conducted in healthy individuals or, on occasion, in patients, and typically involve 20 to 80 subjects and range from a 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7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Phase II.</w:t>
      </w:r>
      <w:r>
        <w:rPr>
          <w:rFonts w:ascii="Arial" w:cs="Arial" w:eastAsia="Arial" w:hAnsi="Arial"/>
          <w:sz w:val="16"/>
          <w:szCs w:val="16"/>
          <w:color w:val="auto"/>
        </w:rPr>
        <w:t>” Phase II trials are conducted in a limited population of patients with the disease or condition that the clinical product candidate is intended to 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65"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III.</w:t>
      </w:r>
      <w:r>
        <w:rPr>
          <w:rFonts w:ascii="Arial" w:cs="Arial" w:eastAsia="Arial" w:hAnsi="Arial"/>
          <w:sz w:val="17"/>
          <w:szCs w:val="17"/>
          <w:color w:val="auto"/>
        </w:rPr>
        <w:t>” Phase III trials evaluate the clinical product candidate in significantly larger and more diverse patient populations than Phase I and II trials and are conducted at multiple, geographically dispersed sites. On average, this phase lasts from one to three years. Depending on the size and complexity, Phase III 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Biologics License Application for approval by the United States Food and Drug Administration, or FDA, or a similar marketing authorization application for approval by non-U.S. regulatory agencies.</w:t>
      </w:r>
    </w:p>
    <w:p>
      <w:pPr>
        <w:spacing w:after="0" w:line="178"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Phase IV.</w:t>
      </w:r>
      <w:r>
        <w:rPr>
          <w:rFonts w:ascii="Arial" w:cs="Arial" w:eastAsia="Arial" w:hAnsi="Arial"/>
          <w:sz w:val="18"/>
          <w:szCs w:val="18"/>
          <w:color w:val="auto"/>
        </w:rPr>
        <w:t>” Phase IV or “post-approval” trials are intended to monitor the drug’s long-term risks and benefits, to analyze different dosage levels, to evaluate different safety and efficacy parameters in target populations or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286" w:lineRule="auto"/>
        <w:rPr>
          <w:sz w:val="20"/>
          <w:szCs w:val="20"/>
          <w:color w:val="auto"/>
        </w:rPr>
      </w:pPr>
      <w:r>
        <w:rPr>
          <w:rFonts w:ascii="Arial" w:cs="Arial" w:eastAsia="Arial" w:hAnsi="Arial"/>
          <w:sz w:val="17"/>
          <w:szCs w:val="17"/>
          <w:color w:val="auto"/>
        </w:rPr>
        <w:t>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Small biopharmaceutical companies.</w:t>
      </w:r>
      <w:r>
        <w:rPr>
          <w:rFonts w:ascii="Arial" w:cs="Arial" w:eastAsia="Arial" w:hAnsi="Arial"/>
          <w:sz w:val="18"/>
          <w:szCs w:val="18"/>
          <w:color w:val="auto"/>
        </w:rPr>
        <w:t>” Small biopharmaceutical companies represent biopharmaceutical companies that have less than $250 million in sales in the year ended December 31, 2016, based on publicly available data and management’s knowledge.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On September 1, 2017, we filed with the SEC a registration statement on Form S-3 utilizing a shelf registration process related to the securities described in this prospectus supplement, which was declared effective on October 23, 2017.</w:t>
      </w:r>
    </w:p>
    <w:p>
      <w:pPr>
        <w:spacing w:after="0" w:line="1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document consists of two parts. The first part is this prospectus supplement, which describes the specific terms of this offering and also adds to and updates the information contained or incorporated by reference in the accompanying prospectus. The second part is the accompanying prospectus, which contains more general information, some of which may not apply to this offering. You should read both this prospectus supplement and the accompanying prospectus, together with any documents incorporated by reference herein and therein and the additional information described below under the headings “Where You Can Find More Information” and “Incorporation of Documents by Reference” in its entirety before making an investment decision. To the extent there is a variation between information contained in this prospectus supplement, on the one hand, and the information contained in the accompanying prospectus, on the other hand, you should rely on the information in this prospectus supplement.</w:t>
      </w:r>
    </w:p>
    <w:p>
      <w:pPr>
        <w:spacing w:after="0" w:line="167"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80"/>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the accompanying prospectus and documents incorporated by reference herein and therein. This summary does not contain all of the information you should consider before investing in our common stock. You should read this entire prospectus supplement, the accompanying prospectus and documents incorporated by reference herein and therein carefully, including the risks of investing in our common stock discussed under “Risk Factors” and our consolidated financial statements and the related notes thereto included or incorporated by reference in this prospectus supplement and the accompanying prospectus, before making an investment decision.</w:t>
      </w:r>
    </w:p>
    <w:p>
      <w:pPr>
        <w:spacing w:after="0" w:line="193" w:lineRule="exact"/>
        <w:rPr>
          <w:sz w:val="20"/>
          <w:szCs w:val="20"/>
          <w:color w:val="auto"/>
        </w:rPr>
      </w:pPr>
    </w:p>
    <w:p>
      <w:pPr>
        <w:ind w:left="380" w:right="200"/>
        <w:spacing w:after="0" w:line="264" w:lineRule="auto"/>
        <w:rPr>
          <w:sz w:val="20"/>
          <w:szCs w:val="20"/>
          <w:color w:val="auto"/>
        </w:rPr>
      </w:pPr>
      <w:r>
        <w:rPr>
          <w:rFonts w:ascii="Arial" w:cs="Arial" w:eastAsia="Arial" w:hAnsi="Arial"/>
          <w:sz w:val="18"/>
          <w:szCs w:val="18"/>
          <w:i w:val="1"/>
          <w:iCs w:val="1"/>
          <w:color w:val="auto"/>
        </w:rPr>
        <w:t>As used in this prospectus supplement, the accompanying prospectus and documents incorporated by reference herein and therein, unless the context otherwise requires, references to “Medpace,” “the Company,” “our company,” “we,” “us,” and “our” refer to Medpace Holdings, Inc., its consolidated subsidiaries and its predecessor entities.</w:t>
      </w:r>
    </w:p>
    <w:p>
      <w:pPr>
        <w:spacing w:after="0" w:line="181" w:lineRule="exact"/>
        <w:rPr>
          <w:sz w:val="20"/>
          <w:szCs w:val="20"/>
          <w:color w:val="auto"/>
        </w:rPr>
      </w:pPr>
    </w:p>
    <w:p>
      <w:pPr>
        <w:jc w:val="both"/>
        <w:ind w:left="380" w:right="240"/>
        <w:spacing w:after="0" w:line="276" w:lineRule="auto"/>
        <w:rPr>
          <w:sz w:val="20"/>
          <w:szCs w:val="20"/>
          <w:color w:val="auto"/>
        </w:rPr>
      </w:pPr>
      <w:r>
        <w:rPr>
          <w:rFonts w:ascii="Arial" w:cs="Arial" w:eastAsia="Arial" w:hAnsi="Arial"/>
          <w:sz w:val="17"/>
          <w:szCs w:val="17"/>
          <w:i w:val="1"/>
          <w:iCs w:val="1"/>
          <w:color w:val="auto"/>
        </w:rPr>
        <w:t>Throughout this prospectus supplement, the accompanying prospectus and documents incorporated by reference herein and therein, we present financial information for two periods, Predecessor and Successor, which relate to the period preceding the consummation of the Transaction (as defined below) on April 1, 2014 and the period succeeding the consummation of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in the growing Phase I-IV CRO market.</w:t>
      </w:r>
    </w:p>
    <w:p>
      <w:pPr>
        <w:spacing w:after="0" w:line="192" w:lineRule="exact"/>
        <w:rPr>
          <w:sz w:val="20"/>
          <w:szCs w:val="20"/>
          <w:color w:val="auto"/>
        </w:rPr>
      </w:pPr>
    </w:p>
    <w:p>
      <w:pPr>
        <w:ind w:left="380"/>
        <w:spacing w:after="0" w:line="254" w:lineRule="auto"/>
        <w:rPr>
          <w:sz w:val="20"/>
          <w:szCs w:val="20"/>
          <w:color w:val="auto"/>
        </w:rPr>
      </w:pPr>
      <w:r>
        <w:rPr>
          <w:rFonts w:ascii="Arial" w:cs="Arial" w:eastAsia="Arial" w:hAnsi="Arial"/>
          <w:sz w:val="18"/>
          <w:szCs w:val="18"/>
          <w:color w:val="auto"/>
        </w:rPr>
        <w:t>We were founded in 1992 by Dr. August J. Troendle, an industry pioneer, as a Phase II-IV focused CRO with a strong, scientifically-driven and disciplined operating model, and we continue today as a founder-led enterprise with Dr. Troendle retaining a significant ownership stake in Medpace. Throughout our 25-year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Antiviral and Anti-infective, as well as therapeutic expertise in Medical Devices. Our global platform includes approximately 2,700 employees across 36 countries, providing our customers with broad access to diverse markets and patient populations as well as local regulatory expertise and market knowledge.</w:t>
      </w:r>
    </w:p>
    <w:p>
      <w:pPr>
        <w:spacing w:after="0" w:line="192" w:lineRule="exact"/>
        <w:rPr>
          <w:sz w:val="20"/>
          <w:szCs w:val="20"/>
          <w:color w:val="auto"/>
        </w:rPr>
      </w:pPr>
    </w:p>
    <w:p>
      <w:pPr>
        <w:ind w:left="380" w:right="200"/>
        <w:spacing w:after="0" w:line="279"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87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80"/>
        <w:spacing w:after="0" w:line="302" w:lineRule="auto"/>
        <w:rPr>
          <w:sz w:val="20"/>
          <w:szCs w:val="20"/>
          <w:color w:val="auto"/>
        </w:rPr>
      </w:pPr>
      <w:r>
        <w:rPr>
          <w:rFonts w:ascii="Arial" w:cs="Arial" w:eastAsia="Arial" w:hAnsi="Arial"/>
          <w:sz w:val="16"/>
          <w:szCs w:val="16"/>
          <w:color w:val="auto"/>
        </w:rPr>
        <w:t>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54" w:lineRule="exact"/>
        <w:rPr>
          <w:sz w:val="20"/>
          <w:szCs w:val="20"/>
          <w:color w:val="auto"/>
        </w:rPr>
      </w:pPr>
    </w:p>
    <w:p>
      <w:pPr>
        <w:ind w:left="380"/>
        <w:spacing w:after="0" w:line="254" w:lineRule="auto"/>
        <w:rPr>
          <w:sz w:val="20"/>
          <w:szCs w:val="20"/>
          <w:color w:val="auto"/>
        </w:rPr>
      </w:pPr>
      <w:r>
        <w:rPr>
          <w:rFonts w:ascii="Arial" w:cs="Arial" w:eastAsia="Arial" w:hAnsi="Arial"/>
          <w:sz w:val="18"/>
          <w:szCs w:val="18"/>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grow.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As a company with less than $1.07 billion in revenues during our last fiscal year, we qualify as an “emerging growth company” as defined in the Jumpstart Our Business Startups Act of 2012,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1220" w:hanging="307"/>
        <w:spacing w:after="0"/>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w:t>
      </w:r>
    </w:p>
    <w:p>
      <w:pPr>
        <w:spacing w:after="0" w:line="142" w:lineRule="exact"/>
        <w:rPr>
          <w:rFonts w:ascii="Arial" w:cs="Arial" w:eastAsia="Arial" w:hAnsi="Arial"/>
          <w:sz w:val="17"/>
          <w:szCs w:val="17"/>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 from the adoption of new or revised financial accounting standards until they would apply to private companies;</w:t>
      </w:r>
    </w:p>
    <w:p>
      <w:pPr>
        <w:spacing w:after="0" w:line="130" w:lineRule="exact"/>
        <w:rPr>
          <w:rFonts w:ascii="Arial" w:cs="Arial" w:eastAsia="Arial" w:hAnsi="Arial"/>
          <w:sz w:val="18"/>
          <w:szCs w:val="18"/>
          <w:color w:val="auto"/>
        </w:rPr>
      </w:pPr>
    </w:p>
    <w:p>
      <w:pPr>
        <w:ind w:left="1220" w:right="500" w:hanging="307"/>
        <w:spacing w:after="0" w:line="264"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6" w:lineRule="exact"/>
        <w:rPr>
          <w:rFonts w:ascii="Arial" w:cs="Arial" w:eastAsia="Arial" w:hAnsi="Arial"/>
          <w:sz w:val="18"/>
          <w:szCs w:val="18"/>
          <w:color w:val="auto"/>
        </w:rPr>
      </w:pPr>
    </w:p>
    <w:p>
      <w:pPr>
        <w:ind w:left="1220" w:right="60" w:hanging="307"/>
        <w:spacing w:after="0" w:line="277"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80" w:right="40"/>
        <w:spacing w:after="0" w:line="293"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7(a)(2)(B) of the Securities Act of 1933, as amended, or the Securities Act, for complying with new and revised accounting standards. An emerging growth company can, therefore, delay the adoption of certain accounting standards until those standards would otherwise apply to private companies. However, we chose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65"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We will remain an emerging growth company until the last day of the fiscal year following the fifth anniversary of the completion of our initial public offering, or IPO, unless, prior to that time, we (i) have more than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59" w:lineRule="auto"/>
        <w:rPr>
          <w:sz w:val="20"/>
          <w:szCs w:val="20"/>
          <w:color w:val="auto"/>
        </w:rPr>
      </w:pPr>
      <w:r>
        <w:rPr>
          <w:rFonts w:ascii="Arial" w:cs="Arial" w:eastAsia="Arial" w:hAnsi="Arial"/>
          <w:sz w:val="18"/>
          <w:szCs w:val="18"/>
          <w:color w:val="auto"/>
        </w:rPr>
        <w:t>$1.07 billion in annual revenues, (ii) have a market value for our common stock held by non-affiliates of more than $700 million as of the last day of our second fiscal quarter of the fiscal year when a determination is made whether we are deemed to be a “large accelerated filer,” as defined in Rule 12b-2 promulgated under the Securities Exchange Act of 1934, as amended, or the Exchange Act, or (iii) issue more than $1.0 billion of non-convertible debt over a three-year period.</w:t>
      </w:r>
    </w:p>
    <w:p>
      <w:pPr>
        <w:spacing w:after="0" w:line="187" w:lineRule="exact"/>
        <w:rPr>
          <w:sz w:val="20"/>
          <w:szCs w:val="20"/>
          <w:color w:val="auto"/>
        </w:rPr>
      </w:pPr>
    </w:p>
    <w:p>
      <w:pPr>
        <w:ind w:left="380" w:right="40"/>
        <w:spacing w:after="0" w:line="255"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supplement and the documents incorporated by reference in this prospectus supplement and the accompanying prospectus and may elect to take advantage of other reduced reporting requirements in future filings. As a result, the information that we provide to our shareholders may be different than you might receive from other public reporting companies in which you hold equity interests. In addition, it is possible that some investors will find our common stock less attractive as a result of our elections, which may cause a less active trading market for our common stock and more volatility in our stock price.</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Transaction</w:t>
      </w:r>
    </w:p>
    <w:p>
      <w:pPr>
        <w:spacing w:after="0" w:line="121" w:lineRule="exact"/>
        <w:rPr>
          <w:sz w:val="20"/>
          <w:szCs w:val="20"/>
          <w:color w:val="auto"/>
        </w:rPr>
      </w:pPr>
    </w:p>
    <w:p>
      <w:pPr>
        <w:ind w:left="380" w:right="180"/>
        <w:spacing w:after="0" w:line="279" w:lineRule="auto"/>
        <w:rPr>
          <w:sz w:val="20"/>
          <w:szCs w:val="20"/>
          <w:color w:val="auto"/>
        </w:rPr>
      </w:pPr>
      <w:r>
        <w:rPr>
          <w:rFonts w:ascii="Arial" w:cs="Arial" w:eastAsia="Arial" w:hAnsi="Arial"/>
          <w:sz w:val="17"/>
          <w:szCs w:val="17"/>
          <w:color w:val="auto"/>
        </w:rPr>
        <w:t>In April 2014, investment funds managed by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Private Equity Sponsor</w:t>
      </w:r>
    </w:p>
    <w:p>
      <w:pPr>
        <w:spacing w:after="0" w:line="121" w:lineRule="exact"/>
        <w:rPr>
          <w:sz w:val="20"/>
          <w:szCs w:val="20"/>
          <w:color w:val="auto"/>
        </w:rPr>
      </w:pPr>
    </w:p>
    <w:p>
      <w:pPr>
        <w:ind w:left="380" w:right="120"/>
        <w:spacing w:after="0" w:line="273" w:lineRule="auto"/>
        <w:rPr>
          <w:sz w:val="20"/>
          <w:szCs w:val="20"/>
          <w:color w:val="auto"/>
        </w:rPr>
      </w:pPr>
      <w:r>
        <w:rPr>
          <w:rFonts w:ascii="Arial" w:cs="Arial" w:eastAsia="Arial" w:hAnsi="Arial"/>
          <w:sz w:val="17"/>
          <w:szCs w:val="17"/>
          <w:color w:val="auto"/>
        </w:rPr>
        <w:t>Cinven is a leading private equity firm, founded in 1977, with offices in Guernsey, London, Frankfurt, Paris, Madrid, Milan, Luxembourg, Hong Kong and New York. Cinven focuses on investments across six core sectors: Healthcare, Financial Services, Business Services, Consumer, Industrials and Technology and Media and Telecommunications. Its funds acquire high-quality companies and work with them to help them grow and develop. Cinven is a responsible investor, seeking to build long-term value through sustainable growth in the portfolio companies of its funds with consideration for their employees, suppliers, local communities, the environment and society. Since 1977, Cinven has completed transactions valued at in excess of approximately €100 billion.</w:t>
      </w:r>
    </w:p>
    <w:p>
      <w:pPr>
        <w:spacing w:after="0" w:line="178" w:lineRule="exact"/>
        <w:rPr>
          <w:sz w:val="20"/>
          <w:szCs w:val="20"/>
          <w:color w:val="auto"/>
        </w:rPr>
      </w:pPr>
    </w:p>
    <w:p>
      <w:pPr>
        <w:ind w:left="380" w:right="180"/>
        <w:spacing w:after="0" w:line="342" w:lineRule="auto"/>
        <w:rPr>
          <w:sz w:val="20"/>
          <w:szCs w:val="20"/>
          <w:color w:val="auto"/>
        </w:rPr>
      </w:pPr>
      <w:r>
        <w:rPr>
          <w:rFonts w:ascii="Arial" w:cs="Arial" w:eastAsia="Arial" w:hAnsi="Arial"/>
          <w:sz w:val="16"/>
          <w:szCs w:val="16"/>
          <w:color w:val="auto"/>
        </w:rPr>
        <w:t>As of August 21, 2018, the Cinven Stockholders (as defined herein) owned approximately 14.7% of the outstanding shares of our common stock. Upon the completion of this offering, the Cinven Stockholders will not own any shares of our common stock. See “Selling Shareholder.”</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On August 10, 2018, two directors affiliated with Cinven, John Richardson and Anastasya Molodykh resigned from our Board. Two new directors, Fred B. Davenport Jr. and Cornelius P. McCarthy III, have been appointed to our Board. For additional information, see the Form 8-K filed with the SEC on August 13, 2018, which is incorporated by reference herein.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We are a Delaware corporation and were incorporated on February 18, 2014. Our principal executive offices are located at 5375 Medpace Way, Cincinnati, Ohio 45227, and our telephone number is (513) 579-9911. Our corporate website address is www.medpace.com. Our website and the information contained in, or that can be accessed through, our website is not deemed to be incorporated by reference in, and is not considered part of, this prospectus supplement nor the accompanying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552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120"/>
        <w:spacing w:after="0" w:line="548" w:lineRule="auto"/>
        <w:rPr>
          <w:sz w:val="20"/>
          <w:szCs w:val="20"/>
          <w:color w:val="auto"/>
        </w:rPr>
      </w:pPr>
      <w:r>
        <w:rPr>
          <w:rFonts w:ascii="Arial" w:cs="Arial" w:eastAsia="Arial" w:hAnsi="Arial"/>
          <w:sz w:val="18"/>
          <w:szCs w:val="18"/>
          <w:color w:val="auto"/>
        </w:rPr>
        <w:t>Common stock offered by the selling shareholder Selling shareholder</w:t>
      </w:r>
    </w:p>
    <w:p>
      <w:pPr>
        <w:ind w:left="380"/>
        <w:spacing w:after="0" w:line="575" w:lineRule="auto"/>
        <w:rPr>
          <w:sz w:val="20"/>
          <w:szCs w:val="20"/>
          <w:color w:val="auto"/>
        </w:rPr>
      </w:pPr>
      <w:r>
        <w:rPr>
          <w:rFonts w:ascii="Arial" w:cs="Arial" w:eastAsia="Arial" w:hAnsi="Arial"/>
          <w:sz w:val="18"/>
          <w:szCs w:val="18"/>
          <w:color w:val="auto"/>
        </w:rPr>
        <w:t>Common stock to be outstanding after this offering Use of proceeds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5,224,997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selling shareholder identified in “Selling Shareholder.”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35,571,504 shares.</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not receive any proceeds from the sale of common stock by the selling shareholder in this offering. See “Use of Proceeds.”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the common stock offered by this prospectus supplement is being sold by the selling shareholder. We will not receive any of the proceeds from the sale of shares by the selling shareholder in this offering. For more information about the selling shareholder, see “Selling Shareholder.”</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Certain of the proceeds of the sale of shares will be used to repay the remaining outstanding amount under the MLP Credit Agreement, as a result of which an affiliate of Morgan Stanley &amp; Co. LLC will receive more than 5% of the net proceeds of this offering, not including underwriting compensation. Accordingly, this offering is being made in compliance with the requirements of Rule 5121 (Public Offerings of Securities with Conflicts of Interest) of the Financial Industry Regulatory Authority, Inc. (“FINRA”). Pursuant to that rule, the appointment of a “qualified independent underwriter” is not necessary in connection with this offering because the shares of common stock have a “bona fide public market” (as such terms are defined in FINRA Rule 5121).</w:t>
      </w:r>
    </w:p>
    <w:p>
      <w:pPr>
        <w:spacing w:after="0" w:line="20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have no current plans to pay any cash dividends on our common stock in the foreseeable future; however, we may change this policy in the future. See “Dividend Policy.”</w:t>
      </w: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Investing in our common stock involves a high degree of risk. See “Risk Factors” beginning on page S-6 of this prospectus supplement and the risk factors described in the accompanying prospectus and in the documents incorporated by reference herein and therein for a discussion of factors you should consider carefully before investing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“MEDP.”</w:t>
      </w:r>
    </w:p>
    <w:p>
      <w:pPr>
        <w:spacing w:after="0" w:line="200" w:lineRule="exact"/>
        <w:rPr>
          <w:sz w:val="20"/>
          <w:szCs w:val="20"/>
          <w:color w:val="auto"/>
        </w:rPr>
      </w:pPr>
    </w:p>
    <w:p>
      <w:pPr>
        <w:sectPr>
          <w:pgSz w:w="11900" w:h="16838" w:orient="portrait"/>
          <w:cols w:equalWidth="0" w:num="2">
            <w:col w:w="4060" w:space="360"/>
            <w:col w:w="6580"/>
          </w:cols>
          <w:pgMar w:left="240" w:top="459" w:right="6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000"/>
          </w:cols>
          <w:pgMar w:left="24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64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1264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Except as otherwise indicated in this prospectus supplement, the number of shares of common stock to be outstanding after this offering is based 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35,571,504 shares outstanding as of August 21, 2018, which includes 5,224,997 shares of common stock to be sold by the selling shareholder, and:</w:t>
      </w:r>
    </w:p>
    <w:p>
      <w:pPr>
        <w:spacing w:after="0" w:line="139" w:lineRule="exact"/>
        <w:rPr>
          <w:sz w:val="20"/>
          <w:szCs w:val="20"/>
          <w:color w:val="auto"/>
        </w:rPr>
      </w:pPr>
    </w:p>
    <w:p>
      <w:pPr>
        <w:ind w:left="1220" w:right="28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2,956,747 shares of common stock issuable upon exercise of stock options outstanding as of August 21, 2018 at a weighted average exercise price of $22.82 per share; and</w:t>
      </w:r>
    </w:p>
    <w:p>
      <w:pPr>
        <w:spacing w:after="0" w:line="75" w:lineRule="exact"/>
        <w:rPr>
          <w:rFonts w:ascii="Arial" w:cs="Arial" w:eastAsia="Arial" w:hAnsi="Arial"/>
          <w:sz w:val="18"/>
          <w:szCs w:val="18"/>
          <w:color w:val="auto"/>
        </w:rPr>
      </w:pPr>
    </w:p>
    <w:p>
      <w:pPr>
        <w:ind w:left="1220" w:right="38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an additional 4,049,893 shares of common stock reserved for future issuance under our 2016 Incentive Award Plan, or the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uncertainties described below together with the other information included in this prospectus supplement and the accompanying prospectus and the documents incorporated by reference herein and therein, including our audited consolidated financial statements and related notes in our 2017 10-K and our unaudited condensed consolidated financial statements and related notes in our 2018 First Quarter 10-Q and our 2018 Second Quarter 10-Q, each incorporated by reference herein and therein, before deciding to purchase our common stock. The occurrence of any of the following risks may materially and adversely affect our business, financial condition, results of operations and future prospects. In such an event, the market price of our common stock could decline, and you could lose part or all of your investment.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Chief Executive Officer and founder controls a substantial amount of our outstanding common stock, and his interests may be different from or conflict with those of our other shareholders.</w:t>
      </w:r>
    </w:p>
    <w:p>
      <w:pPr>
        <w:spacing w:after="0" w:line="62" w:lineRule="exact"/>
        <w:rPr>
          <w:sz w:val="20"/>
          <w:szCs w:val="20"/>
          <w:color w:val="auto"/>
        </w:rPr>
      </w:pPr>
    </w:p>
    <w:p>
      <w:pPr>
        <w:jc w:val="both"/>
        <w:ind w:left="200" w:right="40"/>
        <w:spacing w:after="0" w:line="276" w:lineRule="auto"/>
        <w:rPr>
          <w:sz w:val="20"/>
          <w:szCs w:val="20"/>
          <w:color w:val="auto"/>
        </w:rPr>
      </w:pPr>
      <w:r>
        <w:rPr>
          <w:rFonts w:ascii="Arial" w:cs="Arial" w:eastAsia="Arial" w:hAnsi="Arial"/>
          <w:sz w:val="17"/>
          <w:szCs w:val="17"/>
          <w:color w:val="auto"/>
        </w:rPr>
        <w:t>As of August 21, 2018, Dr. August J. Troendle, our Chief Executive Officer and founder, through his direct ownership of 351,851 shares of our common stock and his beneficial ownership of 9,145,510 shares of our common stock held by MPI, controlled approximately 26.7% of the outstanding shares of our common stock. Additionally, upon a distribution of our common stock held by MPI, our Chief Executive Officer would receive approximately 75% of such distributed shares. Accordingly, Dr. Troendle is able to exert a significant degree of influence over our management and affairs and all corporate actions requiring shareholder approval, irrespective of how our other shareholders may vote, including:</w:t>
      </w:r>
    </w:p>
    <w:p>
      <w:pPr>
        <w:spacing w:after="0" w:line="78"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and removal of directors and the size of our board of directors, or the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amendment of our amended and restated certificate of incorporation or amended and restated bylaws;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225" w:lineRule="exact"/>
        <w:rPr>
          <w:sz w:val="20"/>
          <w:szCs w:val="20"/>
          <w:color w:val="auto"/>
        </w:rPr>
      </w:pPr>
    </w:p>
    <w:p>
      <w:pPr>
        <w:ind w:left="200" w:right="940"/>
        <w:spacing w:after="0" w:line="277" w:lineRule="auto"/>
        <w:rPr>
          <w:sz w:val="20"/>
          <w:szCs w:val="20"/>
          <w:color w:val="auto"/>
        </w:rPr>
      </w:pPr>
      <w:r>
        <w:rPr>
          <w:rFonts w:ascii="Arial" w:cs="Arial" w:eastAsia="Arial" w:hAnsi="Arial"/>
          <w:sz w:val="18"/>
          <w:szCs w:val="18"/>
          <w:color w:val="auto"/>
        </w:rPr>
        <w:t>Moreover, Dr. Troendle’s share ownership may also adversely affect the trading price for our common stock to the extent investors perceive disadvantages in owning shares of a company with a significant shareholder.</w:t>
      </w:r>
    </w:p>
    <w:p>
      <w:pPr>
        <w:spacing w:after="0" w:line="279"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b w:val="1"/>
          <w:bCs w:val="1"/>
          <w:i w:val="1"/>
          <w:iCs w:val="1"/>
          <w:color w:val="auto"/>
        </w:rPr>
        <w:t>On August 10, 2018, we ceased to be a “controlled company” within the meaning of the NASDAQ rules. Previously, we qualified for and relied on, exemptions from certain corporate governance requirements and our shareholders did not have the same protections afforded to shareholders of companies that are subject to such requirements.</w:t>
      </w:r>
    </w:p>
    <w:p>
      <w:pPr>
        <w:spacing w:after="0" w:line="73" w:lineRule="exact"/>
        <w:rPr>
          <w:sz w:val="20"/>
          <w:szCs w:val="20"/>
          <w:color w:val="auto"/>
        </w:rPr>
      </w:pPr>
    </w:p>
    <w:p>
      <w:pPr>
        <w:ind w:left="200" w:right="240"/>
        <w:spacing w:after="0" w:line="270" w:lineRule="auto"/>
        <w:rPr>
          <w:sz w:val="20"/>
          <w:szCs w:val="20"/>
          <w:color w:val="auto"/>
        </w:rPr>
      </w:pPr>
      <w:r>
        <w:rPr>
          <w:rFonts w:ascii="Arial" w:cs="Arial" w:eastAsia="Arial" w:hAnsi="Arial"/>
          <w:sz w:val="17"/>
          <w:szCs w:val="17"/>
          <w:color w:val="auto"/>
        </w:rPr>
        <w:t>Substantially concurrently with the closing of the IPO, the Cinven Stockholders and Dr. August J. Troendle, our Chief Executive Officer and founder, entered into a voting agreement, or the Voting Agreement. Pursuant to the terms of the Voting Agreement, for so long as the Cinven Stockholders and Dr. Troendle collectively hold at least 40% of our outstanding voting shares, or the Voting Agreement is otherwise terminated in accordance with its terms, the Cinven Stockholders have agreed to vote their shares of our common stock in favor of the election of Dr. Troendle to our Board (so long as Dr. Troendle remains our Chief Executive Officer) upon his nomination by our Board and Dr. Troendle has agreed to vote his shares of our common stock in favor of the election of the directors affiliated with Cinven upon their nomination by our Board. Following this offering, the Cinven Stockholders will no longer beneficially own any of our outstanding voting shares and the Cinven Stockholders and Dr. Troendle will no longer collectively hold at least 40% of our outstanding voting shares. Accordingly, the Voting Agreement will terminate and the remaining director on our Board affiliated with Cinven may resign from our Board.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used herein, “Cinven Stockholders” means, depending on the context, either of (i) Medpace Limited Partnership or (ii) Fifth Cinven Fund (No. 1) Limited Partnership, Fifth Cinven Fund (No. 2) Limited Partnership, Fifth Cinven Fund (No. 3) Limited Partnership, Fifth Cinven Fund (No. 4) Limited Partnership, Fifth Cinven Fund (No. 5) Limited Partnership, Fifth Cinven Fund (No. 6) Limited Partnership, Fifth Cinven Fund Co-Investment Partnership and Fifth Cinven Fund FCP-SIF.</w:t>
      </w:r>
    </w:p>
    <w:p>
      <w:pPr>
        <w:spacing w:after="0" w:line="1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“Cinven” means, depending on the context, any of or collectively, Cinven Partners LLP, Cinven Limited, Cinven (LuxCo 1) S.A. and their respective Associates (as defined in the UK Companies Act 2006) and/or to funds managed or advised by the foregoing.</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Because of the Voting Agreement, up until August 10, 2018, we were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w:t>
      </w:r>
    </w:p>
    <w:p>
      <w:pPr>
        <w:spacing w:after="0" w:line="92"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jc w:val="both"/>
        <w:ind w:left="1060" w:hanging="316"/>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24"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On August 10, 2018, we ceased to be considered a “controlled company.” As a result, we are required to comply with the above-referenced requirements within one year of when we ceased to be a “controlled company.” We currently do not have a nominating and corporate governance committee.</w:t>
      </w:r>
    </w:p>
    <w:p>
      <w:pPr>
        <w:spacing w:after="0" w:line="124"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We may have difficulties complying with the NASDAQ rules listed above. While we intend to comply with these NASDAQ rules, there can be no assurance that we will be able to comply with such rules before the end of the phase-in period for compliance.</w:t>
      </w:r>
    </w:p>
    <w:p>
      <w:pPr>
        <w:spacing w:after="0" w:line="27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Investment funds affiliated with Cinven pledged all of its owned shares of our common stock as collateral for borrowings under a credit agreement unaffiliated with Medpace.</w:t>
      </w:r>
    </w:p>
    <w:p>
      <w:pPr>
        <w:spacing w:after="0" w:line="6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On June 16, 2017, Cinven informed us that Medpace Limited Partnership (“Medpace Limited”), an entity formed by Cinven to hold all the Cinven Stockholders’ equity interests in us, entered into a credit agreement (the “MLP Credit Agreement”) with Credit Suisse AG, Cayman Islands Branch, and Morgan Stanley Bank, N.A., as lenders (together, the “Lenders”), Credit Suisse AG, Cayman Islands Branch, as administrative agent, and Credit Suisse Securities (USA) LLC, as calculation agent. Pursuant to the MLP Credit Agreement, Medpace Limited entered into a pledge agreement (the “MLP Pledge Agreement”) with Credit Suisse Securities (USA) LLC, as secured party and Morgan Stanley Bank, N.A., as secured party (together, the “Secured Parties”). Pursuant to the MLP Pledge Agreement, Medpace Limited pledged all of its shares of our common stock, $0.01 par value per share, to the Secured Parties.</w:t>
      </w:r>
    </w:p>
    <w:p>
      <w:pPr>
        <w:spacing w:after="0" w:line="18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June 21, 2017 (the “MLP Funding Date”), Medpace Limited borrowed $150.0 million under the MLP Credit Agreement. Pursuant to the MLP Pledge Agreement, to secure any borrowings under the MLP Credit Agreement, Medpace Limited pledged 22,999,997 shares of our common stock as of the MLP Funding Date. In December 2017, May 2018, June 2018 and August 2018 a total of 15,775,000 shares of common stock were released from the pledge and sold in registered public offerings. As of August 21, 2018, the number of shares of common stock pledged by Medpace Limited pursuant to the MLP Pledge Agreement was 5,224,997 (collectively, the “MLP</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Pledged Shares”). The MLP Pledged Shares represented approximately 14.7% of our issued and outstanding common stock as of August 21, 2018. All of the MLP Pledged Shares were contributed to Medpace Limited from the other Cinven Stockholders, which collectively own all of the equity interest in Medpace Limited.</w:t>
      </w:r>
    </w:p>
    <w:p>
      <w:pPr>
        <w:spacing w:after="0" w:line="18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MLP Credit Agreement contains customary default provisions. In the event of a default under the MLP Credit Agreement by Medpace Limited, the Lenders and their affiliates and assignees may foreclose upon any and all MLP Pledged Shares and may seek recourse against Medpace Limited. We are not a party to the MLP Credit Agreement or the MLP Pledge Agreement and have no obligations thereunder, but have delivered a letter agreement to the Lenders in which we have, among other things, agreed, subject to applicable law and stock exchange rules, not to take any action intended to hinder or delay the exercise of any remedies by the Lenders under the MLP Credit Agreement or the MLP Pledge Agreement.</w:t>
      </w:r>
    </w:p>
    <w:p>
      <w:pPr>
        <w:spacing w:after="0" w:line="15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Any foreclosure upon the MLP Pledged Shares could result in sales of a substantial amount of shares of our common stock in the public market, which could cause the market price of our common stock to drop significantly, even if our business is doing well. See “—</w:t>
      </w:r>
      <w:r>
        <w:rPr>
          <w:rFonts w:ascii="Arial" w:cs="Arial" w:eastAsia="Arial" w:hAnsi="Arial"/>
          <w:sz w:val="18"/>
          <w:szCs w:val="18"/>
          <w:i w:val="1"/>
          <w:iCs w:val="1"/>
          <w:color w:val="auto"/>
        </w:rPr>
        <w:t>Shares of our common stock may be</w:t>
      </w:r>
      <w:r>
        <w:rPr>
          <w:rFonts w:ascii="Arial" w:cs="Arial" w:eastAsia="Arial" w:hAnsi="Arial"/>
          <w:sz w:val="18"/>
          <w:szCs w:val="18"/>
          <w:color w:val="auto"/>
        </w:rPr>
        <w:t xml:space="preserve"> </w:t>
      </w:r>
      <w:r>
        <w:rPr>
          <w:rFonts w:ascii="Arial" w:cs="Arial" w:eastAsia="Arial" w:hAnsi="Arial"/>
          <w:sz w:val="18"/>
          <w:szCs w:val="18"/>
          <w:i w:val="1"/>
          <w:iCs w:val="1"/>
          <w:color w:val="auto"/>
        </w:rPr>
        <w:t>sold into the market in the near future. This could cause the market price of our common stock to drop significantly, even if our business is doing well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closing of this offering, we expect that amounts due under the MLP Credit Agreement will be repaid in full and that the MLP Credit Agreement will be terminated.</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our company, even if such change in control would be beneficial to our shareholders.</w:t>
      </w:r>
    </w:p>
    <w:p>
      <w:pPr>
        <w:spacing w:after="0" w:line="62"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shareholders. These provisions include:</w:t>
      </w:r>
    </w:p>
    <w:p>
      <w:pPr>
        <w:spacing w:after="0" w:line="87" w:lineRule="exact"/>
        <w:rPr>
          <w:sz w:val="20"/>
          <w:szCs w:val="20"/>
          <w:color w:val="auto"/>
        </w:rPr>
      </w:pPr>
    </w:p>
    <w:p>
      <w:pPr>
        <w:ind w:left="1060" w:right="2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 classified Board so that not all members of our Board are elected at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removal of directors only for cause;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prohibiting the use of cumulative voting for the election of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ability of shareholders to call special meetings or amend our amended and restated bylaws;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all shareholder actions to be taken at a meeting of our shareholders and not by written consent;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advance notice and duration of ownership requirements for nominations for election to the Board or for proposing matters that can be acted upon by shareholders at shareholder meetings.</w:t>
      </w:r>
    </w:p>
    <w:p>
      <w:pPr>
        <w:spacing w:after="0" w:line="170"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These provisions could also discourage proxy contests and make it more difficult for you and other shareholders to elect directors of your choosing and cause us to take other corporate actions you desire. In addition, because our Board is responsible for appointing the members of our management team, these provisions could in turn affect any attempt by our shareholders to replace current members of our management team.</w:t>
      </w:r>
    </w:p>
    <w:p>
      <w:pPr>
        <w:spacing w:after="0" w:line="147"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274"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Cinven and our non-employee directors may acquire interests and positions that could present potential conflicts with our and our shareholders’ interests.</w:t>
      </w:r>
    </w:p>
    <w:p>
      <w:pPr>
        <w:spacing w:after="0" w:line="62"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Cinven and our non-employee directors make investments in companies and may, from time to time, acquire and hold interests in businesses that compete directly or indirectly with us. Cinven and our non-employee directors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78"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Full-time investment professionals of Cinven occupy one seat on our Board. Because Cinven could invest in entities that directly or indirectly compete with us, when conflicts arise between the interests of Cinven and the interests of our shareholders, this director may not be disinterested.</w:t>
      </w:r>
    </w:p>
    <w:p>
      <w:pPr>
        <w:spacing w:after="0" w:line="23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30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97"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62"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As a public company, we are now required to comply with the rules of the SEC, implementing Section 404 of the Sarbanes-Oxley Act of 2002, or the Sarbanes-Oxley Act, and are therefore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As an emerging growth company, our independent registered public accounting firm is not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independent registered public accounting firm may issue a report that is adverse in the event it is not satisfied with the level at which our controls are documented, designed or operating.</w:t>
      </w:r>
    </w:p>
    <w:p>
      <w:pPr>
        <w:spacing w:after="0" w:line="17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To comply with the requirements of being a newly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will cause us to be out of compliance with the requirements of Section 404. If we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NASDAQ, the SEC or other regulatory authorities, which could require additional financial and management resources.</w:t>
      </w:r>
    </w:p>
    <w:p>
      <w:pPr>
        <w:spacing w:after="0" w:line="29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devote substantial time to new compliance initiatives.</w:t>
      </w:r>
    </w:p>
    <w:p>
      <w:pPr>
        <w:spacing w:after="0" w:line="6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were not required to incur prior to our IPO. Further, these costs may increase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has increased and will continue to increase our legal and financial compliance costs and make some activities more difficult, time-consuming or costly. For example, the Exchange Act requires us, among other things, to file annual, quarterly and current reports with respect to our business and operating results. Being a public company and being subject to new rules and regulations has made it more expensive for us to obtain director and officer liability insurance, and we may be required to accept reduced coverage or incur substantially higher costs to continue to obtain coverage. As such, we expect to continue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73"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Furthermore, the need to continue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262"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after this offering may drop below the price you pay.</w:t>
      </w:r>
    </w:p>
    <w:p>
      <w:pPr>
        <w:spacing w:after="0" w:line="6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quarterly operating results have fluctuated, and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The selling shareholder and the underwriter will negotiate to determine the offering price of this offering. You may not be able to resell your shares at or above this offering price, or at all.</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public market for our common stock is new and the trading price of shares of our common stock may fluctuate in response to various factors, including:</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conditions in the broader stock market or in the healthcare sector;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affecting biopharmaceutical companies generally or biopharmaceutical research and development outsourcing;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failure to meet, earnings estimates or recommendations by research analysts who track our common stock or the stock of other companies in our industries;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our customers or our competitors, such as acquisitions or restructurings;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termination of coverage of our common stock by securities analysts;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 of trading in our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defaults on our 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rate fluctuations; and</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other factors listed in this “Risk Factors” section and the “Risk Factors” section in our 2017 10-K incorporated by reference in this prospectus supplement.</w:t>
      </w:r>
    </w:p>
    <w:p>
      <w:pPr>
        <w:spacing w:after="0" w:line="17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30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Shares of our common stock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After this offering, we will have 35,571,504 shares of outstanding common stock. Outstanding shares of our common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stock are freely tradable without restriction under the Securities Act, except as described in the next paragraph with respect to the lock-up arrangements and for any shares of our common stock that are held or acquired by our directors, executive officers and other affiliates, as that term is defined in the Securities Act, which will be or are restricted securities under the Securities Act. Restricted securities may not be sold in the public market unless the sale is registered under the Securities Act or an exemption from registration is available.</w:t>
      </w:r>
    </w:p>
    <w:p>
      <w:pPr>
        <w:spacing w:after="0" w:line="171"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We, along with our directors and executive officers, MPI and the selling shareholder, have agreed with Morgan Stanley &amp; Co. LLC, subject to certain exceptions, not to sell or otherwise dispose of any shares of our common stock or other capital stock or other securities exercisable or convertible therefor for a period of at least 30 days from August 7, 2018 without the prior written consent of Morgan Stanley &amp; Co. LLC. Morgan Stanley &amp; Co. LLC has provided its consent for the sale of shares by the selling shareholder in this offering. In connection with this offering, we have agreed with Morgan Stanley &amp; Co. LLC, subject to certain exceptions, not to sell or otherwise dispose of any shares of our common stock or other capital stock or other securities exercisable or convertible therefor for a period of at least 30 days after the date of this prospectus supplement without the prior written consent of the Morgan Stanley &amp; Co. LLC. See “Underwriting (Conflicts of Interest).” All of the shares of our common stock outstanding as of the date of this prospectus supplement may be sold in the public market by existing shareholders following the expiration of the applicable lock-up period, subject to applicable limitations imposed under federal securities laws.</w:t>
      </w:r>
    </w:p>
    <w:p>
      <w:pPr>
        <w:spacing w:after="0" w:line="182"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We are also party to a registration rights agreement pursuant to which the shares of common stock held by the Cinven Stockholders and Dr. August J. Troendle, our Chief Executive Officer and founder, are eligible for resale, subject to certain limitations set forth therein. See “Certain Relationships” in our 2017 Proxy Statement, portions of which are incorporated by reference herein. See “Incorporation of Documents by Reference”. We have filed a shelf registration statement on Form S-3 with the SEC that registers for sale by us up to $75,000,000 in the aggregate of common stock, preferred stock, debt securities, depositary shares, warrants and units, as well as up to 31,366,923 shares in the aggregate of common stock, including the shares to be sold in this offering, and 15,775,000 shares sold in prior offerings in December 2017, May 2018, June 2018 and August 2018, by the selling stockholders identified therein, including Dr. August J. Troendle, the Cinven Stockholders and MPI.</w:t>
      </w:r>
    </w:p>
    <w:p>
      <w:pPr>
        <w:spacing w:after="0" w:line="16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connection with the IPO, we filed a registration statement on Form S-8 under the Securities Act to register all shares of common stock issued or issuable under the Plan, which became effective upon filing. Accordingly, shares registered under such registration statement will be available for sale in the open market following the expiration of the applicable lock-up period. The registration statement on Form S-8 covers 6,000,000 shares of our common stock.</w:t>
      </w:r>
    </w:p>
    <w:p>
      <w:pPr>
        <w:spacing w:after="0" w:line="187"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As restrictions on resale expire or as shares are registered or otherwise sold pursuant to an exemption from registration under the Securities Act, our share price could drop significantly if the holders of these restricted or newly registered shares sell them or are perceived by the market as intending to sell them. These sales might also make it more difficult for us to sell securities in the future at a time and at a price that we deem appropriate.</w:t>
      </w:r>
    </w:p>
    <w:p>
      <w:pPr>
        <w:spacing w:after="0" w:line="14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In the future, we may also issue additional securities if we need to raise capital or make acquisitions, which could constitute a material portion of our then-outstanding shares of common stock.</w:t>
      </w:r>
    </w:p>
    <w:p>
      <w:pPr>
        <w:spacing w:after="0" w:line="27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62"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to be, limited by covenants of existing and any future outstanding indebtedness we or our subsidiaries incur, including under our Senior Secured Credit Facilities (as defined in the 2017 10-K). Therefore, any return on investment in our common stock is solely dependent upon the appreciation of the price of our common stock on the open market, which may not occur. See “Dividend Policy”.</w:t>
      </w:r>
    </w:p>
    <w:p>
      <w:pPr>
        <w:spacing w:after="0" w:line="289" w:lineRule="exact"/>
        <w:rPr>
          <w:sz w:val="20"/>
          <w:szCs w:val="20"/>
          <w:color w:val="auto"/>
        </w:rPr>
      </w:pPr>
    </w:p>
    <w:p>
      <w:pPr>
        <w:jc w:val="both"/>
        <w:ind w:left="200" w:right="4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62"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See “Dividend Policy.”</w:t>
      </w:r>
    </w:p>
    <w:p>
      <w:pPr>
        <w:spacing w:after="0" w:line="275"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6"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 trading market for shares of our common stock is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62"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131" w:lineRule="exact"/>
        <w:rPr>
          <w:sz w:val="20"/>
          <w:szCs w:val="20"/>
          <w:color w:val="auto"/>
        </w:rPr>
      </w:pPr>
    </w:p>
    <w:p>
      <w:pPr>
        <w:ind w:left="1060" w:right="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9" w:lineRule="exact"/>
        <w:rPr>
          <w:rFonts w:ascii="Arial" w:cs="Arial" w:eastAsia="Arial" w:hAnsi="Arial"/>
          <w:sz w:val="16"/>
          <w:szCs w:val="16"/>
          <w:color w:val="auto"/>
        </w:rPr>
      </w:pPr>
    </w:p>
    <w:p>
      <w:pPr>
        <w:ind w:left="1060" w:right="64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We currently take advantage of each of the exemptions described above. In connection with our IPO, we irrevocably elected not to take advantage of the extension of time to comply with new or revised financial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accounting standards available under Section 107(b) of the JOBS Act. We could be an emerging growth company up to the last day of the fiscal year following the fifth anniversary of the completion of our IPO. We cannot predict if investors will find our common stock less attractive if we elect to rely on these exemptions, or if taking advantage of these exemptions would result in less active trading or more volatility in the price of our common stock. For additional information about the implications of qualifying as an emerging growth company, see “Prospectus Summary—Implications of Being an Emerging Growth Company.”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including the sections entitled “Prospectus Summary,” “Risk Factors,” “Management’s Discussion and Analysis of Financial Condition and Results of Operations,” and “Business,” contain forward looking statements. We intend such forward-looking statements to be covered by the safe harbor provisions for forward-looking statements contained in Section 27A of the Securities Act. All statements other than statements of historical facts contained in this prospectus supplement, any applicable prospectus supplement and the documents that we incorporate by reference in each, including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expectations regarding consumer behaviors and trends; our culture and operating philosophy; human resource management; arrangements with and delivery of our services to the customers; conversion of backlog; dividend policy; legal proceedings; and our objectives for future operations, are forward looking statements. The words “expect,” “anticipate,” “intend,” “plan,” “believe,” “seek,” “see,” “will,” “would,” “target,” “may,” “might,” “estimate,” “should” and similar expressions are intended to identify forward looking statements. Examples of forward looking statements include, but are not limited to, statements we make regarding: (i) growth of (a) the CRO market, (b) biopharmaceutical companies’ development expenditures and (c) the percentage of biopharmaceutical clinical development costs that are outsourced to CROs; (ii) the amount of the expected conversion of our backlog to net service revenue; (iii) high-growth therapeutic areas and (iv) the continuous enhancement of our clinical development services and our therapeutic expertise.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or incorporated by reference in this prospectus supplement and the accompanying prospectus may not occur and actual results could differ materially and adversely from those anticipated or implied in the forward looking statements. We caution you therefore against relying on these forward looking statements.</w:t>
      </w:r>
    </w:p>
    <w:p>
      <w:pPr>
        <w:spacing w:after="0" w:line="39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Some of the key factors that could cause actual results to differ from our expectations include regional, national or global political, economic, business, competitive, market and regulatory conditions, the other important factors included in “Risk Factors” of our 2017 10-K, which is incorporated by reference herein, and the following:</w:t>
      </w:r>
    </w:p>
    <w:p>
      <w:pPr>
        <w:spacing w:after="0" w:line="87"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delay or non-renewal of our contracts, or the non-payment by customers for services we have performed;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convert backlog to revenue at our historical conversion rate;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in our results between fiscal quarters and years;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operating margins due to increased pricing pressure or other pressures;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perform our services in accordance with contractual requirements, government regulations and ethical considerations;</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underpricing our contracts, overrunning our cost estimates or failing to receive approval for or experiencing delays with documentation of change orders;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successfully execute our growth strategies;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failure to retain key personnel or recruit experienced personnel;</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our information systems infrastructure, including potential security breaches and other disruptions which could compromise our information;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manage our growth effectively;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results from customer or therapeutic area concentration;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doing business internationally;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the Foreign Corrupt Practices Act and other anti-corruption laws;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net losses;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income tax rate fluctuations on operations, earnings and earnings per share;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our intercompany transfer pricing policies;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attract suitable investigators and patients for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liability risks associated with our R&amp;D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related to our Phase I clinical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inadequate insurance coverage for our operations and indemnification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related to our relationships with existing or potential customers who are in competition with each other;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successfully integrate potential future acquisitions;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impairment of goodwill or other intangible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ability to utilize our net operating loss carryforwards or other tax attributes;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the use and disposal of hazardous substances and waste;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third parties to provide us critical support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ability to protect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United Kingdom’s referendum on withdrawal from the EU;</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potential future investments in our customers’ businesses or drugs;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natural disaster or other catastrophic event;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negative outsourcing trends in the biopharmaceutical industry and a reduction in aggregate expenditures and R&amp;D budgets;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compete effectively with other CROs;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healthcare reform;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recent consolidation in the biopharmaceutical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comply with federal, state and foreign healthcare laws;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current and proposed laws and regulations regarding the protection of personal data;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potential involvement in costly intellectual property lawsuits;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regulatory authorities or customers to limit the scope of or withdraw an approved drug, biologic or medical device from the market;</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860"/>
          </w:cols>
          <w:pgMar w:left="240" w:top="459" w:right="7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keep pace with rapid technological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industry-wide reputational harm to CROs;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fulfill our debt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associated with incurring additional debt or undertaking additional debt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covenant restrictions under our debt agreements on our ability to operate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generate sufficient cash to service all of our 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dependence on our lenders, which may not be able to fund borrowings under their credit commitments, and our inability to borrow;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set forth in “Risk Factors” herein and in our 2017 10-K.</w:t>
      </w:r>
    </w:p>
    <w:p>
      <w:pPr>
        <w:spacing w:after="0" w:line="22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See “Risk Factors” in this prospectus supplement and in our 2017 10-K incorporated by reference in this prospectus supplement and the accompanying prospectus for a further description of these and other factors. The forward looking statements included or incorporated by reference in this prospectus supplement and the accompanying prospectus are made only as of the date hereof. You should not rely upon forward looking statements as predictions of future events. Although we believe that the expectations reflected in the forward looking statements are reasonable, we cannot guarantee that the future results, levels of activity, performance or events and circumstances reflected in the forward looking statements will be achieved or occur. Moreover, neither we nor any other person assumes responsibility for the accuracy and completeness of the forward looking statements. We undertake no obligation to update publicly any forward looking statements for any reason after the date of this prospectus supplement to conform these statements to actual results or to changes in our expectations, except as may be required by law.</w:t>
      </w:r>
    </w:p>
    <w:p>
      <w:pPr>
        <w:spacing w:after="0" w:line="166"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Our common stock has been listed on NASDAQ under the symbol “MEDP” since August 11, 2016. Prior to that time, there was no public market for our common stock. The following table sets forth for the periods indicated the high and low sale prices of our common stock on NASDAQ.</w:t>
      </w:r>
    </w:p>
    <w:tbl>
      <w:tblPr>
        <w:tblLayout w:type="fixed"/>
        <w:tblInd w:w="15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3"/>
                <w:szCs w:val="13"/>
                <w:color w:val="auto"/>
              </w:rPr>
            </w:pPr>
          </w:p>
        </w:tc>
        <w:tc>
          <w:tcPr>
            <w:tcW w:w="5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rPr>
              <w:t>LOW</w:t>
            </w: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Third Quarter (beginning August 11, 2016)</w:t>
            </w:r>
          </w:p>
        </w:tc>
        <w:tc>
          <w:tcPr>
            <w:tcW w:w="2160" w:type="dxa"/>
            <w:vAlign w:val="bottom"/>
            <w:gridSpan w:val="2"/>
          </w:tcPr>
          <w:p>
            <w:pPr>
              <w:jc w:val="center"/>
              <w:ind w:left="1570"/>
              <w:spacing w:after="0"/>
              <w:rPr>
                <w:sz w:val="20"/>
                <w:szCs w:val="20"/>
                <w:color w:val="auto"/>
              </w:rPr>
            </w:pPr>
            <w:r>
              <w:rPr>
                <w:rFonts w:ascii="Arial" w:cs="Arial" w:eastAsia="Arial" w:hAnsi="Arial"/>
                <w:sz w:val="18"/>
                <w:szCs w:val="18"/>
                <w:color w:val="auto"/>
                <w:w w:val="90"/>
              </w:rPr>
              <w:t>$31.35</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$26.51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90"/>
              </w:rPr>
              <w:t>$38.94</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$28.50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90"/>
              </w:rPr>
              <w:t>$37.22</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$26.01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center"/>
              <w:ind w:left="1570"/>
              <w:spacing w:after="0"/>
              <w:rPr>
                <w:sz w:val="20"/>
                <w:szCs w:val="20"/>
                <w:color w:val="auto"/>
              </w:rPr>
            </w:pPr>
            <w:r>
              <w:rPr>
                <w:rFonts w:ascii="Arial" w:cs="Arial" w:eastAsia="Arial" w:hAnsi="Arial"/>
                <w:sz w:val="18"/>
                <w:szCs w:val="18"/>
                <w:color w:val="auto"/>
                <w:w w:val="90"/>
              </w:rPr>
              <w:t>$32.62</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$21.76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90"/>
              </w:rPr>
              <w:t>$33.50</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$26.56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2160" w:type="dxa"/>
            <w:vAlign w:val="bottom"/>
            <w:gridSpan w:val="2"/>
          </w:tcPr>
          <w:p>
            <w:pPr>
              <w:jc w:val="center"/>
              <w:ind w:left="1570"/>
              <w:spacing w:after="0"/>
              <w:rPr>
                <w:sz w:val="20"/>
                <w:szCs w:val="20"/>
                <w:color w:val="auto"/>
              </w:rPr>
            </w:pPr>
            <w:r>
              <w:rPr>
                <w:rFonts w:ascii="Arial" w:cs="Arial" w:eastAsia="Arial" w:hAnsi="Arial"/>
                <w:sz w:val="18"/>
                <w:szCs w:val="18"/>
                <w:color w:val="auto"/>
                <w:w w:val="90"/>
              </w:rPr>
              <w:t>$39.64</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$31.70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center"/>
              <w:ind w:left="1570"/>
              <w:spacing w:after="0"/>
              <w:rPr>
                <w:sz w:val="20"/>
                <w:szCs w:val="20"/>
                <w:color w:val="auto"/>
              </w:rPr>
            </w:pPr>
            <w:r>
              <w:rPr>
                <w:rFonts w:ascii="Arial" w:cs="Arial" w:eastAsia="Arial" w:hAnsi="Arial"/>
                <w:sz w:val="18"/>
                <w:szCs w:val="18"/>
                <w:color w:val="auto"/>
                <w:w w:val="90"/>
              </w:rPr>
              <w:t>$39.63</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$31.75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CEEFF"/>
          </w:tcPr>
          <w:p>
            <w:pPr>
              <w:jc w:val="center"/>
              <w:ind w:left="1570"/>
              <w:spacing w:after="0"/>
              <w:rPr>
                <w:sz w:val="20"/>
                <w:szCs w:val="20"/>
                <w:color w:val="auto"/>
              </w:rPr>
            </w:pPr>
            <w:r>
              <w:rPr>
                <w:rFonts w:ascii="Arial" w:cs="Arial" w:eastAsia="Arial" w:hAnsi="Arial"/>
                <w:sz w:val="18"/>
                <w:szCs w:val="18"/>
                <w:color w:val="auto"/>
                <w:w w:val="90"/>
              </w:rPr>
              <w:t>$45.94</w:t>
            </w:r>
          </w:p>
        </w:tc>
        <w:tc>
          <w:tcPr>
            <w:tcW w:w="10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$33.52</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Third Quarter (through August 22, 2018)</w:t>
            </w:r>
          </w:p>
        </w:tc>
        <w:tc>
          <w:tcPr>
            <w:tcW w:w="2160" w:type="dxa"/>
            <w:vAlign w:val="bottom"/>
            <w:gridSpan w:val="2"/>
          </w:tcPr>
          <w:p>
            <w:pPr>
              <w:jc w:val="center"/>
              <w:ind w:left="1570"/>
              <w:spacing w:after="0"/>
              <w:rPr>
                <w:sz w:val="20"/>
                <w:szCs w:val="20"/>
                <w:color w:val="auto"/>
              </w:rPr>
            </w:pPr>
            <w:r>
              <w:rPr>
                <w:rFonts w:ascii="Arial" w:cs="Arial" w:eastAsia="Arial" w:hAnsi="Arial"/>
                <w:sz w:val="18"/>
                <w:szCs w:val="18"/>
                <w:color w:val="auto"/>
                <w:w w:val="90"/>
              </w:rPr>
              <w:t>$63.97</w:t>
            </w:r>
          </w:p>
        </w:tc>
        <w:tc>
          <w:tcPr>
            <w:tcW w:w="106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$42.43</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 recent reported closing price for our common stock is set forth on the cover page of this prospectus supplement. American Stock Transfer &amp; Trust Company, LLC is the transfer agent and registrar for our common stock. On August 21, 2018, we had approximately 34 holders of record of our common stock. The actual number of holders of common stock is greater than this number of record holders and includes shareholders who are beneficial owners, but whose shares are held in street name by brokers and nominees. The number of holders of record also does not include shareholders whose shares may be held in trust by other entities.</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960"/>
          </w:cols>
          <w:pgMar w:left="240" w:top="459" w:right="6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All of the common stock offered by this prospectus supplement is being sold by the selling shareholder. We will not receive any of the proceeds from the sale of shares by the selling shareholder in this offering. For more information about the selling shareholder, see “Selling Shareholder.”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We have no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81"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4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future determination to declare dividends will be at the discretion of our Board and will take into account:</w:t>
      </w:r>
    </w:p>
    <w:p>
      <w:pPr>
        <w:spacing w:after="0" w:line="131"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our debt instruments, including our Senior Secured Credit Facilities;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business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net income, financial condition and results of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prospects;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operating subsidiaries to pay dividends and make distributions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restrictions;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factors as our Board may deem relevant.</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See the section entitled “Management’s Discussion and Analysis of Financial Condition and Results of Operations—Liquidity and Capital Resources— Indebtedness” in our 2017 10-K, 2018 First Quarter 10-Q and 2018 Second Quarter 10-Q, each incorporated by reference in this prospectus supplement for information about restrictions on our ability to pay dividends.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24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following table sets forth the beneficial ownership of our common stock by the selling shareholder as of August 21, 2018 and immediately after the completion of this offering by the selling shareholder.</w:t>
      </w:r>
    </w:p>
    <w:p>
      <w:pPr>
        <w:spacing w:after="0" w:line="17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w:t>
      </w:r>
    </w:p>
    <w:p>
      <w:pPr>
        <w:spacing w:after="0" w:line="189"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percentages reflect beneficial ownership immediately prior to and immediately after the completion of this offering as determined in accordance with Rule 13d-3 under the Exchange Act and are based on 35,571,504 shares of our common stock outstanding as of August 21, 2018, which includes 5,224,997 shares of common stock to be sold by the selling shareholder.</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2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rPr>
              <w:t>SHARES BENEFICIALLY</w:t>
            </w:r>
          </w:p>
        </w:tc>
        <w:tc>
          <w:tcPr>
            <w:tcW w:w="2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32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rPr>
              <w:t>OWNED PRIOR TO</w:t>
            </w:r>
          </w:p>
        </w:tc>
        <w:tc>
          <w:tcPr>
            <w:tcW w:w="2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3"/>
            <w:vMerge w:val="restart"/>
          </w:tcPr>
          <w:p>
            <w:pPr>
              <w:jc w:val="right"/>
              <w:ind w:right="3200"/>
              <w:spacing w:after="0"/>
              <w:rPr>
                <w:sz w:val="20"/>
                <w:szCs w:val="20"/>
                <w:color w:val="auto"/>
              </w:rPr>
            </w:pPr>
            <w:r>
              <w:rPr>
                <w:rFonts w:ascii="Arial" w:cs="Arial" w:eastAsia="Arial" w:hAnsi="Arial"/>
                <w:sz w:val="14"/>
                <w:szCs w:val="14"/>
                <w:b w:val="1"/>
                <w:bCs w:val="1"/>
                <w:color w:val="auto"/>
                <w:w w:val="92"/>
              </w:rPr>
              <w:t>Name of Beneficial Owner</w:t>
            </w:r>
          </w:p>
        </w:tc>
        <w:tc>
          <w:tcPr>
            <w:tcW w:w="780" w:type="dxa"/>
            <w:vAlign w:val="bottom"/>
          </w:tcPr>
          <w:p>
            <w:pPr>
              <w:spacing w:after="0"/>
              <w:rPr>
                <w:sz w:val="14"/>
                <w:szCs w:val="14"/>
                <w:color w:val="auto"/>
              </w:rPr>
            </w:pPr>
          </w:p>
        </w:tc>
        <w:tc>
          <w:tcPr>
            <w:tcW w:w="254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rPr>
              <w:t>OFFERING</w:t>
            </w:r>
          </w:p>
        </w:tc>
        <w:tc>
          <w:tcPr>
            <w:tcW w:w="2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4820" w:type="dxa"/>
            <w:vAlign w:val="bottom"/>
            <w:gridSpan w:val="3"/>
            <w:vMerge w:val="continue"/>
          </w:tcPr>
          <w:p>
            <w:pPr>
              <w:spacing w:after="0"/>
              <w:rPr>
                <w:sz w:val="11"/>
                <w:szCs w:val="11"/>
                <w:color w:val="auto"/>
              </w:rPr>
            </w:pPr>
          </w:p>
        </w:tc>
        <w:tc>
          <w:tcPr>
            <w:tcW w:w="7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NUMBER</w:t>
            </w:r>
          </w:p>
        </w:tc>
        <w:tc>
          <w:tcPr>
            <w:tcW w:w="1700" w:type="dxa"/>
            <w:vAlign w:val="bottom"/>
            <w:tcBorders>
              <w:top w:val="single" w:sz="8" w:color="auto"/>
            </w:tcBorders>
            <w:gridSpan w:val="2"/>
          </w:tcPr>
          <w:p>
            <w:pPr>
              <w:ind w:left="700"/>
              <w:spacing w:after="0" w:line="129" w:lineRule="exact"/>
              <w:rPr>
                <w:sz w:val="20"/>
                <w:szCs w:val="20"/>
                <w:color w:val="auto"/>
              </w:rPr>
            </w:pPr>
            <w:r>
              <w:rPr>
                <w:rFonts w:ascii="Arial" w:cs="Arial" w:eastAsia="Arial" w:hAnsi="Arial"/>
                <w:sz w:val="14"/>
                <w:szCs w:val="14"/>
                <w:b w:val="1"/>
                <w:bCs w:val="1"/>
                <w:color w:val="auto"/>
              </w:rPr>
              <w:t>PERCENTAGE</w:t>
            </w:r>
          </w:p>
        </w:tc>
        <w:tc>
          <w:tcPr>
            <w:tcW w:w="840" w:type="dxa"/>
            <w:vAlign w:val="bottom"/>
          </w:tcPr>
          <w:p>
            <w:pPr>
              <w:spacing w:after="0"/>
              <w:rPr>
                <w:sz w:val="11"/>
                <w:szCs w:val="11"/>
                <w:color w:val="auto"/>
              </w:rPr>
            </w:pPr>
          </w:p>
        </w:tc>
        <w:tc>
          <w:tcPr>
            <w:tcW w:w="15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NUMBER</w:t>
            </w:r>
          </w:p>
        </w:tc>
        <w:tc>
          <w:tcPr>
            <w:tcW w:w="13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shd w:val="clear" w:color="auto" w:fill="CCEEFF"/>
          </w:tcPr>
          <w:p>
            <w:pPr>
              <w:jc w:val="right"/>
              <w:ind w:right="1380"/>
              <w:spacing w:after="0" w:line="176" w:lineRule="exact"/>
              <w:rPr>
                <w:sz w:val="20"/>
                <w:szCs w:val="20"/>
                <w:color w:val="auto"/>
              </w:rPr>
            </w:pPr>
            <w:r>
              <w:rPr>
                <w:rFonts w:ascii="Arial" w:cs="Arial" w:eastAsia="Arial" w:hAnsi="Arial"/>
                <w:sz w:val="18"/>
                <w:szCs w:val="18"/>
                <w:color w:val="auto"/>
                <w:w w:val="92"/>
              </w:rPr>
              <w:t>Investment funds affiliated with Cinven Capital</w:t>
            </w: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w w:val="96"/>
              </w:rPr>
              <w:t xml:space="preserve">Management (V) General Partner Limited </w:t>
            </w:r>
            <w:r>
              <w:rPr>
                <w:rFonts w:ascii="Arial" w:cs="Arial" w:eastAsia="Arial" w:hAnsi="Arial"/>
                <w:sz w:val="15"/>
                <w:szCs w:val="15"/>
                <w:color w:val="auto"/>
                <w:w w:val="96"/>
              </w:rPr>
              <w:t>(1)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5,224,997</w:t>
            </w:r>
          </w:p>
        </w:tc>
        <w:tc>
          <w:tcPr>
            <w:tcW w:w="25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14.7%</w:t>
            </w: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70"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7"/>
          <w:szCs w:val="17"/>
          <w:color w:val="auto"/>
        </w:rPr>
        <w:t>Medpace Limited is the record holder of the shares reported herein and has pledged such shares as collateral to secure its obligations under a margin loan agreement entered into on June 16, 2017. Cinven Capital Management (V) General Partner Limited (“Cinven MGP”) is the Managing General Partner of Cinven Capital Management (V) Limited Partnership Incorporated (“GPLP”), which is the Managing General Partner of a majority of the stockholders of Medpace GP Limited (“Medpace GP”), which is the general partner of Medpace Limited. The board of directors of Medpace GP has voting and investment discretion with respect to the shares held of record by Medpace Limited. Cinven MGP, as Managing General Partner of the Managing General Partner of a majority of the stockholders of Medpace GP, indirectly controls Medpace GP. Decisions of Cinven MGP are taken by its board of directors, which is comprised of Robin Hall, Brian Linden, Hayley Tanguy, John Boothman, Rupert Dorey and William Scott. Each such director disclaims beneficial ownership of the shares reported herein. The principal business address of Cinven MGP is Level Four, Mill Court, La Charroterie, St Peter Port, Guernsey GY1 1EJ.</w:t>
      </w:r>
    </w:p>
    <w:p>
      <w:pPr>
        <w:spacing w:after="0" w:line="73" w:lineRule="exact"/>
        <w:rPr>
          <w:rFonts w:ascii="Arial" w:cs="Arial" w:eastAsia="Arial" w:hAnsi="Arial"/>
          <w:sz w:val="14"/>
          <w:szCs w:val="14"/>
          <w:color w:val="auto"/>
        </w:rPr>
      </w:pPr>
    </w:p>
    <w:p>
      <w:pPr>
        <w:ind w:left="640" w:right="240"/>
        <w:spacing w:after="0" w:line="277" w:lineRule="auto"/>
        <w:rPr>
          <w:rFonts w:ascii="Arial" w:cs="Arial" w:eastAsia="Arial" w:hAnsi="Arial"/>
          <w:sz w:val="14"/>
          <w:szCs w:val="14"/>
          <w:color w:val="auto"/>
        </w:rPr>
      </w:pPr>
      <w:r>
        <w:rPr>
          <w:rFonts w:ascii="Arial" w:cs="Arial" w:eastAsia="Arial" w:hAnsi="Arial"/>
          <w:sz w:val="18"/>
          <w:szCs w:val="18"/>
          <w:color w:val="auto"/>
        </w:rPr>
        <w:t>The principal business address of each of GPLP, Medpace GP and Medpace Limited is East Wing, Trafalgar Court, Les Banques, St. Peter Port, Guernsey, GY1 3PP.</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NON-U.S. HOLDERS</w:t>
      </w:r>
    </w:p>
    <w:p>
      <w:pPr>
        <w:spacing w:after="0" w:line="211"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purchased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6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92"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3" w:lineRule="exact"/>
        <w:rPr>
          <w:sz w:val="20"/>
          <w:szCs w:val="20"/>
          <w:color w:val="auto"/>
        </w:rPr>
      </w:pPr>
    </w:p>
    <w:p>
      <w:pPr>
        <w:ind w:left="200" w:right="520"/>
        <w:spacing w:after="0" w:line="266"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0"/>
        <w:spacing w:after="0" w:line="266" w:lineRule="auto"/>
        <w:rPr>
          <w:sz w:val="20"/>
          <w:szCs w:val="20"/>
          <w:color w:val="auto"/>
        </w:rPr>
      </w:pPr>
      <w:r>
        <w:rPr>
          <w:rFonts w:ascii="Arial" w:cs="Arial" w:eastAsia="Arial" w:hAnsi="Arial"/>
          <w:sz w:val="18"/>
          <w:szCs w:val="18"/>
          <w:b w:val="1"/>
          <w:bCs w:val="1"/>
          <w:color w:val="auto"/>
        </w:rPr>
        <w:t>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one or more “United States persons” (within the meaning of Section 7701(a)(30) of the Code) is able to control all its substantial decisions, or (2) has a valid election in effect to be treated as a United States person for U.S. federal income tax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93"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8" w:lineRule="exact"/>
        <w:rPr>
          <w:sz w:val="20"/>
          <w:szCs w:val="20"/>
          <w:color w:val="auto"/>
        </w:rPr>
      </w:pPr>
    </w:p>
    <w:p>
      <w:pPr>
        <w:ind w:left="200" w:right="260"/>
        <w:spacing w:after="0" w:line="276"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applicable to U.S. persons. A Non-U.S. Holder that is a corporation also may be subject</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24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Subject to the discussion below regarding FATCA, a Non-U.S. Holder will not be subject to U.S. federal income tax on any gain realized upon the sale or other taxable disposition of our common stock unless:</w:t>
      </w:r>
    </w:p>
    <w:p>
      <w:pPr>
        <w:spacing w:after="0" w:line="76" w:lineRule="exact"/>
        <w:rPr>
          <w:sz w:val="20"/>
          <w:szCs w:val="20"/>
          <w:color w:val="auto"/>
        </w:rPr>
      </w:pPr>
    </w:p>
    <w:p>
      <w:pPr>
        <w:ind w:left="1060" w:right="14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6"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66"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and/or constructively, 5% or less of our common stock throughout the shorter of the five-year period ending on the date of the sale or other taxable disposition or the Non-U.S. Holder’s holding period.</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holder otherwise establishes an exemption. Proceeds of a disposition of our common stock conducted through a non-U.S. office of a non-U.S. broker generally will not be subject to backup withholding or information reporting.</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4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tax under FATCA to their investment in our common stock.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Subject to the terms and conditions set forth in the underwriting agreement, dated August 22, 2018, among us, Morgan Stanley &amp; Co. LLC, as underwriter, and the selling shareholder, the selling shareholder has agreed to sell to the underwriter, and the underwriter has agreed to purchase from the selling shareholder 5,224,997 shares of common stock.</w:t>
      </w:r>
    </w:p>
    <w:p>
      <w:pPr>
        <w:spacing w:after="0" w:line="18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its counsel. The underwriting agreement provides that the underwriter will purchase all of the shares of common stock if any of them are purchased. If the underwriter defaults, the underwriting agreement provides that the underwriting agreement may be terminated. We and the selling shareholder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93"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8"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The underwriter is offering the shares of common stock subject to its acceptance of the shares of common stock from the selling shareholder and subject to prior sale. The underwriter reserves the right to withdraw, cancel or modify offers to the public and to reject orders in whole or in part. In addition, the underwriter has advised us that it does not intend to confirm sales to any account over which it exercises discretionary authority.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 and Expenses</w:t>
      </w:r>
    </w:p>
    <w:p>
      <w:pPr>
        <w:spacing w:after="0" w:line="121"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 underwriter has advised us that it proposes to offer the shares of common stock to the public at the offering price set forth on the cover page of this prospectus and to certain dealers, which may include the underwriter, at that price less a concession not in excess of $0.30 per share of common stock. After the offering, the offering price and concession to dealers may be reduced by the underwriter. No such reduction will change the amount of proceeds to be received by the selling shareholder as set forth on the cover page of this prospectus.</w:t>
      </w:r>
    </w:p>
    <w:p>
      <w:pPr>
        <w:spacing w:after="0" w:line="17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following table shows the offering price, the underwriting discounts and commissions that the selling shareholder is to pay the underwriter and the proceeds, before expenses, to the selling shareholder in connection with this offering. We will not receive any proceeds from the sale of shares of common stock by the selling shareholder.</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380" w:type="dxa"/>
            <w:vAlign w:val="bottom"/>
            <w:gridSpan w:val="3"/>
          </w:tcPr>
          <w:p>
            <w:pPr>
              <w:ind w:left="1560"/>
              <w:spacing w:after="0"/>
              <w:rPr>
                <w:sz w:val="20"/>
                <w:szCs w:val="20"/>
                <w:color w:val="auto"/>
              </w:rPr>
            </w:pPr>
            <w:r>
              <w:rPr>
                <w:rFonts w:ascii="Arial" w:cs="Arial" w:eastAsia="Arial" w:hAnsi="Arial"/>
                <w:sz w:val="14"/>
                <w:szCs w:val="14"/>
                <w:b w:val="1"/>
                <w:bCs w:val="1"/>
                <w:color w:val="auto"/>
                <w:w w:val="97"/>
              </w:rPr>
              <w:t>PER SHARE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289,987,333.50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Underwriting discounts and commissions paid by the selling shareholder</w:t>
            </w:r>
          </w:p>
        </w:tc>
        <w:tc>
          <w:tcPr>
            <w:tcW w:w="182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3,918,747.75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286,068,585.75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500"/>
        <w:spacing w:after="0" w:line="259" w:lineRule="auto"/>
        <w:rPr>
          <w:sz w:val="20"/>
          <w:szCs w:val="20"/>
          <w:color w:val="auto"/>
        </w:rPr>
      </w:pPr>
      <w:r>
        <w:rPr>
          <w:rFonts w:ascii="Arial" w:cs="Arial" w:eastAsia="Arial" w:hAnsi="Arial"/>
          <w:sz w:val="18"/>
          <w:szCs w:val="18"/>
          <w:color w:val="auto"/>
        </w:rPr>
        <w:t>We estimate expenses payable by us in connection with this offering, including expenses incurred by the selling shareholder but not including any underwriting discounts and commissions referred to above, will be approximately $100,000. We have also agreed to reimburse the underwriter for certain expenses, including up to an aggregate of $15,000 in connection with the clearance of this offering with the Financial Industry Regulatory Authority, as set forth in the underwriting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NASDAQ under the trading symbol “MEDP.”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our officers, directors, MPI and the selling shareholder have agreed not to directly or indirectly:</w:t>
      </w:r>
    </w:p>
    <w:p>
      <w:pPr>
        <w:spacing w:after="0" w:line="131" w:lineRule="exact"/>
        <w:rPr>
          <w:sz w:val="20"/>
          <w:szCs w:val="20"/>
          <w:color w:val="auto"/>
        </w:rPr>
      </w:pPr>
    </w:p>
    <w:p>
      <w:pPr>
        <w:ind w:left="1060" w:right="10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75"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30 days without the prior written consent of the underwriter.</w:t>
      </w:r>
    </w:p>
    <w:p>
      <w:pPr>
        <w:spacing w:after="0" w:line="23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This restriction terminates after the close of trading of the common stock on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August 7, 2018, and is subject to certain customary restrictions, in addition to:</w:t>
      </w:r>
    </w:p>
    <w:p>
      <w:pPr>
        <w:spacing w:after="0" w:line="76" w:lineRule="exact"/>
        <w:rPr>
          <w:sz w:val="20"/>
          <w:szCs w:val="20"/>
          <w:color w:val="auto"/>
        </w:rPr>
      </w:pPr>
    </w:p>
    <w:p>
      <w:pPr>
        <w:ind w:left="1060" w:right="4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the selling shareholder, the continued pledge of common stock not being sold in this offering pursuant to the MLP Credit Agreement and any transfer of shares in the event of foreclosure upon the pledged shares; and</w:t>
      </w:r>
    </w:p>
    <w:p>
      <w:pPr>
        <w:spacing w:after="0" w:line="75" w:lineRule="exact"/>
        <w:rPr>
          <w:rFonts w:ascii="Arial" w:cs="Arial" w:eastAsia="Arial" w:hAnsi="Arial"/>
          <w:sz w:val="18"/>
          <w:szCs w:val="18"/>
          <w:color w:val="auto"/>
        </w:rPr>
      </w:pPr>
    </w:p>
    <w:p>
      <w:pPr>
        <w:jc w:val="both"/>
        <w:ind w:left="1060" w:right="240" w:hanging="316"/>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requirements of Rule 144, sales of shares of common stock held by the August J. Troendle Revocable Trust acquired in our IPO may occur if effected pursuant to the Rule 10b5-1 trading plan in existence on the date of this prospectus supplement. In connection with such sales, any required filings may be made with the SEC.</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underwriter may, in its sole discretion and at any time or from time to time before the termination of the 30-day period release all or any portion of the securities subject to lock-up agreements. Morgan Stanley &amp; Co. LLC has provided such a release to allow for the sale of shares by the selling shareholder in this offering.</w:t>
      </w:r>
    </w:p>
    <w:p>
      <w:pPr>
        <w:spacing w:after="0" w:line="181"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In connection with this offering, we have agreed with Morgan Stanley &amp; Co. LLC, subject to certain exceptions, not to sell or otherwise dispose of any shares of our common stock or other capital stock or other securities exercisable or convertible therefor for a period of at least 30 days after the date of this prospectus supplement without the prior written consent of the Morgan Stanley &amp; Co. LLC.</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“naked” short sales.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“Naked” short sales are sales made without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shares in the open market after pricing that could adversely affect investors who purchase in this offering.</w:t>
      </w:r>
    </w:p>
    <w:p>
      <w:pPr>
        <w:spacing w:after="0" w:line="147" w:lineRule="exact"/>
        <w:rPr>
          <w:sz w:val="20"/>
          <w:szCs w:val="20"/>
          <w:color w:val="auto"/>
        </w:rPr>
      </w:pPr>
    </w:p>
    <w:p>
      <w:pPr>
        <w:ind w:left="200" w:right="160"/>
        <w:spacing w:after="0" w:line="271" w:lineRule="auto"/>
        <w:rPr>
          <w:sz w:val="20"/>
          <w:szCs w:val="20"/>
          <w:color w:val="auto"/>
        </w:rPr>
      </w:pPr>
      <w:r>
        <w:rPr>
          <w:rFonts w:ascii="Arial" w:cs="Arial" w:eastAsia="Arial" w:hAnsi="Arial"/>
          <w:sz w:val="17"/>
          <w:szCs w:val="17"/>
          <w:color w:val="auto"/>
        </w:rPr>
        <w:t>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79"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Neither we, the selling shareholder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w:t>
      </w:r>
    </w:p>
    <w:p>
      <w:pPr>
        <w:spacing w:after="0" w:line="18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underwriter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All of the common stock offered by this prospectus supplement is being sold by the selling shareholder. We will not receive any of the proceeds from the sale of shares by the selling shareholder in this offering. For more information about the selling shareholder, see “Selling Shareholder.”</w:t>
      </w:r>
    </w:p>
    <w:p>
      <w:pPr>
        <w:spacing w:after="0" w:line="14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Certain of the proceeds of the sale of shares will be used to repay the remaining outstanding amount under the MLP Credit Agreement, as a result of which an affiliate of Morgan Stanley &amp; Co. LLC will receive more than 5% of the net proceeds of this offering, not including underwriting compensation. Accordingly, this offering is being made in compliance with the requirements of Rule 5121 (Public Offerings of Securities with Conflicts of Interest) of the Financial Industry Regulatory Authority, Inc. (“FINRA”). Pursuant to that rule, the appointment of a “qualified independent underwriter” is not necessary in connection with this offering because the shares of common stock have a “bona fide public market” (as such terms are defined in FINRA Rule 5121).</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 site and any information contained in any other web site maintained by the underwriter is not part of this prospectus, has not been approved and/or endorsed by us or the underwriter and should not be relied upon by investors.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Activities and Relationships</w:t>
      </w:r>
    </w:p>
    <w:p>
      <w:pPr>
        <w:spacing w:after="0" w:line="12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underwriter and certain of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4"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In particular, an affiliate of Morgan Stanley &amp; Co. LLC serves as a lender under our Senior Secured Credit Facilities and under the MLP Credit Agreement. Morgan Stanley &amp; Co. LLC is also a secured party under the MLP Pledge Agreement.</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customers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This prospectus supplement and the accompanying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supplement and the accompanying prospectus or any other offering or publicity material relating to the shares of common stock in any country or jurisdiction (other than the United States) where any such action for that purpose is required. Accordingly, the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the shares of common stock by it will be made on the same terms.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77"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the Prospectus Directive), as permitted under the Prospectus Directive, subject to obtaining the prior consent of the underwriter or the underwriter nominated by us for any such offer; or</w:t>
      </w:r>
    </w:p>
    <w:p>
      <w:pPr>
        <w:spacing w:after="0" w:line="7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provided that no such offer of common shares shall require us or the underwriter to publish a prospectus pursuant to Article 3 of the Prospectus Directive or supplement a prospectus pursuant to Article 16 of the Prospectus Directive. 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the Corporations Act, has not been lodged with the Australian Securities &amp; Investments Commission and is only directed to the categories of exempt persons set out below. Accordingly, if you receive this prospectus in Australia: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2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or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2"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Investors in Israel</w:t>
      </w:r>
    </w:p>
    <w:p>
      <w:pPr>
        <w:spacing w:after="0" w:line="117"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131" w:lineRule="exact"/>
        <w:rPr>
          <w:sz w:val="20"/>
          <w:szCs w:val="20"/>
          <w:color w:val="auto"/>
        </w:rPr>
      </w:pPr>
    </w:p>
    <w:p>
      <w:pPr>
        <w:ind w:left="1060" w:right="140" w:hanging="316"/>
        <w:spacing w:after="0" w:line="308"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3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87" w:lineRule="exact"/>
        <w:rPr>
          <w:sz w:val="20"/>
          <w:szCs w:val="20"/>
          <w:color w:val="auto"/>
        </w:rPr>
      </w:pPr>
    </w:p>
    <w:p>
      <w:pPr>
        <w:ind w:left="1060" w:right="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 is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60"/>
          </w:cols>
          <w:pgMar w:left="240" w:top="459" w:right="5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Certain legal matters in connection with this offering, including the validity of the shares of our common stock offered hereby, will be passed upon for us by Latham &amp; Watkins LLP, New York, New York. The underwriter is being represented by Gibson, Dunn &amp; Crutcher LLP, New York, New York.</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consolidated financial statements of Medpace Holdings, Inc. and subsidiaries incorporated in this prospectus supplement and the accompanying prospectus by reference from Medpace Holdings, Inc.’s Annual Report on Form 10-K for the year ended December 31, 2017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shares of common stock offered by this prospectus supplement and the accompanying prospectus. This prospectus supplement and the accompanying prospectus do not contain all of the information set forth in the registration statement and the exhibits and schedules thereto. For further information with respect to us and the shares of common stock offered by this prospectus supplement and the accompanying prospectus, you should refer to the registration statement and to the exhibits and schedules filed therewith.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are also required to file annual, quarterly and current reports, proxy statements and other information with the SEC. Our SEC filings, including our registration statement and the exhibits and schedules thereto, may be inspected without charge at the public reference room maintained by the SEC located at 100 F Street, N.E., Room 1580, Washington, D.C. 20549. Copies of all or any portion of the registration statement, the prospectus supplement, the accompanying prospectus and the filings may be obtained from such offices upon payment of prescribed fees. The public may obtain information on the operation of the public reference room by calling the SEC at 1-800-SEC-0330 or (202) 551-8090. The SEC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also obtain a copy of any of our filings, at no cost, by writing or telephoning us at: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ind w:left="5540" w:right="4920" w:hanging="385"/>
        <w:spacing w:after="0" w:line="517" w:lineRule="auto"/>
        <w:tabs>
          <w:tab w:leader="none" w:pos="55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579-9911 S-34</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SEC allows us to “incorporate by reference” information we file with it into our registration statement of which this prospectus supplement is a part, which means that we can disclose important information to you by referring you to other documents. The information incorporated by reference is considered to be part of this prospectus supplement. We incorporate by reference into this prospectus supplement the documents listed below, except for information “furnished” under Items 2.02, 7.01 (or exhibits related to such items) on Form 8-K or other information “furnished” to the SEC which is not deemed filed and not incorporated in this prospectus supplement.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hereby incorporate by reference the following documents:</w:t>
      </w:r>
    </w:p>
    <w:p>
      <w:pPr>
        <w:spacing w:after="0" w:line="131" w:lineRule="exact"/>
        <w:rPr>
          <w:sz w:val="20"/>
          <w:szCs w:val="20"/>
          <w:color w:val="auto"/>
        </w:rPr>
      </w:pPr>
    </w:p>
    <w:p>
      <w:pPr>
        <w:ind w:left="1060" w:right="20" w:hanging="316"/>
        <w:spacing w:after="0" w:line="30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2017, filed with the SEC on February 27, 2018 (including the portions of our Definitive Proxy Statement on Schedule 14A, filed with the SEC on April 5, 2018, incorporated by reference therein);</w:t>
      </w:r>
    </w:p>
    <w:p>
      <w:pPr>
        <w:spacing w:after="0" w:line="51" w:lineRule="exact"/>
        <w:rPr>
          <w:rFonts w:ascii="Arial" w:cs="Arial" w:eastAsia="Arial" w:hAnsi="Arial"/>
          <w:sz w:val="17"/>
          <w:szCs w:val="17"/>
          <w:color w:val="auto"/>
        </w:rPr>
      </w:pPr>
    </w:p>
    <w:p>
      <w:pPr>
        <w:ind w:left="1060" w:right="4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and June 30, 2018, filed with the SEC on May 1, 2018 and July 31, 2018, respectively;</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26, 2018 (with respect to Item 8.01 only), May 4, 2018, May 23, 2018, June 8, 2018, June 13, 2018, August 6, 2018, August 9, 2018 and August 13, 2018; and</w:t>
      </w:r>
    </w:p>
    <w:p>
      <w:pPr>
        <w:spacing w:after="0" w:line="75"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dated August 9, 2016, filed with the SEC on August 9, 2016 and any amendment or report filed with the SEC for the purpose of updating the description.</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will provide to each person, including any beneficial owners, to whom a prospectus supplement is delivered, upon written or oral request of any such person, a copy of the reports and documents that have been incorporated by reference into this prospectus supplement and the accompanying prospectus, at no cost. Any such request should be directed to: Medpace Holdings, Inc., 5375 Medpace Way, Cincinnati, Ohio 45227, (513) 579-9911. These documents are also available on the Investor Relations section of our website, which is located at http://www.medpace.com, or as described under “Where You Can Find More Information” above. The reference to our website address does not constitute incorporation by reference of the information contained on our website.</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Any statement in a document incorporated or deemed to be incorporated by reference in this prospectus supplement or the accompanying prospectus shall be deemed to be modified or superseded for the purposes of this prospectus supplement to the extent that a statement contained herein modifies or supersedes such statement. Any statement so modified or superseded shall not be deemed, except as so modified or superseded, to constitute a part of this prospectus supplement or the accompanying prospectus.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Medpace Holdings, Inc.</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$75,000,000</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31,366,923 Shares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Offered by the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226060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may offer and sell up to $75,000,000 in the aggregate of the securities identified above, and the selling securityholders may offer and sell up to 31,366,923 shares in the aggregate of common stock identified above, in each case from time to time in one or more offerings. This prospectus provides you with a general description of the securities. We will not receive any proceeds from the sale of our common stock by the selling securityholders.</w:t>
      </w:r>
    </w:p>
    <w:p>
      <w:pPr>
        <w:spacing w:after="0" w:line="14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97" w:lineRule="exact"/>
        <w:rPr>
          <w:sz w:val="20"/>
          <w:szCs w:val="20"/>
          <w:color w:val="auto"/>
        </w:rPr>
      </w:pPr>
    </w:p>
    <w:p>
      <w:pPr>
        <w:ind w:left="200" w:right="320" w:firstLine="441"/>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4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 AND ANY SIMILAR SECTION CONTAINED IN THE APPLICABLE PROSPECTUS SUPPLEMENT CONCERNING FACTORS YOU SHOULD CONSIDER BEFORE INVESTING IN OUR SECURITIES.</w:t>
      </w:r>
    </w:p>
    <w:p>
      <w:pPr>
        <w:spacing w:after="0" w:line="19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“MEDP.” On October 3, 2017, the last reported sale price of our common stock on the Nasdaq Global Select Market was $33.11 per share.</w:t>
      </w:r>
    </w:p>
    <w:p>
      <w:pPr>
        <w:spacing w:after="0" w:line="166" w:lineRule="exact"/>
        <w:rPr>
          <w:sz w:val="20"/>
          <w:szCs w:val="20"/>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October 23, 2017.</w:t>
      </w:r>
    </w:p>
    <w:p>
      <w:pPr>
        <w:sectPr>
          <w:pgSz w:w="11900" w:h="16838" w:orient="portrait"/>
          <w:cols w:equalWidth="0" w:num="1">
            <w:col w:w="11220"/>
          </w:cols>
          <w:pgMar w:left="240" w:top="459"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940" w:type="dxa"/>
            <w:vAlign w:val="bottom"/>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3"/>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42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4500" w:type="dxa"/>
            <w:vAlign w:val="bottom"/>
            <w:gridSpan w:val="8"/>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WHERE YOU CAN FIND MORE INFORMATION; INCORPORATION BY REFERENCE</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THE COMPANY</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5460" w:type="dxa"/>
            <w:vAlign w:val="bottom"/>
            <w:gridSpan w:val="14"/>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57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CAUTIONARY NOTE REGARDING FORWARD LOOKING STATEMENTS</w:t>
              </w:r>
            </w:hyperlink>
          </w:p>
        </w:tc>
        <w:tc>
          <w:tcPr>
            <w:tcW w:w="960" w:type="dxa"/>
            <w:vAlign w:val="bottom"/>
            <w:gridSpan w:val="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RATIO OF EARNINGS TO FIXED CHARGES AND PREFERRED STOCK DIVIDENDS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DESCRIPTION OF CAPITAL STOCK</w:t>
              </w:r>
            </w:hyperlink>
          </w:p>
        </w:tc>
        <w:tc>
          <w:tcPr>
            <w:tcW w:w="378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DEBT SECURITIES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DEPOSITARY SHARES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3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WARRANTS</w:t>
              </w:r>
            </w:hyperlink>
          </w:p>
        </w:tc>
        <w:tc>
          <w:tcPr>
            <w:tcW w:w="342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UNITS</w:t>
              </w:r>
            </w:hyperlink>
          </w:p>
        </w:tc>
        <w:tc>
          <w:tcPr>
            <w:tcW w:w="4260" w:type="dxa"/>
            <w:vAlign w:val="bottom"/>
            <w:gridSpan w:val="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GLOBAL SECURITIES</w:t>
              </w:r>
            </w:hyperlink>
          </w:p>
        </w:tc>
        <w:tc>
          <w:tcPr>
            <w:tcW w:w="220" w:type="dxa"/>
            <w:vAlign w:val="bottom"/>
            <w:tcBorders>
              <w:top w:val="single" w:sz="8" w:color="0000EE"/>
            </w:tcBorders>
          </w:tcPr>
          <w:p>
            <w:pPr>
              <w:spacing w:after="0"/>
              <w:rPr>
                <w:sz w:val="17"/>
                <w:szCs w:val="17"/>
                <w:color w:val="auto"/>
              </w:rPr>
            </w:pPr>
          </w:p>
        </w:tc>
        <w:tc>
          <w:tcPr>
            <w:tcW w:w="4720" w:type="dxa"/>
            <w:vAlign w:val="bottom"/>
            <w:gridSpan w:val="10"/>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6740" w:type="dxa"/>
            <w:vAlign w:val="bottom"/>
            <w:gridSpan w:val="1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SELLING SECURITYHOLDERS</w:t>
              </w:r>
            </w:hyperlink>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3"/>
          </w:tcPr>
          <w:p>
            <w:pPr>
              <w:spacing w:after="0"/>
              <w:rPr>
                <w:sz w:val="17"/>
                <w:szCs w:val="17"/>
                <w:color w:val="auto"/>
              </w:rPr>
            </w:pPr>
          </w:p>
        </w:tc>
        <w:tc>
          <w:tcPr>
            <w:tcW w:w="4240" w:type="dxa"/>
            <w:vAlign w:val="bottom"/>
            <w:gridSpan w:val="6"/>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LEGAL MATTERS</w:t>
              </w:r>
            </w:hyperlink>
          </w:p>
        </w:tc>
        <w:tc>
          <w:tcPr>
            <w:tcW w:w="5280" w:type="dxa"/>
            <w:vAlign w:val="bottom"/>
            <w:gridSpan w:val="1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EXPERTS</w:t>
              </w:r>
            </w:hyperlink>
          </w:p>
        </w:tc>
        <w:tc>
          <w:tcPr>
            <w:tcW w:w="5960" w:type="dxa"/>
            <w:vAlign w:val="bottom"/>
            <w:gridSpan w:val="17"/>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$75,000,000 and the selling securityholders named herein or to be named in a supplement to this prospectus may, from time to time, sell up to 31,366,923 shares of common stock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and assumptions and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When we refer to “Medpace,” “we,” “our,” “us” and the “Company” in this prospectus, we mean Medpace Holdings, Inc. and its consolidated subsidiaries and predecessor entities, unless otherwise specified. When we refer to “you,” we mean the potential holders of the applicable series of securities.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i w:val="1"/>
          <w:iCs w:val="1"/>
          <w:color w:val="auto"/>
        </w:rPr>
        <w:t>www.medpace.com</w:t>
      </w:r>
      <w:r>
        <w:rPr>
          <w:rFonts w:ascii="Arial" w:cs="Arial" w:eastAsia="Arial" w:hAnsi="Arial"/>
          <w:sz w:val="16"/>
          <w:szCs w:val="16"/>
          <w:color w:val="auto"/>
        </w:rPr>
        <w:t>. The information on our web site, however, is not, and should not be deemed to be, a part of this prospectus.</w:t>
      </w:r>
    </w:p>
    <w:p>
      <w:pPr>
        <w:spacing w:after="0" w:line="24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or a subsequently filed document incorporated by reference to the extent that a statement contained in this prospectus modifies or replaces that statement.</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February 28, 2017.</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2, 2017 and August 1, 2017,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5, 2017.</w:t>
      </w:r>
    </w:p>
    <w:p>
      <w:pPr>
        <w:spacing w:after="0" w:line="130" w:lineRule="exact"/>
        <w:rPr>
          <w:rFonts w:ascii="Arial" w:cs="Arial" w:eastAsia="Arial" w:hAnsi="Arial"/>
          <w:sz w:val="18"/>
          <w:szCs w:val="18"/>
          <w:color w:val="auto"/>
        </w:rPr>
      </w:pPr>
    </w:p>
    <w:p>
      <w:pPr>
        <w:ind w:left="900" w:right="10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28, 2017, May 1, 2017 (with respect to Item 8.01 only), May 23, 2017, June 15, 2017, June 21, 2017 and August 22, 2017.</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dated August 9, 2016, filed with the SEC on August 9, 2016 and any amendment or report filed with the SEC for the purpose of updating the description.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Medpace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5375 Medpace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Cincinnati, Ohio 45227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(513) 579-9911</w:t>
      </w:r>
    </w:p>
    <w:p>
      <w:pPr>
        <w:spacing w:after="0" w:line="21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filed our amended and restated certificate of incorporation with the Secretary of State of Delaware on August 16,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5375 Medpace Way, Cincinnati, Ohio 45227, and our telephone number is (513) 579-9911.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any applicable prospectus supplement and the documents that we incorporate by reference in each, contains forward looking statements. We intend such forward-looking statements to be covered by the safe harbor provisions for forward-looking statements contained in Section 27A of the Securities Act of 1933, as amended, or the Securities Act, and Section 21E of the Exchange Act. All statements other than statements of historical facts contained in this prospectus, any applicable prospectus supplement and the documents that we incorporate by reference in each, including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expectations regarding consumer behaviors and trends; our culture and operating philosophy; human resource management; arrangements with and delivery of our services to the customers; conversion of backlog; dividend policy; legal proceedings; and our objectives for future operations, are forward looking statements. The words “believe,” “may,” “might,” “will,” “estimate,” “continue,” “anticipate,” “intend,” “seek,” “plan,” “should,” “expect”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in this prospectus, any applicable prospectus supplement and the documents that we incorporate by reference in each, may not occur and actual results could differ materially and adversely from those anticipated or implied in the forward looking statements. We caution you therefore against relying on these forward looking statements.</w:t>
      </w:r>
    </w:p>
    <w:p>
      <w:pPr>
        <w:spacing w:after="0" w:line="38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Some of the important factors that could cause actual results to differ from our expectations include regional, national or global political, economic, business, competitive, market and regulatory conditions and the other important factors included in “Item 1A Risk Factors” of our most recent Annual Report on Form 10-K. We qualify all of our forward-looking statements by these cautionary statements. Except as required by applicable law, we do not plan to publicly update or revise any forward-looking statements contained in this prospectus, any applicable prospectus supplement or the documents that we incorporate by reference in each, whether as a result of any new information, future events, changed circumstances or otherwise. For a further discussion of the risks relating to our business, see “Item 1A Risk Factors” of our most recent Annual Report on Form 10-K.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 We will not receive any of the proceeds from the sale of common stock being offered by any of the selling securityholders.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240" w:top="459" w:right="5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PREFERRED STOCK DIVIDENDS</w:t>
      </w:r>
    </w:p>
    <w:p>
      <w:pPr>
        <w:spacing w:after="0" w:line="229"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following table sets forth the historical ratios of earnings to fixed charges and preferred stock dividends for Medpace and its consolidated subsidiaries and predecessor entities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Successor</w:t>
            </w: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Nine Month</w:t>
            </w:r>
          </w:p>
        </w:tc>
        <w:tc>
          <w:tcPr>
            <w:tcW w:w="32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Three Month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3"/>
              </w:rPr>
              <w:t>Six Months</w:t>
            </w:r>
          </w:p>
        </w:tc>
        <w:tc>
          <w:tcPr>
            <w:tcW w:w="16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April 1, 2014</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Through</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2014 Through</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Ended June 30,</w:t>
            </w: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Borders>
              <w:bottom w:val="single" w:sz="8" w:color="CCEEFF"/>
              <w:right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(loss) to fixed charges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100" w:hanging="212"/>
        <w:spacing w:after="0" w:line="342"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Earnings for the three month period from January 1, 2014 through March 31, 2014, the nine month period from April 1, 2014 through December 31, 2014 and the year ended December 31, 2015 were inadequate to cover fixed charges by approximately $222,000, $21.0 million and $7.8 million, respectively.</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calculating the ratios in the table above, earnings consist of income (loss) before income taxes. “Fixed charges” consist of interest from indebtedness, loan cost amortization and the portion of rental expense that is representative of the interest factor.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periods indicated above, we have no outstanding shares of preferred stock with required dividend payments. Therefore, the ratios of earnings to combined fixed charges and preferred stock dividends are identical to the ratios presented in the tables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250,000,000 shares of common stock, $0.01 par value;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5,000,000 shares of preferred stock, $0.01 par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our board of directors, or the Board, determines otherwise, we will issue all shares of our capital stock in uncertificated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Holders of our common stock are entitled to one vote for each share held of record on all matters to which shareholders are entitled to vote generally, including the election or removal of directors. The holders of our common stock do not have cumulative voting rights in the election of directors. Accordingly, a holder or group of holders of a majority of the shares of our common stock are able to elect all of the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out of legally available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 common stock is not subject to further calls or assessment by us. There are no redemption or sinking fund provisions applicable to the common stock. All shares of our common stock that are outstanding are fully paid and non-assessable. The rights, powers, preferences and privileges of holders of our common stock are subject to and may be adversely affected by the rights of the holders of any shares of our preferred stock we may authorize and issue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amended and restated certificate of incorporation provides that our Board has the authority, without action by the shareholders, to designate and issue up to 5,000,000 shares of preferred stock in one or more classes or series and to fix the powers, rights, preferences, and privileges of each class or series of preferred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including dividend rights, conversion rights, voting rights, terms of redemption, liquidation preferences and the number of shares constituting any class or series, which may be greater than the rights of the holders of the common stock. There are no shares of preferred stock outstanding.</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purpose of authorizing our Board to issue preferred stock and determine its rights and preferences is to eliminate delays associated with a shareholder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liquidation rights of our common stock. As a result of these or other factors, the issuance of preferred stock could have an adverse impact on the market price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Venue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General Corporation Law of the State of Delaware, or the DGCL, or our amended and restated certificate of incorporation or our amended and restated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 Any person or entity purchasing or otherwise acquiring any interest in shares of our capital stock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8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our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shareholder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is divided into three classes of directors, with the classes to be as nearly equal in number as possible, and with the directors serving three-year terms. As a result, approximately one-third of our Board is elected each year. In addition, our amended and restated certificate of incorporation provides that directors may only be removed from our Board for cause by the affirmative vote of at least a majority of our common stock. The classification of directors has the effect of making it more difficult for shareholders to change the composition of our Board. Our amended and restated certificate of incorporation and amended and restated bylaws provide that, subject to any rights of holders of preferred stock to elect additional directors under specified circumstances, the number of directors are fixed from time to time exclusively pursuant to a resolution adopted by the Board.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Accordingly, a holder or group of holders of a majority of the shares of our common stock are able to elect all of the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Shareholder Meetings, Director Nominations and Shareholder Proposals</w:t>
      </w:r>
    </w:p>
    <w:p>
      <w:pPr>
        <w:spacing w:after="0" w:line="11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Our amended and restated certificate of incorporation provides that shareholders at an annual meeting may only consider proposals or nominations specified in the notice of meeting or brought before the meeting by or at the direction of our Board or by a qualified shareholder of record on the record date for the meeting, who is entitled to vote at the meeting and who has delivered timely written notice in proper form to our secretary of the shareholder’s intention to bring such business before the meeting. Our amended and restated certificate of incorporation provides that, subject to applicable law, special meetings of the shareholders may be called only by a resolution adopted by the affirmative vote of the majority of the directors then in office. Our amended and restated bylaws prohibit the conduct of any business at a special meeting other than as specified in the notice for such meeting. In addition, any shareholder who wishes to bring business before an annual meeting or nominate directors must comply with the advance notice and duration of ownership requirements set forth in our amended and restated bylaws and provide us with certain information. These provisions may have the effect of deferring, delaying or discouraging hostile takeovers or changes in control of us or our management.</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amended and restated bylaws establish advance notice procedures with respect to shareholder proposals and the nomination of candidates for election as directors, other than nominations made by or at the direction of the Board or a committee of the Board. In order for any matter to be “properly brought” before a meeting, a shareholder will have to comply with advance notice requirements and provide us with certain information. Our amended and restated bylaws allow the chairman of the meeting at a meeting of the shareholders to adopt rules and regulations for the conduct of meetings which may have the effect of precluding the conduct of certain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shareholders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provides that shareholder action by written consent is permitted only if the action to be effected by such written consent and the taking of such action by such written consent have been previously approved by the board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Amended and Restated Certificate of Incorporation or Amended and Restated Bylaws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or by the affirmative vote of the holders of at least 66-2/3% of the votes which all our shareholders would be entitled to cast in any annual election of directors. In addition, the affirmative vote of the holders of at least 66-2/3% of the votes which all our shareholders would be entitled to cast in any election of directors will be required to amend or repeal or to adopt any provisions inconsistent with any of the provisions of our certificate described above.</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foregoing provisions of our amended and restated certificate of incorporation and amended and restated bylaws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shares of our common stock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will have the right to receive payment of the fair value of their shares as determined by the Delaware Court of Chancery.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Derivative Actions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DGCL, any of our shareholders may bring an action in our name to procure a judgment in our favor, also known as a derivative action, provided that the shareholder bringing the action is a holder of shares of our common stock at the time of the transaction to which the action relates or such shareholder’s stock thereafter devolved by operation of law and such suit is brought in the Court of Chancery in the State of Delaware. See “—Exclusive Venue” above.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shareholders.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shareholders or their respective affiliates, other than those officers, directors, shareholders or affiliates who are our or our subsidiaries’ employees. Our amended and restated certificate of incorporation provides that, to the fullest extent permitted by law, each of investment funds managed by Cinven Capital Management (V) General Partner Limited, or Cinven, or any of its affiliates or any director who is not employed by us (including any non-employee director who serves as one of our officers in both his director and officer capacities) or his or her affiliates has no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Cinven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provide indemnification for our directors and officers to the fullest extent permitted by the DGCL. We have entered into indemnification agreements with each of our directors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shareholders in derivative suits to recover monetary damages against a director for breach of fiduciary duties as a director, except that a director will be personally liable for:</w:t>
      </w:r>
    </w:p>
    <w:p>
      <w:pPr>
        <w:spacing w:after="0" w:line="84"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breach of his duty of loyalty to us or our shareholders;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improper distributions to shareholders.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connection with our initial public offering, the Cinven Stockholders (as defined below) and Dr. August J. Troendle, our Chief Executive Officer and founder, entered into a voting agreement, or the Voting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terms of the Voting Agreement, for so long as the Cinven Stockholders and Dr. Troendle collectively hold at least 40% of our outstanding voting shares, or until the Voting Agreement is otherwise terminated in accordance with its terms, the Cinven Stockholders have agreed to vote its shares of our common stock in favor of the election of Dr. Troendle to our Board (so long as Dr. Troendle remains our Chief Executive Officer) upon his nomination by our Board and Dr. Troendle has agreed to vote his shares of our common stock in favor of the election of the directors affiliated with Cinven upon their nomination by our Board; provided, that in the event that the Cinven Stockholders hold less than (a) 40% but greater than or equal to 25% of our voting shares then outstanding, Dr. Troendle shall be required to vote for two directors affiliated with Cinven, after giving effect to the Cinven directors then sitting on the Board, (b) 25% but greater than or equal to 10% of our voting shares then outstanding, Dr. Troendle shall be required to vote for one director affiliated with Cinven, after giving effect to the Cinven directors then sitting on the Board and (c) 10% of our voting shares then outstanding, Dr. Troendle shall not be required to vote for any directors affiliated with Cinven.</w:t>
      </w:r>
    </w:p>
    <w:p>
      <w:pPr>
        <w:spacing w:after="0" w:line="18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June 16, 2017, Medpace Limited Partnership (“Medpace Limited”) entered into a Joinder Agreement to the Voting Agreement, pursuant to which Medpace Limited agreed to become a party to the Voting Agreement, on the same terms and conditions as applicable to the Cinven Stockholders.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used herein, “Cinven Stockholders” means Fifth Cinven Fund (No. 1) Limited Partnership, Fifth Cinven Fund (No. 2) Limited Partnership, Fifth Cinven Fund (No. 3) Limited Partnership, Fifth Cinven Fund (No. 4) Limited Partnership, Fifth Cinven Fund (No. 5) Limited Partnership, Fifth Cinven Fund (No. 6) Limited Partnership (the foregoing, collectively, the “Limited Partnerships”), Fifth Cinven Fund Co-Investment Partnership (“CIP”) and Fifth Cinven Fund FCP-SIF (“FCP”).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connection with our initial public offering, we entered into a registration rights agreement, or the Registration Rights Agreement, with the Cinven Stockholders and Dr. August J. Troendle, our Chief Executive Officer and founder, pursuant to which such holders have specified rights to require us to register all or any portion of their shares under the Securities Act.</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On June 16, 2017, Medpace Limited into a Joinder Agreement to the Registration Rights Agreement, pursuant to which Medpace Limited agreed to become a party to the Registration Rights Agreement, on the same terms and conditions as applicable to the Cinven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“MEDP.”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limitations under our existing debt facilities, 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debt securities will be issued under an indenture between us and Wells Fargo Bank,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used in this section only, “Medpace,” “we,” “our” or “us” refer to Medpace Holdings, Inc., excluding our subsidiaries, unless expressly stated or the context otherwise requires.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and set forth or determined in the manner provided in a resolution of our Board,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6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153" w:lineRule="exact"/>
        <w:rPr>
          <w:rFonts w:ascii="Arial" w:cs="Arial" w:eastAsia="Arial" w:hAnsi="Arial"/>
          <w:sz w:val="16"/>
          <w:szCs w:val="16"/>
          <w:color w:val="auto"/>
        </w:rPr>
      </w:pPr>
    </w:p>
    <w:p>
      <w:pPr>
        <w:jc w:val="both"/>
        <w:ind w:left="90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900" w:right="68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900" w:right="18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900" w:right="4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6"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900" w:hanging="325"/>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Medpace) is a corporation organized and validly existing under the laws of any U.S. domestic jurisdiction and expressly assumes our obligations on the debt securities and under the indenture; 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00" w:firstLine="115"/>
        <w:spacing w:after="0" w:line="624" w:lineRule="auto"/>
        <w:tabs>
          <w:tab w:leader="none" w:pos="8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 (Section 5.1)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900" w:right="6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Medpace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Medpace;</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53"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and all obligations in respect of the debt securities of any series (subject to certain exceptions). We will be so discharged upon the irrevocable deposit with the trustee, in trust, of money and/or U.S. government obligations (or other securities as agreed in writing from time to time with the Trustee),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900" w:right="200" w:hanging="325"/>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9"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900" w:right="140" w:hanging="325"/>
        <w:spacing w:after="0" w:line="276"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other securities as agreed in writing from time to time with the Trustee),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7" w:lineRule="exact"/>
        <w:rPr>
          <w:rFonts w:ascii="Arial" w:cs="Arial" w:eastAsia="Arial" w:hAnsi="Arial"/>
          <w:sz w:val="17"/>
          <w:szCs w:val="17"/>
          <w:color w:val="auto"/>
        </w:rPr>
      </w:pPr>
    </w:p>
    <w:p>
      <w:pPr>
        <w:ind w:left="900" w:right="80" w:hanging="325"/>
        <w:spacing w:after="0" w:line="273"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at our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us,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summary of the terms of the depositary shares contained in this prospectus does not purport to be complete and is subject to, and qualified in its entirety by, the provisions of the deposit agreement and our amended and restated certificate of incorporation and the certificate of designation that are, or will be, filed with the SEC for the applicable series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us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5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us)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the event of the liquidation, dissolution or winding up of the affairs of Medpace,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the series of preferred stock represented by the applicable series of depositary shares is redeemable, such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shares of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Deposit Agreement</w:t>
      </w:r>
    </w:p>
    <w:p>
      <w:pPr>
        <w:spacing w:after="0" w:line="121" w:lineRule="exact"/>
        <w:rPr>
          <w:sz w:val="20"/>
          <w:szCs w:val="20"/>
          <w:color w:val="auto"/>
        </w:rPr>
      </w:pPr>
    </w:p>
    <w:p>
      <w:pPr>
        <w:jc w:val="both"/>
        <w:ind w:right="80" w:firstLine="456"/>
        <w:spacing w:after="0" w:line="293"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and from time to time be amended by agreement between us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deposit agreement will be permitted to be terminated by us upon not less than 30 days prior written notice to the applicable depositary if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In addition, the deposit agreement will automatically terminate if (a) all outstanding depositary shares thereunder shall have been redeemed, (b) there shall have been a final distribution in respect of the related preferred stock in connection with any liquidation, dissolution or winding-up of Medpace and such distribution shall have been distributed to the holders of depositary receipts evidencing the depositary shares representing such preferred stock or (c) each share of the related preferred stock shall have been converted into stock of Medpace not so represented by depositary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depositary will forward to the holders of depositary receipts all notices, reports and proxy soliciting material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us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5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Neither the depositary nor Medpace assumes any obligation or will be subject to any liability under the deposit agreement to holders of depositary receipts other than for its negligence or willful misconduct. Neither the depositary nor Medpace will be liable if it is prevented or delayed by law or any circumstance beyond its control in performing its obligations under the deposit agreement. The obligations of Medpace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Medpace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event the depositary shall receive conflicting claims, requests or instructions from any holders of depositary receipts, on the one hand, and us, on the other hand, the depositary shall be entitled to act on such claims, requests or instructions received from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900" w:right="4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any rights as stockholders of Medpace.</w:t>
      </w:r>
    </w:p>
    <w:p>
      <w:pPr>
        <w:spacing w:after="0" w:line="225"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Unless we indicate differently in a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900" w:right="1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 in accordance with normal procedures for same-day fund settlement. Participants in Euroclear or Clearstream may not deliver instructions directly to their respective U.S. depositaries.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securityholders,” of up to 31,366,923 shares of our common stock that were issued and outstanding, or that are issuable upon exercise of options to acquire common stock that were issued and outstanding, prior to the original date of filing of the registration statement of which this prospectus forms a part. The selling securityholders originally acquired the shares of our common stock included in this prospectus (1) in connection with pre-initial public offering financings by our Company, including in April 2014, when the Cinven Stockholders acquired 100% of the outstanding shares of Medpace IntermediateCo, Inc., or Medpace IntermediateCo, for an aggregate purchase price of $921.3 million and in connection with the acquisition, certain employees of the Company, through Medpace Investors, LLC agreed to contribute shares held in Medpace IntermediateCo in exchange for a percentage stake in Medpace Holdings, Inc.,</w:t>
      </w:r>
    </w:p>
    <w:p>
      <w:pPr>
        <w:spacing w:after="0" w:line="3" w:lineRule="exact"/>
        <w:rPr>
          <w:sz w:val="20"/>
          <w:szCs w:val="20"/>
          <w:color w:val="auto"/>
        </w:rPr>
      </w:pPr>
    </w:p>
    <w:p>
      <w:pPr>
        <w:jc w:val="both"/>
        <w:ind w:right="80" w:firstLine="8"/>
        <w:spacing w:after="0" w:line="323"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previously issued awards under a compensatory plan or arrangement with us or (3) with respect to certain of the shares of common stock held by Dr. August J. Troendle, our Chief Executive Officer and founder, in connection with our initial public offering at the initial public offering price per share.</w:t>
      </w:r>
    </w:p>
    <w:p>
      <w:pPr>
        <w:spacing w:after="0" w:line="13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table below sets forth information regarding the beneficial ownership of our common stock by the selling securityholders. The information regarding the selling securityholders’ beneficial ownership after the sales made pursuant to this prospectus assumes that all of the common stock subject to sale pursuant to this prospectus will have been sold and that the selling securityholders do not acquire any additional shares. Information in the table below, with respect to beneficial ownership, has been furnished by the selling securityholders.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Information concerning the selling securityholders may change from time to time and any changed information will be set forth in supplements to this prospectus, if and when necessary. The selling securityholders may offer all, some or none of our common stock. We cannot advise you as to whether the selling securityholders will in fact sell any or all of such shares of common stock. In addition, the selling securityholders listed in the table below may have sold, transferred or otherwise disposed of, or may sell, transfer or otherwise dispose of, at any time and from time to time, shares of our common stock in transactions exempt from the registration requirements of the Securities Act, after the date on which they provided the information set forth in the table below.</w:t>
      </w:r>
    </w:p>
    <w:p>
      <w:pPr>
        <w:spacing w:after="0" w:line="158"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 (2) the conversion of a security,</w:t>
      </w:r>
    </w:p>
    <w:p>
      <w:pPr>
        <w:spacing w:after="0" w:line="2" w:lineRule="exact"/>
        <w:rPr>
          <w:sz w:val="20"/>
          <w:szCs w:val="20"/>
          <w:color w:val="auto"/>
        </w:rPr>
      </w:pPr>
    </w:p>
    <w:p>
      <w:pPr>
        <w:ind w:right="460" w:firstLine="8"/>
        <w:spacing w:after="0" w:line="261"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power to revoke a trust, discretionary account or similar arrangement, or (4) the automatic termination of a trust, discretionary account or similar arrangement.</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percentages in the table below reflect beneficial ownership immediately prior to the date of this prospectus and immediately after the resale of all shares subject to resale pursuant to this prospectus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determined in accordance with Rule 13d-3 under the Exchange Act and are based on 37,581,022 shares of our common stock outstanding as of the date of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Amount and Nature of Beneficial Ownership</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7"/>
              </w:rPr>
              <w:t>Number of</w:t>
            </w:r>
          </w:p>
        </w:tc>
        <w:tc>
          <w:tcPr>
            <w:tcW w:w="16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7"/>
              </w:rPr>
              <w:t>Immediately After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Resale of All Shares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5"/>
              </w:rPr>
              <w:t>Immediately Prior to</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 Resale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Resale</w:t>
            </w:r>
          </w:p>
        </w:tc>
        <w:tc>
          <w:tcPr>
            <w:tcW w:w="1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Pursuant to this</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this Prospectus</w:t>
            </w:r>
          </w:p>
        </w:tc>
        <w:tc>
          <w:tcPr>
            <w:tcW w:w="4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Pursuant to</w:t>
            </w: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Prospectus*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Selling Securityholders</w:t>
            </w:r>
          </w:p>
        </w:tc>
        <w:tc>
          <w:tcPr>
            <w:tcW w:w="132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Shares</w:t>
            </w: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Percentage</w:t>
            </w:r>
          </w:p>
        </w:tc>
        <w:tc>
          <w:tcPr>
            <w:tcW w:w="13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this</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Shares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5820" w:type="dxa"/>
            <w:vAlign w:val="bottom"/>
            <w:vMerge w:val="continue"/>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Owned</w:t>
            </w:r>
          </w:p>
        </w:tc>
        <w:tc>
          <w:tcPr>
            <w:tcW w:w="1140" w:type="dxa"/>
            <w:vAlign w:val="bottom"/>
            <w:gridSpan w:val="2"/>
            <w:vMerge w:val="continue"/>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Prospectus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Owned</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Investment funds affiliated with Cinven Capital Management (V) General</w:t>
            </w: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Limited (1)</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20,999,997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55.9%</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20,999,997</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Medpace Investors, LLC(2)</w:t>
            </w:r>
          </w:p>
        </w:tc>
        <w:tc>
          <w:tcPr>
            <w:tcW w:w="860" w:type="dxa"/>
            <w:vAlign w:val="bottom"/>
          </w:tcPr>
          <w:p>
            <w:pPr>
              <w:jc w:val="right"/>
              <w:spacing w:after="0"/>
              <w:rPr>
                <w:sz w:val="20"/>
                <w:szCs w:val="20"/>
                <w:color w:val="auto"/>
              </w:rPr>
            </w:pPr>
            <w:r>
              <w:rPr>
                <w:rFonts w:ascii="Arial" w:cs="Arial" w:eastAsia="Arial" w:hAnsi="Arial"/>
                <w:sz w:val="18"/>
                <w:szCs w:val="18"/>
                <w:color w:val="auto"/>
              </w:rPr>
              <w:t>9,145,510</w:t>
            </w: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24.3%</w:t>
            </w:r>
          </w:p>
        </w:tc>
        <w:tc>
          <w:tcPr>
            <w:tcW w:w="880" w:type="dxa"/>
            <w:vAlign w:val="bottom"/>
          </w:tcPr>
          <w:p>
            <w:pPr>
              <w:jc w:val="right"/>
              <w:spacing w:after="0"/>
              <w:rPr>
                <w:sz w:val="20"/>
                <w:szCs w:val="20"/>
                <w:color w:val="auto"/>
              </w:rPr>
            </w:pPr>
            <w:r>
              <w:rPr>
                <w:rFonts w:ascii="Arial" w:cs="Arial" w:eastAsia="Arial" w:hAnsi="Arial"/>
                <w:sz w:val="18"/>
                <w:szCs w:val="18"/>
                <w:color w:val="auto"/>
              </w:rPr>
              <w:t>9,145,510</w:t>
            </w:r>
          </w:p>
        </w:tc>
        <w:tc>
          <w:tcPr>
            <w:tcW w:w="4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Dr. August J. Troendle(3)</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10,366,926</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10,366,926</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Assumes that the selling securityholders will sell all of their common stock subject to resale pursuant to this prospectus. There is no assurance that the selling securityholders will resell all or any of their common stock. After the completion of this offering none of the selling securityholders will hold one percent or more of our common stock assuming that all of the selling securityholders resell all of their common shares subject to resale pursuant to this prospectus.</w:t>
      </w:r>
    </w:p>
    <w:p>
      <w:pPr>
        <w:spacing w:after="0" w:line="92" w:lineRule="exact"/>
        <w:rPr>
          <w:sz w:val="20"/>
          <w:szCs w:val="20"/>
          <w:color w:val="auto"/>
        </w:rPr>
      </w:pPr>
    </w:p>
    <w:p>
      <w:pPr>
        <w:ind w:left="460" w:right="20" w:hanging="452"/>
        <w:spacing w:after="0" w:line="271"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Medpace Limited is the record holder of the shares reported herein and has pledged such shares as collateral to secure its obligations under a margin loan agreement entered into on June 16, 2017. Cinven Capital Management (V) General Partner Limited (“Cinven MGP”) is the Managing General Partner of Cinven Capital Management (V) Limited Partnership Incorporated (“GPLP”), which is the Managing General Partner of a majority of the stockholders of Medpace GP Limited (“Medpace GP”), which is the general partner of Medpace Limited. The board of directors of Medpace GP has voting and investment discretion with respect to the shares held of record by Medpace Limited. Cinven MGP, as Managing General Partner of the Managing General Partner of a majority of the stockholders of Medpace GP, indirectly controls Medpace GP. Decisions of Cinven MGP are taken by its board of directors, which is comprised of Robin Hall, Brian Linden, Hayley Tanguy, John Boothman, Rupert Dorey, William Scott and Matthew Chick as Alternate Director. Each such director disclaims beneficial ownership of the shares reported herein.</w:t>
      </w:r>
    </w:p>
    <w:p>
      <w:pPr>
        <w:spacing w:after="0" w:line="84" w:lineRule="exact"/>
        <w:rPr>
          <w:rFonts w:ascii="Arial" w:cs="Arial" w:eastAsia="Arial" w:hAnsi="Arial"/>
          <w:sz w:val="17"/>
          <w:szCs w:val="17"/>
          <w:color w:val="auto"/>
        </w:rPr>
      </w:pPr>
    </w:p>
    <w:p>
      <w:pPr>
        <w:ind w:left="460" w:right="400"/>
        <w:spacing w:after="0" w:line="277" w:lineRule="auto"/>
        <w:rPr>
          <w:rFonts w:ascii="Arial" w:cs="Arial" w:eastAsia="Arial" w:hAnsi="Arial"/>
          <w:sz w:val="17"/>
          <w:szCs w:val="17"/>
          <w:color w:val="auto"/>
        </w:rPr>
      </w:pPr>
      <w:r>
        <w:rPr>
          <w:rFonts w:ascii="Arial" w:cs="Arial" w:eastAsia="Arial" w:hAnsi="Arial"/>
          <w:sz w:val="18"/>
          <w:szCs w:val="18"/>
          <w:color w:val="auto"/>
        </w:rPr>
        <w:t>The principal business address of each of Cinven MGP, GPLP, Medpace GP and Medpace Limited is East Wing, Trafalgar Court, Les Banques, St. Peter Port, Guernsey, GY1 3PP.</w:t>
      </w:r>
    </w:p>
    <w:p>
      <w:pPr>
        <w:spacing w:after="0" w:line="75"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 August J. Troendle, as the sole manager of Medpace Investors, LLC, or MPI, has sole voting and investment power with respect to these shares. The principal business address for MPI is c/o Medpace Holdings, Inc. at 5375 Medpace Way, Cincinnati, Ohio 45227.</w:t>
      </w:r>
    </w:p>
    <w:p>
      <w:pPr>
        <w:spacing w:after="0" w:line="75"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1,221,416 shares of common stock directly held by the August J. Troendle Revocable Trust and 9,145,510 shares of common stock directly held by MPI. Dr. Troendle is the sole trustee, sole beneficiary and settlor of the August J. Troendle Revocable Trust and has sole voting and investment power over the shares held by such trust. Dr. Troendle, as the sole manager of MPI, has sole voting and dispositive power with respect to the shares held by MPI. The principal business address for Dr. August J. Troendle is c/o Medpace Holdings, Inc. at 5375 Medpace Way, Cincinnati, Ohio 45227.</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or the selling securityholders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7"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Each time that we or any of the selling securityholders sell securities covered by this prospectus, we or the selling securityholders will provide a prospectus supplement or supplements that will describe the method of distribution and set forth the terms and conditions of the offering of such securities, including the offering price of the securities and the proceeds to us or the selling securityholders, if applicable.</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securityholders,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Medpace Holdings, Inc. Additional legal matters may be passed upon for us, the selling securityholders or any underwriters, dealers or agents, by counsel that we will name in the applicable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of Medpace Holdings, Inc. and subsidiaries incorporated in this Prospectus by reference from Medpace Holdings, Inc.’s Annual Report on Form 10-K for the year ended December 31, 2016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5,224,997 Shares</w:t>
      </w: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32"/>
          <w:szCs w:val="32"/>
          <w:b w:val="1"/>
          <w:bCs w:val="1"/>
          <w:color w:val="auto"/>
        </w:rPr>
        <w:t>Medpace Holdings, Inc.</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1675765</wp:posOffset>
            </wp:positionV>
            <wp:extent cx="1466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August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480695</wp:posOffset>
            </wp:positionV>
            <wp:extent cx="699770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51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2"/>
    </w:lvl>
  </w:abstractNum>
  <w:abstractNum w:abstractNumId="46">
    <w:nsid w:val="32FFF902"/>
    <w:multiLevelType w:val="hybridMultilevel"/>
    <w:lvl w:ilvl="0">
      <w:lvlJc w:val="left"/>
      <w:lvlText w:val="(%1)"/>
      <w:numFmt w:val="decimal"/>
      <w:start w:val="3"/>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2019-12-08T15:04:24Z</dcterms:created>
  <dcterms:modified xsi:type="dcterms:W3CDTF">2019-12-08T15:04:24Z</dcterms:modified>
</cp:coreProperties>
</file>