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001-37856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Medpace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32-0434904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5375 Medpace Way, Cincinnati, OH 45227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(513) 579-9911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099" w:type="dxa"/>
        <w:jc w:val="left"/>
        <w:tblInd w:w="0" w:type="dxa"/>
        <w:tblLayout w:type="fixed"/>
        <w:tblCellMar>
          <w:top w:w="28" w:type="dxa"/>
          <w:left w:w="28" w:type="dxa"/>
          <w:bottom w:w="28" w:type="dxa"/>
          <w:right w:w="28" w:type="dxa"/>
        </w:tblCellMar>
      </w:tblPr>
      <w:tblGrid>
        <w:gridCol w:w="1005"/>
        <w:gridCol w:w="880"/>
        <w:gridCol w:w="890"/>
        <w:gridCol w:w="539"/>
        <w:gridCol w:w="539"/>
        <w:gridCol w:w="541"/>
        <w:gridCol w:w="1085"/>
        <w:gridCol w:w="1085"/>
        <w:gridCol w:w="1535"/>
      </w:tblGrid>
      <w:tr>
        <w:trPr/>
        <w:tc>
          <w:tcPr>
            <w:tcW w:w="10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MEDP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7556" w:type="dxa"/>
        <w:jc w:val="left"/>
        <w:tblInd w:w="0" w:type="dxa"/>
        <w:tblLayout w:type="fixed"/>
        <w:tblCellMar>
          <w:top w:w="28" w:type="dxa"/>
          <w:left w:w="28" w:type="dxa"/>
          <w:bottom w:w="28" w:type="dxa"/>
          <w:right w:w="28" w:type="dxa"/>
        </w:tblCellMar>
      </w:tblPr>
      <w:tblGrid>
        <w:gridCol w:w="1001"/>
        <w:gridCol w:w="884"/>
        <w:gridCol w:w="890"/>
        <w:gridCol w:w="109"/>
        <w:gridCol w:w="109"/>
        <w:gridCol w:w="109"/>
        <w:gridCol w:w="1301"/>
        <w:gridCol w:w="1301"/>
        <w:gridCol w:w="1852"/>
      </w:tblGrid>
      <w:tr>
        <w:trPr/>
        <w:tc>
          <w:tcPr>
            <w:tcW w:w="100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0" w:before="0" w:after="0"/>
              <w:jc w:val="center"/>
              <w:rPr>
                <w:color w:val="000000"/>
              </w:rPr>
            </w:pPr>
            <w:r>
              <w:rPr>
                <w:color w:val="000000"/>
              </w:rPr>
              <w:t> </w:t>
            </w:r>
            <w:r>
              <w:rPr>
                <w:rFonts w:ascii="Times New Roman;serif" w:hAnsi="Times New Roman;serif"/>
                <w:b/>
                <w:color w:val="000000"/>
                <w:sz w:val="20"/>
              </w:rPr>
              <w:t>28,559,689 shares outstanding as of April 17, 2026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MARCH 31,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74"/>
        <w:gridCol w:w="329"/>
        <w:gridCol w:w="331"/>
        <w:gridCol w:w="2884"/>
        <w:gridCol w:w="2884"/>
        <w:gridCol w:w="2889"/>
        <w:gridCol w:w="149"/>
        <w:gridCol w:w="149"/>
        <w:gridCol w:w="216"/>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Item Number</w:t>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0">
              <w:r>
                <w:rPr>
                  <w:rStyle w:val="InternetLink"/>
                  <w:rFonts w:ascii="Times New Roman;serif" w:hAnsi="Times New Roman;serif"/>
                  <w:b/>
                  <w:color w:val="0000FF"/>
                  <w:sz w:val="20"/>
                  <w:u w:val="single"/>
                </w:rPr>
                <w:t>PART I — FINANCIAL INFORMATION</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right"/>
              <w:rPr/>
            </w:pPr>
            <w:hyperlink w:anchor="i89e22330662f415dbad4ac7f4db2627a_10">
              <w:r>
                <w:rPr>
                  <w:rStyle w:val="InternetLink"/>
                  <w:rFonts w:ascii="Times New Roman;serif" w:hAnsi="Times New Roman;serif"/>
                  <w:b w:val="false"/>
                  <w:strike w:val="false"/>
                  <w:dstrike w:val="false"/>
                  <w:color w:val="000000"/>
                  <w:sz w:val="20"/>
                  <w:u w:val="none"/>
                  <w:effect w:val="none"/>
                </w:rPr>
                <w:t>3</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
              <w:r>
                <w:rPr>
                  <w:rStyle w:val="InternetLink"/>
                  <w:rFonts w:ascii="Times New Roman;serif" w:hAnsi="Times New Roman;serif"/>
                  <w:b w:val="false"/>
                  <w:color w:val="0000FF"/>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0">
              <w:r>
                <w:rPr>
                  <w:rStyle w:val="InternetLink"/>
                  <w:rFonts w:ascii="Times New Roman;serif" w:hAnsi="Times New Roman;serif"/>
                  <w:b w:val="false"/>
                  <w:strike w:val="false"/>
                  <w:dstrike w:val="false"/>
                  <w:color w:val="000000"/>
                  <w:sz w:val="20"/>
                  <w:u w:val="none"/>
                  <w:effect w:val="none"/>
                </w:rPr>
                <w:t>3</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6">
              <w:r>
                <w:rPr>
                  <w:rStyle w:val="InternetLink"/>
                  <w:rFonts w:ascii="Times New Roman;serif" w:hAnsi="Times New Roman;serif"/>
                  <w:b w:val="false"/>
                  <w:color w:val="000080"/>
                  <w:sz w:val="20"/>
                  <w:u w:val="single"/>
                </w:rPr>
                <w:t>Condensed Consolidated Balance Sheets as of March 31, 202</w:t>
              </w:r>
            </w:hyperlink>
            <w:hyperlink w:anchor="i89e22330662f415dbad4ac7f4db2627a_16">
              <w:r>
                <w:rPr>
                  <w:rStyle w:val="InternetLink"/>
                  <w:rFonts w:ascii="Times New Roman;serif" w:hAnsi="Times New Roman;serif"/>
                  <w:b w:val="false"/>
                  <w:color w:val="000080"/>
                  <w:sz w:val="20"/>
                  <w:u w:val="single"/>
                </w:rPr>
                <w:t>6</w:t>
              </w:r>
            </w:hyperlink>
            <w:hyperlink w:anchor="i89e22330662f415dbad4ac7f4db2627a_16">
              <w:r>
                <w:rPr>
                  <w:rStyle w:val="InternetLink"/>
                  <w:rFonts w:ascii="Times New Roman;serif" w:hAnsi="Times New Roman;serif"/>
                  <w:b w:val="false"/>
                  <w:color w:val="000080"/>
                  <w:sz w:val="20"/>
                  <w:u w:val="single"/>
                </w:rPr>
                <w:t xml:space="preserve"> and December 31, 202</w:t>
              </w:r>
            </w:hyperlink>
            <w:hyperlink w:anchor="i89e22330662f415dbad4ac7f4db2627a_16">
              <w:r>
                <w:rPr>
                  <w:rStyle w:val="InternetLink"/>
                  <w:rFonts w:ascii="Times New Roman;serif" w:hAnsi="Times New Roman;serif"/>
                  <w:b w:val="false"/>
                  <w:color w:val="000080"/>
                  <w:sz w:val="20"/>
                  <w:u w:val="single"/>
                </w:rPr>
                <w:t>5</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6">
              <w:r>
                <w:rPr>
                  <w:rStyle w:val="InternetLink"/>
                  <w:rFonts w:ascii="Times New Roman;serif" w:hAnsi="Times New Roman;serif"/>
                  <w:b w:val="false"/>
                  <w:strike w:val="false"/>
                  <w:dstrike w:val="false"/>
                  <w:color w:val="000000"/>
                  <w:sz w:val="20"/>
                  <w:u w:val="none"/>
                  <w:effect w:val="none"/>
                </w:rPr>
                <w:t>3</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e22330662f415dbad4ac7f4db2627a_19">
              <w:r>
                <w:rPr>
                  <w:rStyle w:val="InternetLink"/>
                  <w:rFonts w:ascii="Times New Roman;serif" w:hAnsi="Times New Roman;serif"/>
                  <w:b w:val="false"/>
                  <w:color w:val="000080"/>
                  <w:sz w:val="20"/>
                  <w:u w:val="single"/>
                </w:rPr>
                <w:t>Condensed Consolidated Statements of Operations for the three months ended March 31, 202</w:t>
              </w:r>
            </w:hyperlink>
            <w:hyperlink w:anchor="i89e22330662f415dbad4ac7f4db2627a_19">
              <w:r>
                <w:rPr>
                  <w:rStyle w:val="InternetLink"/>
                  <w:rFonts w:ascii="Times New Roman;serif" w:hAnsi="Times New Roman;serif"/>
                  <w:b w:val="false"/>
                  <w:color w:val="000080"/>
                  <w:sz w:val="20"/>
                  <w:u w:val="single"/>
                </w:rPr>
                <w:t>6</w:t>
              </w:r>
            </w:hyperlink>
            <w:hyperlink w:anchor="i89e22330662f415dbad4ac7f4db2627a_19">
              <w:r>
                <w:rPr>
                  <w:rStyle w:val="InternetLink"/>
                  <w:rFonts w:ascii="Times New Roman;serif" w:hAnsi="Times New Roman;serif"/>
                  <w:b w:val="false"/>
                  <w:color w:val="000080"/>
                  <w:sz w:val="20"/>
                  <w:u w:val="single"/>
                </w:rPr>
                <w:t xml:space="preserve"> and 202</w:t>
              </w:r>
            </w:hyperlink>
            <w:hyperlink w:anchor="i89e22330662f415dbad4ac7f4db2627a_19">
              <w:r>
                <w:rPr>
                  <w:rStyle w:val="InternetLink"/>
                  <w:rFonts w:ascii="Times New Roman;serif" w:hAnsi="Times New Roman;serif"/>
                  <w:b w:val="false"/>
                  <w:color w:val="000080"/>
                  <w:sz w:val="20"/>
                  <w:u w:val="single"/>
                </w:rPr>
                <w:t>5</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9">
              <w:r>
                <w:rPr>
                  <w:rStyle w:val="InternetLink"/>
                  <w:rFonts w:ascii="Times New Roman;serif" w:hAnsi="Times New Roman;serif"/>
                  <w:b w:val="false"/>
                  <w:strike w:val="false"/>
                  <w:dstrike w:val="false"/>
                  <w:color w:val="000000"/>
                  <w:sz w:val="20"/>
                  <w:u w:val="none"/>
                  <w:effect w:val="none"/>
                </w:rPr>
                <w:t>4</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e22330662f415dbad4ac7f4db2627a_22">
              <w:r>
                <w:rPr>
                  <w:rStyle w:val="InternetLink"/>
                  <w:rFonts w:ascii="Times New Roman;serif" w:hAnsi="Times New Roman;serif"/>
                  <w:b w:val="false"/>
                  <w:color w:val="000080"/>
                  <w:sz w:val="20"/>
                  <w:u w:val="single"/>
                </w:rPr>
                <w:t>Condensed Consolidated Statements of Comprehensive Income for the three months ended March 31, 202</w:t>
              </w:r>
            </w:hyperlink>
            <w:hyperlink w:anchor="i89e22330662f415dbad4ac7f4db2627a_22">
              <w:r>
                <w:rPr>
                  <w:rStyle w:val="InternetLink"/>
                  <w:rFonts w:ascii="Times New Roman;serif" w:hAnsi="Times New Roman;serif"/>
                  <w:b w:val="false"/>
                  <w:color w:val="000080"/>
                  <w:sz w:val="20"/>
                  <w:u w:val="single"/>
                </w:rPr>
                <w:t>6</w:t>
              </w:r>
            </w:hyperlink>
            <w:hyperlink w:anchor="i89e22330662f415dbad4ac7f4db2627a_22">
              <w:r>
                <w:rPr>
                  <w:rStyle w:val="InternetLink"/>
                  <w:rFonts w:ascii="Times New Roman;serif" w:hAnsi="Times New Roman;serif"/>
                  <w:b w:val="false"/>
                  <w:color w:val="000080"/>
                  <w:sz w:val="20"/>
                  <w:u w:val="single"/>
                </w:rPr>
                <w:t xml:space="preserve"> and 20</w:t>
              </w:r>
            </w:hyperlink>
            <w:hyperlink w:anchor="i89e22330662f415dbad4ac7f4db2627a_22">
              <w:r>
                <w:rPr>
                  <w:rStyle w:val="InternetLink"/>
                  <w:rFonts w:ascii="Times New Roman;serif" w:hAnsi="Times New Roman;serif"/>
                  <w:b w:val="false"/>
                  <w:color w:val="000080"/>
                  <w:sz w:val="20"/>
                  <w:u w:val="single"/>
                </w:rPr>
                <w:t>25</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22">
              <w:r>
                <w:rPr>
                  <w:rStyle w:val="InternetLink"/>
                  <w:rFonts w:ascii="Times New Roman;serif" w:hAnsi="Times New Roman;serif"/>
                  <w:b w:val="false"/>
                  <w:strike w:val="false"/>
                  <w:dstrike w:val="false"/>
                  <w:color w:val="000000"/>
                  <w:sz w:val="20"/>
                  <w:u w:val="none"/>
                  <w:effect w:val="none"/>
                </w:rPr>
                <w:t>5</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e22330662f415dbad4ac7f4db2627a_25">
              <w:r>
                <w:rPr>
                  <w:rStyle w:val="InternetLink"/>
                  <w:rFonts w:ascii="Times New Roman;serif" w:hAnsi="Times New Roman;serif"/>
                  <w:b w:val="false"/>
                  <w:color w:val="000080"/>
                  <w:sz w:val="20"/>
                  <w:u w:val="single"/>
                </w:rPr>
                <w:t>Condensed Consolidated Statements of Shareholders’ Equity for the three months ended March 31, 202</w:t>
              </w:r>
            </w:hyperlink>
            <w:hyperlink w:anchor="i89e22330662f415dbad4ac7f4db2627a_25">
              <w:r>
                <w:rPr>
                  <w:rStyle w:val="InternetLink"/>
                  <w:rFonts w:ascii="Times New Roman;serif" w:hAnsi="Times New Roman;serif"/>
                  <w:b w:val="false"/>
                  <w:color w:val="000080"/>
                  <w:sz w:val="20"/>
                  <w:u w:val="single"/>
                </w:rPr>
                <w:t>6</w:t>
              </w:r>
            </w:hyperlink>
            <w:hyperlink w:anchor="i89e22330662f415dbad4ac7f4db2627a_25">
              <w:r>
                <w:rPr>
                  <w:rStyle w:val="InternetLink"/>
                  <w:rFonts w:ascii="Times New Roman;serif" w:hAnsi="Times New Roman;serif"/>
                  <w:b w:val="false"/>
                  <w:color w:val="000080"/>
                  <w:sz w:val="20"/>
                  <w:u w:val="single"/>
                </w:rPr>
                <w:t xml:space="preserve"> and 202</w:t>
              </w:r>
            </w:hyperlink>
            <w:hyperlink w:anchor="i89e22330662f415dbad4ac7f4db2627a_25">
              <w:r>
                <w:rPr>
                  <w:rStyle w:val="InternetLink"/>
                  <w:rFonts w:ascii="Times New Roman;serif" w:hAnsi="Times New Roman;serif"/>
                  <w:b w:val="false"/>
                  <w:color w:val="000080"/>
                  <w:sz w:val="20"/>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25">
              <w:r>
                <w:rPr>
                  <w:rStyle w:val="InternetLink"/>
                  <w:rFonts w:ascii="Times New Roman;serif" w:hAnsi="Times New Roman;serif"/>
                  <w:b w:val="false"/>
                  <w:strike w:val="false"/>
                  <w:dstrike w:val="false"/>
                  <w:color w:val="000000"/>
                  <w:sz w:val="20"/>
                  <w:u w:val="none"/>
                  <w:effect w:val="none"/>
                </w:rPr>
                <w:t>6</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e22330662f415dbad4ac7f4db2627a_28">
              <w:r>
                <w:rPr>
                  <w:rStyle w:val="InternetLink"/>
                  <w:rFonts w:ascii="Times New Roman;serif" w:hAnsi="Times New Roman;serif"/>
                  <w:b w:val="false"/>
                  <w:color w:val="000080"/>
                  <w:sz w:val="20"/>
                  <w:u w:val="single"/>
                </w:rPr>
                <w:t>Condensed Consolidated Statements of Cash Flows for the three months ended March 31, 202</w:t>
              </w:r>
            </w:hyperlink>
            <w:hyperlink w:anchor="i89e22330662f415dbad4ac7f4db2627a_28">
              <w:r>
                <w:rPr>
                  <w:rStyle w:val="InternetLink"/>
                  <w:rFonts w:ascii="Times New Roman;serif" w:hAnsi="Times New Roman;serif"/>
                  <w:b w:val="false"/>
                  <w:color w:val="000080"/>
                  <w:sz w:val="20"/>
                  <w:u w:val="single"/>
                </w:rPr>
                <w:t>6</w:t>
              </w:r>
            </w:hyperlink>
            <w:hyperlink w:anchor="i89e22330662f415dbad4ac7f4db2627a_28">
              <w:r>
                <w:rPr>
                  <w:rStyle w:val="InternetLink"/>
                  <w:rFonts w:ascii="Times New Roman;serif" w:hAnsi="Times New Roman;serif"/>
                  <w:b w:val="false"/>
                  <w:color w:val="000080"/>
                  <w:sz w:val="20"/>
                  <w:u w:val="single"/>
                </w:rPr>
                <w:t xml:space="preserve"> and 202</w:t>
              </w:r>
            </w:hyperlink>
            <w:hyperlink w:anchor="i89e22330662f415dbad4ac7f4db2627a_28">
              <w:r>
                <w:rPr>
                  <w:rStyle w:val="InternetLink"/>
                  <w:rFonts w:ascii="Times New Roman;serif" w:hAnsi="Times New Roman;serif"/>
                  <w:b w:val="false"/>
                  <w:color w:val="000080"/>
                  <w:sz w:val="20"/>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28">
              <w:r>
                <w:rPr>
                  <w:rStyle w:val="InternetLink"/>
                  <w:rFonts w:ascii="Times New Roman;serif" w:hAnsi="Times New Roman;serif"/>
                  <w:b w:val="false"/>
                  <w:strike w:val="false"/>
                  <w:dstrike w:val="false"/>
                  <w:color w:val="000000"/>
                  <w:sz w:val="20"/>
                  <w:u w:val="none"/>
                  <w:effect w:val="none"/>
                </w:rPr>
                <w:t>7</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31">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31">
              <w:r>
                <w:rPr>
                  <w:rStyle w:val="InternetLink"/>
                  <w:rFonts w:ascii="Times New Roman;serif" w:hAnsi="Times New Roman;serif"/>
                  <w:b w:val="false"/>
                  <w:strike w:val="false"/>
                  <w:dstrike w:val="false"/>
                  <w:color w:val="000000"/>
                  <w:sz w:val="20"/>
                  <w:u w:val="none"/>
                  <w:effect w:val="none"/>
                </w:rPr>
                <w:t>8</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73">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73">
              <w:r>
                <w:rPr>
                  <w:rStyle w:val="InternetLink"/>
                  <w:rFonts w:ascii="Times New Roman;serif" w:hAnsi="Times New Roman;serif"/>
                  <w:b w:val="false"/>
                  <w:strike w:val="false"/>
                  <w:dstrike w:val="false"/>
                  <w:color w:val="000000"/>
                  <w:sz w:val="20"/>
                  <w:u w:val="none"/>
                  <w:effect w:val="none"/>
                </w:rPr>
                <w:t>18</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06">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06">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06">
              <w:r>
                <w:rPr>
                  <w:rStyle w:val="InternetLink"/>
                  <w:rFonts w:ascii="Times New Roman;serif" w:hAnsi="Times New Roman;serif"/>
                  <w:b w:val="false"/>
                  <w:strike w:val="false"/>
                  <w:dstrike w:val="false"/>
                  <w:color w:val="000000"/>
                  <w:sz w:val="20"/>
                  <w:u w:val="none"/>
                  <w:effect w:val="none"/>
                </w:rPr>
                <w:t>24</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09">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09">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09">
              <w:r>
                <w:rPr>
                  <w:rStyle w:val="InternetLink"/>
                  <w:rFonts w:ascii="Times New Roman;serif" w:hAnsi="Times New Roman;serif"/>
                  <w:b w:val="false"/>
                  <w:strike w:val="false"/>
                  <w:dstrike w:val="false"/>
                  <w:color w:val="000000"/>
                  <w:sz w:val="20"/>
                  <w:u w:val="none"/>
                  <w:effect w:val="none"/>
                </w:rPr>
                <w:t>24</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12">
              <w:r>
                <w:rPr>
                  <w:rStyle w:val="InternetLink"/>
                  <w:rFonts w:ascii="Times New Roman;serif" w:hAnsi="Times New Roman;serif"/>
                  <w:b/>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12">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15">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15">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15">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18">
              <w:r>
                <w:rPr>
                  <w:rStyle w:val="InternetLink"/>
                  <w:rFonts w:ascii="Times New Roman;serif" w:hAnsi="Times New Roman;serif"/>
                  <w:b w:val="false"/>
                  <w:strike w:val="false"/>
                  <w:dstrike w:val="false"/>
                  <w:color w:val="000000"/>
                  <w:sz w:val="20"/>
                  <w:u w:val="none"/>
                  <w:effect w:val="none"/>
                </w:rPr>
                <w:t>Item 1A.</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18">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18">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1">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1">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21">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4">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4">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24">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7">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27">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27">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0">
              <w:r>
                <w:rPr>
                  <w:rStyle w:val="InternetLink"/>
                  <w:rFonts w:ascii="Times New Roman;serif" w:hAnsi="Times New Roman;serif"/>
                  <w:b w:val="false"/>
                  <w:strike w:val="false"/>
                  <w:dstrike w:val="false"/>
                  <w:color w:val="000000"/>
                  <w:sz w:val="20"/>
                  <w:u w:val="none"/>
                  <w:effect w:val="none"/>
                </w:rPr>
                <w:t>Item 5.</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0">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30">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6">
              <w:r>
                <w:rPr>
                  <w:rStyle w:val="InternetLink"/>
                  <w:rFonts w:ascii="Times New Roman;serif" w:hAnsi="Times New Roman;serif"/>
                  <w:b w:val="false"/>
                  <w:strike w:val="false"/>
                  <w:dstrike w:val="false"/>
                  <w:color w:val="000000"/>
                  <w:sz w:val="20"/>
                  <w:u w:val="none"/>
                  <w:effect w:val="none"/>
                </w:rPr>
                <w:t>Item 6.</w:t>
              </w:r>
            </w:hyperlink>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6">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36">
              <w:r>
                <w:rPr>
                  <w:rStyle w:val="InternetLink"/>
                  <w:rFonts w:ascii="Times New Roman;serif" w:hAnsi="Times New Roman;serif"/>
                  <w:b w:val="false"/>
                  <w:strike w:val="false"/>
                  <w:dstrike w:val="false"/>
                  <w:color w:val="000000"/>
                  <w:sz w:val="20"/>
                  <w:u w:val="none"/>
                  <w:effect w:val="none"/>
                </w:rPr>
                <w:t>25</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39">
              <w:r>
                <w:rPr>
                  <w:rStyle w:val="InternetLink"/>
                  <w:rFonts w:ascii="Times New Roman;serif" w:hAnsi="Times New Roman;serif"/>
                  <w:b w:val="false"/>
                  <w:color w:val="0000FF"/>
                  <w:sz w:val="20"/>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39">
              <w:r>
                <w:rPr>
                  <w:rStyle w:val="InternetLink"/>
                  <w:rFonts w:ascii="Times New Roman;serif" w:hAnsi="Times New Roman;serif"/>
                  <w:b w:val="false"/>
                  <w:strike w:val="false"/>
                  <w:dstrike w:val="false"/>
                  <w:color w:val="000000"/>
                  <w:sz w:val="20"/>
                  <w:u w:val="none"/>
                  <w:effect w:val="none"/>
                </w:rPr>
                <w:t>26</w:t>
              </w:r>
            </w:hyperlink>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89e22330662f415dbad4ac7f4db2627a_142">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89e22330662f415dbad4ac7f4db2627a_142">
              <w:r>
                <w:rPr>
                  <w:rStyle w:val="InternetLink"/>
                  <w:rFonts w:ascii="Times New Roman;serif" w:hAnsi="Times New Roman;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MEDPACE HOLDINGS, INC.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90"/>
        <w:gridCol w:w="2238"/>
        <w:gridCol w:w="2252"/>
        <w:gridCol w:w="196"/>
        <w:gridCol w:w="871"/>
        <w:gridCol w:w="109"/>
        <w:gridCol w:w="109"/>
        <w:gridCol w:w="109"/>
        <w:gridCol w:w="109"/>
        <w:gridCol w:w="196"/>
        <w:gridCol w:w="871"/>
        <w:gridCol w:w="155"/>
      </w:tblGrid>
      <w:tr>
        <w:trPr/>
        <w:tc>
          <w:tcPr>
            <w:tcW w:w="299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vMerge w:val="restart"/>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8"/>
              </w:rPr>
            </w:pPr>
            <w:r>
              <w:rPr>
                <w:rFonts w:ascii="Times New Roman;serif" w:hAnsi="Times New Roman;serif"/>
                <w:b/>
                <w:i/>
                <w:color w:val="000000"/>
                <w:sz w:val="18"/>
              </w:rPr>
              <w:t>(Amounts in thousands, except share amounts)</w:t>
            </w:r>
          </w:p>
        </w:tc>
        <w:tc>
          <w:tcPr>
            <w:tcW w:w="2725"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8"/>
              </w:rPr>
              <w:t>As of</w:t>
            </w:r>
            <w:r>
              <w:rPr>
                <w:color w:val="000000"/>
              </w:rPr>
              <w:t xml:space="preserve"> </w:t>
            </w:r>
          </w:p>
        </w:tc>
      </w:tr>
      <w:tr>
        <w:trPr/>
        <w:tc>
          <w:tcPr>
            <w:tcW w:w="7480"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652,681 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497,049 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net (includes $3.1 million and $3.5 million with related parties at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394,581 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402,078 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91,793 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90,497 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1,139,055 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989,624 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136,548 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131,055 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126,812 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117,815 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662,396 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662,396 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33,420 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19,223 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21,939 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2,129,613 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1,975,472 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(includes $0.2 million and $0.3 million with related parties at March 31, 2026 and December 31, 2025,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28,142 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406,059 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408,382 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Advanced billings (includes $13.7 million and $12.3 million with related parties at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856,344 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854,390 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52,834 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1,345,014 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1,343,748 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122,256 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113,643 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60,104 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57,655 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1,531,299 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1,516,401 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11)</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$0.01 par-value; 5,000,000 shares authorized; no shares issued and outstanding at March 31,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par-value; 250,000,000 shares authorized at March 31, 2026 and December 31, 2025; 28,559,689 and 28,370,780 shares issued and outstanding at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- 69,623 shares at March 31,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(12,156)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(12,156)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953,416 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935,830 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(336,111)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(459,981)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(7,121)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(4,906)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598,314 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459,071 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2,129,613 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8"/>
              </w:rPr>
            </w:pPr>
            <w:r>
              <w:rPr>
                <w:rFonts w:ascii="Times New Roman;serif" w:hAnsi="Times New Roman;serif"/>
                <w:b w:val="false"/>
                <w:color w:val="000000"/>
                <w:sz w:val="18"/>
              </w:rPr>
              <w:t>1,975,472 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1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2837"/>
        <w:gridCol w:w="2343"/>
        <w:gridCol w:w="2359"/>
        <w:gridCol w:w="211"/>
        <w:gridCol w:w="826"/>
        <w:gridCol w:w="109"/>
        <w:gridCol w:w="109"/>
        <w:gridCol w:w="109"/>
        <w:gridCol w:w="109"/>
        <w:gridCol w:w="211"/>
        <w:gridCol w:w="826"/>
        <w:gridCol w:w="156"/>
      </w:tblGrid>
      <w:tr>
        <w:trPr/>
        <w:tc>
          <w:tcPr>
            <w:tcW w:w="28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 except per share amounts)</w:t>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539"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 (includes $7.3 million and $13.8 million with related parties for the three months ended March 31, 2026 and 2025,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558,570 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380,220 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445,047 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113,523 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30,387</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31,196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7228" w:type="dxa"/>
        <w:jc w:val="left"/>
        <w:tblInd w:w="0" w:type="dxa"/>
        <w:tblLayout w:type="fixed"/>
        <w:tblCellMar>
          <w:top w:w="28" w:type="dxa"/>
          <w:left w:w="28" w:type="dxa"/>
          <w:bottom w:w="28" w:type="dxa"/>
          <w:right w:w="28" w:type="dxa"/>
        </w:tblCellMar>
      </w:tblPr>
      <w:tblGrid>
        <w:gridCol w:w="1613"/>
        <w:gridCol w:w="1418"/>
        <w:gridCol w:w="1424"/>
        <w:gridCol w:w="211"/>
        <w:gridCol w:w="826"/>
        <w:gridCol w:w="109"/>
        <w:gridCol w:w="109"/>
        <w:gridCol w:w="109"/>
        <w:gridCol w:w="109"/>
        <w:gridCol w:w="211"/>
        <w:gridCol w:w="826"/>
        <w:gridCol w:w="109"/>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MEDPACE HOLDINGS, INC. AND SUBSIDIARIES</w:t>
      </w:r>
      <w:r>
        <w:rPr>
          <w:color w:val="000000"/>
        </w:rPr>
        <w:t xml:space="preserve"> </w:t>
      </w: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SHAREHOLDERS' EQUITY (UNAUDITED)</w:t>
      </w:r>
    </w:p>
    <w:tbl>
      <w:tblPr>
        <w:tblW w:w="10205" w:type="dxa"/>
        <w:jc w:val="left"/>
        <w:tblInd w:w="0" w:type="dxa"/>
        <w:tblLayout w:type="fixed"/>
        <w:tblCellMar>
          <w:top w:w="28" w:type="dxa"/>
          <w:left w:w="28" w:type="dxa"/>
          <w:bottom w:w="28" w:type="dxa"/>
          <w:right w:w="28" w:type="dxa"/>
        </w:tblCellMar>
      </w:tblPr>
      <w:tblGrid>
        <w:gridCol w:w="793"/>
        <w:gridCol w:w="380"/>
        <w:gridCol w:w="381"/>
        <w:gridCol w:w="233"/>
        <w:gridCol w:w="516"/>
        <w:gridCol w:w="120"/>
        <w:gridCol w:w="109"/>
        <w:gridCol w:w="109"/>
        <w:gridCol w:w="109"/>
        <w:gridCol w:w="216"/>
        <w:gridCol w:w="767"/>
        <w:gridCol w:w="111"/>
        <w:gridCol w:w="109"/>
        <w:gridCol w:w="109"/>
        <w:gridCol w:w="109"/>
        <w:gridCol w:w="211"/>
        <w:gridCol w:w="826"/>
        <w:gridCol w:w="109"/>
        <w:gridCol w:w="109"/>
        <w:gridCol w:w="109"/>
        <w:gridCol w:w="109"/>
        <w:gridCol w:w="265"/>
        <w:gridCol w:w="1082"/>
        <w:gridCol w:w="136"/>
        <w:gridCol w:w="109"/>
        <w:gridCol w:w="109"/>
        <w:gridCol w:w="109"/>
        <w:gridCol w:w="243"/>
        <w:gridCol w:w="854"/>
        <w:gridCol w:w="128"/>
        <w:gridCol w:w="109"/>
        <w:gridCol w:w="109"/>
        <w:gridCol w:w="109"/>
        <w:gridCol w:w="211"/>
        <w:gridCol w:w="826"/>
        <w:gridCol w:w="162"/>
      </w:tblGrid>
      <w:tr>
        <w:trPr/>
        <w:tc>
          <w:tcPr>
            <w:tcW w:w="7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825,545 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(269,716)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(11,621)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593,609 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88"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935,830 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(459,981)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459,071 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953,416 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(336,111)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598,314 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938" w:type="dxa"/>
        <w:jc w:val="left"/>
        <w:tblInd w:w="0" w:type="dxa"/>
        <w:tblLayout w:type="fixed"/>
        <w:tblCellMar>
          <w:top w:w="28" w:type="dxa"/>
          <w:left w:w="28" w:type="dxa"/>
          <w:bottom w:w="28" w:type="dxa"/>
          <w:right w:w="28" w:type="dxa"/>
        </w:tblCellMar>
      </w:tblPr>
      <w:tblGrid>
        <w:gridCol w:w="2634"/>
        <w:gridCol w:w="2316"/>
        <w:gridCol w:w="2324"/>
        <w:gridCol w:w="211"/>
        <w:gridCol w:w="826"/>
        <w:gridCol w:w="109"/>
        <w:gridCol w:w="109"/>
        <w:gridCol w:w="109"/>
        <w:gridCol w:w="109"/>
        <w:gridCol w:w="211"/>
        <w:gridCol w:w="826"/>
        <w:gridCol w:w="154"/>
      </w:tblGrid>
      <w:tr>
        <w:trPr/>
        <w:tc>
          <w:tcPr>
            <w:tcW w:w="2634"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125,836 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(371,900)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(345,966)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RATES ON CASH, CASH EQUIVALENTS, AND </w:t>
              <w:br/>
              <w:t>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652,681 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441,436 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repurchases—non-cash</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22,343 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project management, regulatory affairs, clinical monitoring, data management and analysis, pharmacovigilance new drug application submissions, post-marketing clinical support, laboratory services, clinical human pharmacology, imaging services, and electrocardiography reading support for clinical trials.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principally based in North America, Europe, and Asia.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The Company did not execute any share repurchases during the three months ended March 31, 2026. During the three months ended March 31, 2025, the Company repurchased 1,193,011 shares for $389.8 million. As of March 31, 2026, the Company has remaining authorization of $821.7 million under the repurchase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to improve disclosures by providing more detailed information about the types of expenses in commonly presented expense captions. The guidance is effective for annual reporting periods beginning after December 15, 2026, and interim periods within fiscal years beginning after December 15, 2027, with early adoption permitted.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to modernize the accounting for software development costs and specify disclosure requirements. The guidance is effective for annual periods beginning after December 15, 2027, and interim reporting periods within those annual reporting periods, with early adoption permitted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the beginning of an annual reporting period.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which establishes authoritative US GAAP guidance for accounting for grants received for consistency in applying the accounting rules across business entities. The guidance is effective for annual reporting periods beginning after December 15, 2028, and interim reporting periods within those annual reporting periods, with early adoption permitted. The Company is currently evaluating the effect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Net Income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Company’s Restricted Stock Awards (“RSA”) are considered participating securities because they are legally issued at the date of grant and holders are entitled to receive non-forfeitable dividends during the vesting term.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EPS includes additional common shares, such as unvested Restricted Stock Units (“RSU”) and stock options with exercise prices less than the average market price of the Company’s common stock during the period (“in-the-money options”), which would be considered outstanding. This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per share for the three months ended March 31, 2026 and 2025 (in thousands, except for earnings per share): </w:t>
      </w:r>
    </w:p>
    <w:tbl>
      <w:tblPr>
        <w:tblW w:w="7521" w:type="dxa"/>
        <w:jc w:val="left"/>
        <w:tblInd w:w="0" w:type="dxa"/>
        <w:tblLayout w:type="fixed"/>
        <w:tblCellMar>
          <w:top w:w="28" w:type="dxa"/>
          <w:left w:w="28" w:type="dxa"/>
          <w:bottom w:w="28" w:type="dxa"/>
          <w:right w:w="28" w:type="dxa"/>
        </w:tblCellMar>
      </w:tblPr>
      <w:tblGrid>
        <w:gridCol w:w="1640"/>
        <w:gridCol w:w="1437"/>
        <w:gridCol w:w="1453"/>
        <w:gridCol w:w="211"/>
        <w:gridCol w:w="826"/>
        <w:gridCol w:w="109"/>
        <w:gridCol w:w="109"/>
        <w:gridCol w:w="109"/>
        <w:gridCol w:w="109"/>
        <w:gridCol w:w="211"/>
        <w:gridCol w:w="826"/>
        <w:gridCol w:w="109"/>
        <w:gridCol w:w="109"/>
        <w:gridCol w:w="109"/>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share—Basic</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computation of diluted EPS excludes the effect of (in thousands) 0.5 and 80.1 stock options, respectively, due to each respective period’s average fair value of the Company’s common stock not exceeding the exercise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Valuations based on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Valuations based on directly observable inputs or unobservable inputs corroborated by market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Valuations based on unobservable inputs supported by little or no market activity representing management’s determination of assumptions of how market participants would price the assets or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financial instruments such as cash and cash equivalents, accounts receivable and unbilled, net, accounts payable, accrued expenses and advanced billings approximate their carrying amounts due to their short term maturities.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material recurring fair value measurements as of March 31, 2026 and December 31, 2025. There were no material transfers between Level 1, Level 2 or Level 3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Contract Assets and 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and liabilities are reflected in the Company’s condensed consolidated balance sheets within the accounts reflected below.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represent amounts due from the Company’s customers who are concentrated primarily in the pharmaceutical, biotechnology, and medical device industries. Unbilled represents revenue recognized to date that has not been billed or is not yet contractually billable to the customer. In general, amounts become billable upon the achievement of negotiated contractual events, in accordance with predetermined payment schedules or when a reimbursable expense has been incurred. Amounts classified to unbilled are those billable to customers within one year from the respective balance sheet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and unbilled, net consisted of the following (in thousands): </w:t>
      </w:r>
    </w:p>
    <w:tbl>
      <w:tblPr>
        <w:tblW w:w="6294" w:type="dxa"/>
        <w:jc w:val="left"/>
        <w:tblInd w:w="0" w:type="dxa"/>
        <w:tblLayout w:type="fixed"/>
        <w:tblCellMar>
          <w:top w:w="28" w:type="dxa"/>
          <w:left w:w="28" w:type="dxa"/>
          <w:bottom w:w="28" w:type="dxa"/>
          <w:right w:w="28" w:type="dxa"/>
        </w:tblCellMar>
      </w:tblPr>
      <w:tblGrid>
        <w:gridCol w:w="1315"/>
        <w:gridCol w:w="1156"/>
        <w:gridCol w:w="1159"/>
        <w:gridCol w:w="211"/>
        <w:gridCol w:w="826"/>
        <w:gridCol w:w="109"/>
        <w:gridCol w:w="109"/>
        <w:gridCol w:w="109"/>
        <w:gridCol w:w="109"/>
        <w:gridCol w:w="211"/>
        <w:gridCol w:w="82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370,407 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376,755 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and unbilled,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394,581 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402,078 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represent cash received from customers, or billed amounts per an agreed upon payment schedule, in advance of services being performed or revenue being recognized.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consisted of the following (in thousands):</w:t>
      </w:r>
    </w:p>
    <w:tbl>
      <w:tblPr>
        <w:tblW w:w="4284" w:type="dxa"/>
        <w:jc w:val="left"/>
        <w:tblInd w:w="0" w:type="dxa"/>
        <w:tblLayout w:type="fixed"/>
        <w:tblCellMar>
          <w:top w:w="28" w:type="dxa"/>
          <w:left w:w="28" w:type="dxa"/>
          <w:bottom w:w="28" w:type="dxa"/>
          <w:right w:w="28" w:type="dxa"/>
        </w:tblCellMar>
      </w:tblPr>
      <w:tblGrid>
        <w:gridCol w:w="586"/>
        <w:gridCol w:w="515"/>
        <w:gridCol w:w="519"/>
        <w:gridCol w:w="211"/>
        <w:gridCol w:w="826"/>
        <w:gridCol w:w="109"/>
        <w:gridCol w:w="109"/>
        <w:gridCol w:w="109"/>
        <w:gridCol w:w="109"/>
        <w:gridCol w:w="211"/>
        <w:gridCol w:w="82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approximately $3.5 billion and $3.6 billion of performance obligations remaining to be performed for active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(in thousands): </w:t>
      </w:r>
    </w:p>
    <w:tbl>
      <w:tblPr>
        <w:tblW w:w="5919" w:type="dxa"/>
        <w:jc w:val="left"/>
        <w:tblInd w:w="0" w:type="dxa"/>
        <w:tblLayout w:type="fixed"/>
        <w:tblCellMar>
          <w:top w:w="28" w:type="dxa"/>
          <w:left w:w="28" w:type="dxa"/>
          <w:bottom w:w="28" w:type="dxa"/>
          <w:right w:w="28" w:type="dxa"/>
        </w:tblCellMar>
      </w:tblPr>
      <w:tblGrid>
        <w:gridCol w:w="1179"/>
        <w:gridCol w:w="1036"/>
        <w:gridCol w:w="1040"/>
        <w:gridCol w:w="211"/>
        <w:gridCol w:w="826"/>
        <w:gridCol w:w="109"/>
        <w:gridCol w:w="109"/>
        <w:gridCol w:w="109"/>
        <w:gridCol w:w="109"/>
        <w:gridCol w:w="211"/>
        <w:gridCol w:w="8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 (indefinite-lived)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estimated amortization expense of the Company’s intangible assets for each of the remaining years is as follows (in thousands):</w:t>
      </w:r>
    </w:p>
    <w:tbl>
      <w:tblPr>
        <w:tblW w:w="2806" w:type="dxa"/>
        <w:jc w:val="left"/>
        <w:tblInd w:w="0" w:type="dxa"/>
        <w:tblLayout w:type="fixed"/>
        <w:tblCellMar>
          <w:top w:w="28" w:type="dxa"/>
          <w:left w:w="28" w:type="dxa"/>
          <w:bottom w:w="28" w:type="dxa"/>
          <w:right w:w="28" w:type="dxa"/>
        </w:tblCellMar>
      </w:tblPr>
      <w:tblGrid>
        <w:gridCol w:w="608"/>
        <w:gridCol w:w="534"/>
        <w:gridCol w:w="538"/>
        <w:gridCol w:w="242"/>
        <w:gridCol w:w="707"/>
        <w:gridCol w:w="17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(in thousands): </w:t>
      </w:r>
    </w:p>
    <w:tbl>
      <w:tblPr>
        <w:tblW w:w="5828" w:type="dxa"/>
        <w:jc w:val="left"/>
        <w:tblInd w:w="0" w:type="dxa"/>
        <w:tblLayout w:type="fixed"/>
        <w:tblCellMar>
          <w:top w:w="28" w:type="dxa"/>
          <w:left w:w="28" w:type="dxa"/>
          <w:bottom w:w="28" w:type="dxa"/>
          <w:right w:w="28" w:type="dxa"/>
        </w:tblCellMar>
      </w:tblPr>
      <w:tblGrid>
        <w:gridCol w:w="1147"/>
        <w:gridCol w:w="1006"/>
        <w:gridCol w:w="1011"/>
        <w:gridCol w:w="211"/>
        <w:gridCol w:w="82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related reimbursable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406,059 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408,382 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30, 2019, the Company entered into a Loan Agreement (as it may be amended from time to time, the “Loan Agreement”) providing for an unsecured credit facility (as amended from time to time, the “Credit Facility”) through its wholly owned subsidiaries, Medpace, Inc., as borrower (the “Borrower”), and Medpace IntermediateCo, Inc., as guarantor (the “Guarantor”). At the same time the Company entered into the Loan Agreement, the Guarantor executed a Guaranty Agreement providing for its guarantee of the payment and performance of the obligations under the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17, 2025, the Company entered into Amendment No. 9 to the Loan Agreement, which changed the aggregate principal amount that may be borrowed under the Credit Facility to up to $10.0 million. The Credit Facility expires April 30, 2027 and bears interest at a rate of the sum of The Secured Overnight Financing Rate (SOFR) plus 100 basis points (1.00%) or the highest of the Prime Rate, the sum of the Overnight Bank Funding Rate plus 50 basis points (0.50%) and the sum of Daily Simple SOFR plus 100 basis points (1.00%). As of March 31, 2026 and December 31, 2025, the Company had no indebtedness under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Loan Agreement contains other customary loan terms, representations and warranties, and affirmative and negative covenants, in each case, subject to customary limitations, exceptions and exclusions. The Loan Agreement contains certain events of default, including, among others, non-payment of principal or interest and breach of the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leases for real estate and equipment. Real estate leases are for our corporate office space and laboratories around the world. Real estate leases have remaining lease terms of less than 1 year to 15 years. Many of the Company’s leases include options to extend the leases on a month to month basis or for set periods for up to 20 years. Many leases also include options to terminate the leases within 1 year or per other contractual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4526" w:type="dxa"/>
        <w:jc w:val="left"/>
        <w:tblInd w:w="0" w:type="dxa"/>
        <w:tblLayout w:type="fixed"/>
        <w:tblCellMar>
          <w:top w:w="28" w:type="dxa"/>
          <w:left w:w="28" w:type="dxa"/>
          <w:bottom w:w="28" w:type="dxa"/>
          <w:right w:w="28" w:type="dxa"/>
        </w:tblCellMar>
      </w:tblPr>
      <w:tblGrid>
        <w:gridCol w:w="635"/>
        <w:gridCol w:w="558"/>
        <w:gridCol w:w="562"/>
        <w:gridCol w:w="230"/>
        <w:gridCol w:w="672"/>
        <w:gridCol w:w="119"/>
        <w:gridCol w:w="119"/>
        <w:gridCol w:w="119"/>
        <w:gridCol w:w="119"/>
        <w:gridCol w:w="230"/>
        <w:gridCol w:w="672"/>
        <w:gridCol w:w="11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leases was as follows (in thousands):</w:t>
      </w:r>
    </w:p>
    <w:tbl>
      <w:tblPr>
        <w:tblW w:w="8305" w:type="dxa"/>
        <w:jc w:val="left"/>
        <w:tblInd w:w="0" w:type="dxa"/>
        <w:tblLayout w:type="fixed"/>
        <w:tblCellMar>
          <w:top w:w="28" w:type="dxa"/>
          <w:left w:w="28" w:type="dxa"/>
          <w:bottom w:w="28" w:type="dxa"/>
          <w:right w:w="28" w:type="dxa"/>
        </w:tblCellMar>
      </w:tblPr>
      <w:tblGrid>
        <w:gridCol w:w="2126"/>
        <w:gridCol w:w="1864"/>
        <w:gridCol w:w="1874"/>
        <w:gridCol w:w="219"/>
        <w:gridCol w:w="750"/>
        <w:gridCol w:w="113"/>
        <w:gridCol w:w="113"/>
        <w:gridCol w:w="113"/>
        <w:gridCol w:w="113"/>
        <w:gridCol w:w="219"/>
        <w:gridCol w:w="641"/>
        <w:gridCol w:w="160"/>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9"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the leases was as follows (in thousands): </w:t>
      </w:r>
    </w:p>
    <w:tbl>
      <w:tblPr>
        <w:tblW w:w="7533" w:type="dxa"/>
        <w:jc w:val="left"/>
        <w:tblInd w:w="0" w:type="dxa"/>
        <w:tblLayout w:type="fixed"/>
        <w:tblCellMar>
          <w:top w:w="28" w:type="dxa"/>
          <w:left w:w="28" w:type="dxa"/>
          <w:bottom w:w="28" w:type="dxa"/>
          <w:right w:w="28" w:type="dxa"/>
        </w:tblCellMar>
      </w:tblPr>
      <w:tblGrid>
        <w:gridCol w:w="1646"/>
        <w:gridCol w:w="1445"/>
        <w:gridCol w:w="1454"/>
        <w:gridCol w:w="211"/>
        <w:gridCol w:w="826"/>
        <w:gridCol w:w="271"/>
        <w:gridCol w:w="109"/>
        <w:gridCol w:w="109"/>
        <w:gridCol w:w="109"/>
        <w:gridCol w:w="211"/>
        <w:gridCol w:w="826"/>
        <w:gridCol w:w="316"/>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66,898 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68,416 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126,812 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23,838 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23,209 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77,344 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146,094 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136,852 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Lease payments due related to lease liabilities as of March 31, 2026 were as follows (in thousands):</w:t>
      </w:r>
    </w:p>
    <w:tbl>
      <w:tblPr>
        <w:tblW w:w="7028" w:type="dxa"/>
        <w:jc w:val="left"/>
        <w:tblInd w:w="0" w:type="dxa"/>
        <w:tblLayout w:type="fixed"/>
        <w:tblCellMar>
          <w:top w:w="28" w:type="dxa"/>
          <w:left w:w="28" w:type="dxa"/>
          <w:bottom w:w="28" w:type="dxa"/>
          <w:right w:w="28" w:type="dxa"/>
        </w:tblCellMar>
      </w:tblPr>
      <w:tblGrid>
        <w:gridCol w:w="689"/>
        <w:gridCol w:w="605"/>
        <w:gridCol w:w="610"/>
        <w:gridCol w:w="289"/>
        <w:gridCol w:w="987"/>
        <w:gridCol w:w="149"/>
        <w:gridCol w:w="109"/>
        <w:gridCol w:w="109"/>
        <w:gridCol w:w="109"/>
        <w:gridCol w:w="319"/>
        <w:gridCol w:w="1091"/>
        <w:gridCol w:w="165"/>
        <w:gridCol w:w="109"/>
        <w:gridCol w:w="109"/>
        <w:gridCol w:w="109"/>
        <w:gridCol w:w="260"/>
        <w:gridCol w:w="1020"/>
        <w:gridCol w:w="190"/>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Related Party</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Non-Related Parties</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23,177 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16,671 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27,510 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18,265 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Later years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73,800 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87,923 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119,985 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73,163 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193,148 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(37,421)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(47,054)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82,564 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63,530 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146,094 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Shareholders’ Equity and Stock-Based Compensation</w:t>
      </w:r>
    </w:p>
    <w:p>
      <w:pPr>
        <w:pStyle w:val="TextBody"/>
        <w:bidi w:val="0"/>
        <w:spacing w:lineRule="auto" w:line="288" w:before="120" w:after="283"/>
        <w:jc w:val="left"/>
        <w:rPr/>
      </w:pPr>
      <w:r>
        <w:rPr>
          <w:rFonts w:ascii="Times New Roman;serif" w:hAnsi="Times New Roman;serif"/>
          <w:b w:val="false"/>
          <w:color w:val="000000"/>
          <w:sz w:val="20"/>
        </w:rPr>
        <w:t>The Company granted 3,836 awards to employees under the 2016 Amended and Restated Incentive Award Plan during the three months ended March 31, 2026, consisting of 3,636 RSU and 200 stock options</w:t>
      </w:r>
      <w:r>
        <w:rPr>
          <w:color w:val="000000"/>
        </w:rPr>
        <w:t xml:space="preserve"> </w:t>
      </w:r>
      <w:r>
        <w:rPr>
          <w:rFonts w:ascii="Times New Roman;serif" w:hAnsi="Times New Roman;serif"/>
          <w:b w:val="false"/>
          <w:color w:val="000000"/>
          <w:sz w:val="20"/>
        </w:rPr>
        <w:t>having five year vesting schedules.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Award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stock option activity: </w:t>
      </w:r>
    </w:p>
    <w:tbl>
      <w:tblPr>
        <w:tblW w:w="6375" w:type="dxa"/>
        <w:jc w:val="left"/>
        <w:tblInd w:w="0" w:type="dxa"/>
        <w:tblLayout w:type="fixed"/>
        <w:tblCellMar>
          <w:top w:w="28" w:type="dxa"/>
          <w:left w:w="28" w:type="dxa"/>
          <w:bottom w:w="28" w:type="dxa"/>
          <w:right w:w="28" w:type="dxa"/>
        </w:tblCellMar>
      </w:tblPr>
      <w:tblGrid>
        <w:gridCol w:w="1049"/>
        <w:gridCol w:w="920"/>
        <w:gridCol w:w="925"/>
        <w:gridCol w:w="389"/>
        <w:gridCol w:w="389"/>
        <w:gridCol w:w="391"/>
        <w:gridCol w:w="178"/>
        <w:gridCol w:w="178"/>
        <w:gridCol w:w="178"/>
        <w:gridCol w:w="345"/>
        <w:gridCol w:w="1181"/>
        <w:gridCol w:w="252"/>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Stock Options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beginning of period</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618,681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211.29 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428.03 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(92,266)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end of period</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526,615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end of period</w:t>
            </w:r>
          </w:p>
        </w:tc>
        <w:tc>
          <w:tcPr>
            <w:tcW w:w="116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461,808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207.86 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RSA/RSU activity:</w:t>
      </w:r>
    </w:p>
    <w:tbl>
      <w:tblPr>
        <w:tblW w:w="5668" w:type="dxa"/>
        <w:jc w:val="left"/>
        <w:tblInd w:w="0" w:type="dxa"/>
        <w:tblLayout w:type="fixed"/>
        <w:tblCellMar>
          <w:top w:w="28" w:type="dxa"/>
          <w:left w:w="28" w:type="dxa"/>
          <w:bottom w:w="28" w:type="dxa"/>
          <w:right w:w="28" w:type="dxa"/>
        </w:tblCellMar>
      </w:tblPr>
      <w:tblGrid>
        <w:gridCol w:w="1456"/>
        <w:gridCol w:w="1278"/>
        <w:gridCol w:w="1285"/>
        <w:gridCol w:w="482"/>
        <w:gridCol w:w="482"/>
        <w:gridCol w:w="685"/>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Shares/Units</w:t>
            </w:r>
            <w:r>
              <w:rPr>
                <w:color w:val="000000"/>
              </w:rPr>
              <w:t xml:space="preserve"> </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beginning of period</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324,517</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(96,931)</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(2,688)</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end of period</w:t>
            </w:r>
          </w:p>
        </w:tc>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228,534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in the condensed consolidated statements of operations related to all outstanding stock based compensation awards is summarized below (in thousands):</w:t>
      </w:r>
    </w:p>
    <w:tbl>
      <w:tblPr>
        <w:tblW w:w="6217" w:type="dxa"/>
        <w:jc w:val="left"/>
        <w:tblInd w:w="0" w:type="dxa"/>
        <w:tblLayout w:type="fixed"/>
        <w:tblCellMar>
          <w:top w:w="28" w:type="dxa"/>
          <w:left w:w="28" w:type="dxa"/>
          <w:bottom w:w="28" w:type="dxa"/>
          <w:right w:w="28" w:type="dxa"/>
        </w:tblCellMar>
      </w:tblPr>
      <w:tblGrid>
        <w:gridCol w:w="1248"/>
        <w:gridCol w:w="1095"/>
        <w:gridCol w:w="1107"/>
        <w:gridCol w:w="219"/>
        <w:gridCol w:w="641"/>
        <w:gridCol w:w="113"/>
        <w:gridCol w:w="113"/>
        <w:gridCol w:w="113"/>
        <w:gridCol w:w="113"/>
        <w:gridCol w:w="219"/>
        <w:gridCol w:w="751"/>
        <w:gridCol w:w="113"/>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16.1% and 3.0% for the three months ended March 31, 2026 and 2025, respectively. The Company's effective income tax rate for the three months ended March 31, 2026 varied from the U.S. statutory rate of 21% primarily due to the impact of the state taxes, which was favorably offset by excess tax benefits recognized from share-based compensation and tax benefits related to Foreign Derived Deduction Eligible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proceedings, which were immaterial as of March 31, 2026 and December 31, 2025. There is a reasonable possibility that a loss exceeding amounts already recognized may be incurred related to these actions; however, the Company believes that such potential losses were immaterial as of March 31,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6, 2026, Jan Durbin filed a class action complaint in the United States District Court for the Southern District of Ohio (Case No. 1:26-cv-00346) against Medpace Holdings, Inc., August J. Troendle, Jesse J. Geiger, and Kevin M. Brady alleging violations of federal securities laws. Plaintiff alleges that defendants made materially false and misleading statements related to the Company’s book-to-bill ratio in a scheme to deceive the market based upon Sections 10(b) and 20(a) of the Securities Exchange Act of 1934 and Rule 10b-5 promulgated under Section 10(b). Plaintiff seeks unspecified damages, interest, attorneys’ fees, expert fees and other costs. A liability has not been recognized related to this matter because any potential loss is not currently probable or reasonably estimable.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minimum purchase commitments for project related supplies totaling $18.7 million as of March 31, 2026. In return for the commitment, Medpace receives preferential pricing. The commitments expire at various times through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Employee Loans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extends short term loans or advances to employees, typically upon commencement of employment. Total receivables as a result of these employee advances of $0.4 million existed at March 31, 2026 and December 31, 2025, and are included in the Prepaid expenses and other current assets and Other assets line items of the condensed consolidated balance sheets, respectively, depending on the contractual repayment date. </w:t>
      </w:r>
    </w:p>
    <w:p>
      <w:pPr>
        <w:pStyle w:val="TextBody"/>
        <w:bidi w:val="0"/>
        <w:spacing w:lineRule="auto" w:line="288" w:before="240" w:after="283"/>
        <w:jc w:val="left"/>
        <w:rPr/>
      </w:pPr>
      <w:r>
        <w:rPr>
          <w:rFonts w:ascii="Times New Roman;serif" w:hAnsi="Times New Roman;serif"/>
          <w:b/>
          <w:i/>
          <w:color w:val="000000"/>
          <w:sz w:val="20"/>
        </w:rPr>
        <w:t>Service Agreement</w:t>
      </w:r>
      <w:r>
        <w:rPr>
          <w:color w:val="000000"/>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LIB Therapeutics LLC and subsidiaries (“LIB”)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executives and employees of the Company, including the chief executive officer, are members of LIB’s board of managers. The Company entered into a MSA dated November 24, 2015 with LIB, a company that engages in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marketing and commercialization of pharmaceutical drugs. Subsequently, the Company and LIB have entered into several task orders for the Company to perform clinical trial related services. The Company recognized total revenue from LIB of $1.2 million and $2.2 million during the three months ended March 31, 2026 and 2025, respectively, in the Company’s condensed consolidated statements of operations. As of March 31, 2026 and December 31, 2025 the Company had Advanced billings from LIB of $8.1 million in the condensed consolidated balance sheets. As of March 31, 2026 and December 31, 2025 the Company had Accounts receivable and unbilled, net from LIB of $1.5 million and $1.9 million, respectively, in the condensed consolidated balance sheets.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CinRX Pharma, subsidiaries and affiliates (“CinRx”)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The Company recognized total revenue from CinRx of $6.1 million and $11.7 million during the three months ended March 31, 2026 and 2025, respectively, in the Company’s condensed consolidated statements of operations. As of March 31, 2026 and December 31, 2025 the Company had Advanced billings from CinRx of $5.6 million and $4.3 million, respectively, in the condensed consolidated balance sheets. As of March 31, 2026 and December 31, 2025 the Company had Accounts receivable and unbilled, net from CinRx of $1.6 million in the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Leased Real Estate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Campus Headquarters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operating lease for the occupancy of office space in a building in Cincinnati, Ohio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 The lease was renewed in the first quarter of fiscal year 2023 for a term of ten years through December 2032 with a renewal option for one 10-year term at prevailing market rates. The Company pays rent, taxes, insurance, and maintenance expenses that arise from the use of the property. Annual base rent for its corporate headquarters allows for adjustments to the rental rate annually for increases in the consumer price index. The Company has determined that the lease is an operating lease. Operating lease cost recognized for the three months ended March 31, 2026 and 2025 was $0.7 million. The operating lease cost was allocated between Total direct costs and Selling, general and administrative in the condensed consolidated statements of operations. The Operating lease right-of-use assets at March 31, 2026 and December 31, 2025 were $15.3 million and $15.8 million, respectively, in the condensed consolidated balance sheets. The current and long-term portions of the lease liabilities at March 31, 2026 were $1.8 million and $14.2 million, respectively, and were recognized in Other current liabilities and Operating lease liabilities in the condensed consolidated balance sheets. The current and long-term portions of the lease liabilities at December 31, 2025 were $1.8 million and $14.7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2018, Medpace, Inc. entered into a multi-year lease agreement governing future occupancy of additional office space in Cincinnati, Ohio with an entity that is wholly owned by the Company’s chief executive officer and certain members of his immediate family. The Company began to occupy the premises in the second quarter of fiscal year 2020. The lease expires in 2040 and the Company has two 10-year options to extend the term of the lease.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March 31, 2026 and 2025 was $1.4 million. The operating lease cost was allocated between Total direct costs and Selling, general and administrative in the condensed consolidated statements of operations. The Operating lease right-of-use assets at March 31, 2026 and December 31, 2025 were $47.9 million and $48.4 million, respectively, in the condensed consolidated balance sheets. The current and long-term portions of the lease liabilities at March 31, 2026 were $1.8 million and $59.7 million, respectively, and were recognized in Other current liabilities and Operating lease liabilities in the condensed consolidated balance sheets. The current and long-term portions of the lease liabilities at December 31, 2025 were $1.8 million and $60.2 million, respectively and were recognized in Other current liabilities and Operating lease liabilities in the condensed consolidated balance sheets.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multi-year lease agreement governing the occupancy of office space in a building in Cincinnati, Ohio with an entity that is wholly owned by the Company’s chief executive officer and certain members of his immediate family. The Company assumed occupancy in 2012 and the lease expires in 2027 with the Company having one 10-year option to extend the lease term. The Company pays rent, taxes, insurance, and maintenance expenses that arise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March 31, 2026 and 2025 was $0.6 million. The operating lease cost was allocated between Total direct costs and Selling, general and administrative in the condensed consolidated statements of operations. The Operating lease right-of-use assets at March 31, 2026 and December 31, 2025 were $3.6 million and $4.2 million, respectively, in the condensed consolidated balance sheets. The current and long-term portions of the lease liabilities at March 31, 2026 were $2.4 million and $1.3 million, respectively, and were recognized in Other current liabilities and Operating lease liabilities in the condensed consolidated balance sheets. The current and long-term portions of the lease liabilities at December 31, 2025 were $2.3 million and $1.9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entered into a multi-year lease agreement governing the occupancy of office space in a building in Cincinnati, Ohio with an entity that is wholly owned by the Company’s chief executive officer and certain members of his immediate family. The Company assumed occupancy in 2012 and the lease expires in 2027 with the Company having one 10-year option to extend the lease term. In the first quarter of 2024, the Company reduced the lease term in connection with a plan to replace the leased office beginning in early 2025.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March 31, 2026 and 2025 was less than $0.1 million and $0.7 million, respectively. The operating lease cost was allocated between Total direct costs and Selling, general and administrative in the condensed consolidated statements of operations. The current and long-term portions of the lease liabilities at March 31, 2026 were $1.0 million and $0.3 million, respectively, and were recognized in Other current liabilities and Operating lease liabilities in the condensed consolidated balance sheets. The current and long-term portions of the lease liabilities at December 31, 2025 were $1.0 million and $0.5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Travel Services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incurs expenses for travel services for company executives provided by a private aviation charter company controlled by the chief executive officer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$0.4 million during the three months ended March 31, 2026 and 2025, related to these travel services. These travel expenses are recorded in Selling, general and administrative in the Company’s condensed consolidated statements of operations. As of March 31, 2026 and December 31, 2025, the Company had Accounts payable to the Aircraft Management Company of $0.1 million and $0.3 million, respectively,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the one reportable segment, significant segment expenses and a reconciliation to condensed consolidated net income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14"/>
        <w:gridCol w:w="2295"/>
        <w:gridCol w:w="2303"/>
        <w:gridCol w:w="109"/>
        <w:gridCol w:w="109"/>
        <w:gridCol w:w="109"/>
        <w:gridCol w:w="211"/>
        <w:gridCol w:w="826"/>
        <w:gridCol w:w="109"/>
        <w:gridCol w:w="109"/>
        <w:gridCol w:w="109"/>
        <w:gridCol w:w="109"/>
        <w:gridCol w:w="211"/>
        <w:gridCol w:w="826"/>
        <w:gridCol w:w="156"/>
      </w:tblGrid>
      <w:tr>
        <w:trPr/>
        <w:tc>
          <w:tcPr>
            <w:tcW w:w="2614"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558,570 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Employee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Other segment items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380,220 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445,047 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Direct service costs, excluding depreciation and amortization - Other segment items includes costs related to inventory, leases, project subcontractors and other direct service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by Category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the Company’s revenue by major source (in thousands): </w:t>
      </w:r>
    </w:p>
    <w:tbl>
      <w:tblPr>
        <w:tblW w:w="5387" w:type="dxa"/>
        <w:jc w:val="left"/>
        <w:tblInd w:w="0" w:type="dxa"/>
        <w:tblLayout w:type="fixed"/>
        <w:tblCellMar>
          <w:top w:w="28" w:type="dxa"/>
          <w:left w:w="28" w:type="dxa"/>
          <w:bottom w:w="28" w:type="dxa"/>
          <w:right w:w="28" w:type="dxa"/>
        </w:tblCellMar>
      </w:tblPr>
      <w:tblGrid>
        <w:gridCol w:w="750"/>
        <w:gridCol w:w="659"/>
        <w:gridCol w:w="660"/>
        <w:gridCol w:w="109"/>
        <w:gridCol w:w="109"/>
        <w:gridCol w:w="109"/>
        <w:gridCol w:w="211"/>
        <w:gridCol w:w="826"/>
        <w:gridCol w:w="109"/>
        <w:gridCol w:w="109"/>
        <w:gridCol w:w="109"/>
        <w:gridCol w:w="109"/>
        <w:gridCol w:w="211"/>
        <w:gridCol w:w="826"/>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Therapeutic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Metabolic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Central Nervous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Cardiology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AVAI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706,604 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558,570 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2025 and with the information under the heading “Management Discussion and Analysis of Financial Condition and Results of Operations” in our Annual Report on Form 10-K for the fiscal year ended December 31, 2025. This item and the related discussion contain forward-looking statements reflecting current expectations that involve risks and uncertainties. Actual results and the timing of events may differ materially from those indicated in such forward-looking statements. Factors that may cause such differences include, but are not limited to, those discussed under the “Forward-Looking Statements” below and “Risk Factors” in “Item 1A Risk Factors” of Part I of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are forward looking statements. Forward looking statements include, without limitation,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general economic conditions, including inflation, interest rates and other pricing pressures that could impact our operating margins; expectations regarding consumer behaviors and trends; our culture and operating philosophy; human resource management; arrangements with and delivery of our services to the customers; conversion of backlog; dividend policy; legal proceedings; and our objectives for future operations. The words “expect,” “anticipate,” “intend,” “plan,” “believe,” “seek,” “see,” “will,” “would,” “target,” “likely,” “opportunity,” “may,” “could,” “outlook,” “can,” “trend,” “might,” “drives,” “hope,” “potential,” “project,” “predict,” and similar expressions are intended to identify forward-looking statements. However, the absence of these words does not mean that a statement is not forward-looking. Forward-looking statements are based largely on our current expectations and projections about future events and financial or other trends that we believe may affect our financial condition, results of operations, business strategy, short-term and long-term business operations and objectives, and financial needs. Any forward-looking statement speaks only as of the date it is made. These forward-looking statements are subject to inherent uncertainties, risks, changes in circumstances and other factors that are difficult to predict.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may not occur and our financial condition and actual results could differ materially and adversely from those anticipated or implied in the forward-looking statements. In other words, these statements are not guarantees of future performance and inherently involve a wide range of risks and uncertainties that are difficult to predict. We caution you therefore against relying on these forward-looking statements. Some of the factors that could cause actual results to differ from our expectations include regional, national, and global political, economic, business, competitive, market and regulatory conditions, and the other factors included in our Annual Report on Form 10-K for the fiscal year ended December 31, 2025 in “Item 1A Risk Factors,” “Item 7 Management’s Discussion and Analysis of Financial Condition and Results of Operations,” and “Item 7A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our Annual Report on Form 10-K for the fiscal year ended December 31, 2025 and “Part II – Other Information, Item 1A Risk Factors”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mid-sized biopharmaceutical companies based on our ability to consistently utilize our full-service, disciplined operating model to deliver timely and high-quality results for our customers.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focus on conducting clinical trials across all major therapeutic areas, with particular strength in Oncology, Metabolic Disease, Cardiology, Central Nervous System, or CNS, and Antiviral and Anti-infective, or AVAI. Our global platform includes approximately 6,300 employees across 46 countries as of March 31, 2026, providing our customers with broad access to diverse markets and patient populations as well as local regulatory expertise and market knowledge.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We Generate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earn fees through the performance of services detailed in our customer contracts. Contract scope and pricing is typically based on either a fixed-fee or unit-of-service model, with consideration of activities performed by third parties, as well as ancillary costs necessary to deliver on the contract scope that are reimbursable by our customers.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which is distinct from billing and cash receipt, is recognized based on the satisfaction of the individual performance obligations identified in each contract. Substantially all of our customer contracts consist of a single performance obligation, as the promise to transfer the individual services defined in the contracts are not separately identifiable from other promises in the contract, and therefore not distinct. Our performance obligations are generally satisfied over time and recognized as services are performed. The progression of our contract performance obligations are measured primarily utilizing the input method of cost to cost.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discussed and agreed upon with the customer and are realized as revenue when we believe the amount can be estimated reliably and its realization is probable. Changes in revenue from period to period are driven primarily by new business volume and task order execution activity, project cancellations, and the mix of active studies during a given period that can vary based on therapeutic area and or study life cycle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costs and expenses are comprised primarily of our total direct costs, selling, general and administrative costs, depreciation and amortization and income taxes.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Direct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 are primarily driven by labor and related employee benefits, but also include contracted third party service related expenses, fees paid to site investigators, reimbursed out of pocket expenses, laboratory supplies and other expenses contributing to service delivery. The other costs of service delivery can include office rent, utilities, supplies and software licenses which are allocated between Total direct costs and selling, general and administrative expenses based on the estimated contribution among service delivery and support function efforts on a percentage basis. Total direct costs are expensed as incurred and are not deferred in anticipation of contracts being awarded or finalization of changes in scope. Total direct costs, as a percentage of net revenue, can vary from period to period due to project labor efficiencies, changes in workforce, compensation/bonus programs and service mix.</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primarily driven by compensation and related employee benefits, as well as rent, utilities, supplies, software licenses, professional fees (e.g., legal and accounting expenses), bad debt expense, travel, marketing and other operating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buildings. Leasehold improvements are amortized on a straight-line basis over the shorter of the estimated useful life of the improvement or the associated remaining lease term.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relates to finite-lived intangible assets recognized as expense using the straight-line method or using an accelerated method over their estimated useful lives of 15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evaluate the performance of our business, we utilize a variety of financial and performance metrics. These key measures include new business awards, cancellations and backlog.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Business Awards, Cancellations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business awards represent the value of anticipated future net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new business awards represent gross new business awards received in a period offset by total cancellations in that period. Net new business awards were $618.4 million and $500.0 million for the three months ended March 31, 2026 and 2025,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Backlog represents anticipated future net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March 31, 2026, our backlog increased by $83.2 million, or 2.9%, to $2,929.2 million compared to $2,846.0 million as of March 31, 2025. Included within backlog as of March 31, 2026 was approximately $1,930.0 million to $1,950.0 million that we expect to convert to net revenue over the next twelve months, with the remainder expected to convert to net revenue thereafter.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effect of foreign currency adjustments on backlog was as follows: unfavorable foreign currency adjustments of $3.7 million for the three months ended March 31, 2026 and favorable foreign currency adjustments of $6.9 million for the three months ended March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Exchange Rate Fluctuations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tbl>
      <w:tblPr>
        <w:tblW w:w="4640" w:type="dxa"/>
        <w:jc w:val="left"/>
        <w:tblInd w:w="0" w:type="dxa"/>
        <w:tblLayout w:type="fixed"/>
        <w:tblCellMar>
          <w:top w:w="28" w:type="dxa"/>
          <w:left w:w="28" w:type="dxa"/>
          <w:bottom w:w="28" w:type="dxa"/>
          <w:right w:w="28" w:type="dxa"/>
        </w:tblCellMar>
      </w:tblPr>
      <w:tblGrid>
        <w:gridCol w:w="677"/>
        <w:gridCol w:w="597"/>
        <w:gridCol w:w="600"/>
        <w:gridCol w:w="266"/>
        <w:gridCol w:w="266"/>
        <w:gridCol w:w="266"/>
        <w:gridCol w:w="266"/>
        <w:gridCol w:w="266"/>
        <w:gridCol w:w="266"/>
        <w:gridCol w:w="266"/>
        <w:gridCol w:w="266"/>
        <w:gridCol w:w="266"/>
        <w:gridCol w:w="109"/>
        <w:gridCol w:w="109"/>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 per Euro:</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tbl>
      <w:tblPr>
        <w:tblW w:w="10205" w:type="dxa"/>
        <w:jc w:val="left"/>
        <w:tblInd w:w="0" w:type="dxa"/>
        <w:tblLayout w:type="fixed"/>
        <w:tblCellMar>
          <w:top w:w="28" w:type="dxa"/>
          <w:left w:w="28" w:type="dxa"/>
          <w:bottom w:w="28" w:type="dxa"/>
          <w:right w:w="28" w:type="dxa"/>
        </w:tblCellMar>
      </w:tblPr>
      <w:tblGrid>
        <w:gridCol w:w="1603"/>
        <w:gridCol w:w="1353"/>
        <w:gridCol w:w="135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5"/>
        <w:gridCol w:w="287"/>
        <w:gridCol w:w="574"/>
      </w:tblGrid>
      <w:tr>
        <w:trPr/>
        <w:tc>
          <w:tcPr>
            <w:tcW w:w="160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 Change</w:t>
            </w:r>
            <w:r>
              <w:rPr>
                <w:color w:val="000000"/>
              </w:rPr>
              <w:t xml:space="preserve"> </w:t>
            </w:r>
          </w:p>
        </w:tc>
      </w:tr>
      <w:tr>
        <w:trPr/>
        <w:tc>
          <w:tcPr>
            <w:tcW w:w="4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380,220 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130,058 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445,047 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by $148.0 million, to $706.6 million for the three months ended March 31, 2026, from $558.6 million for the three months ended March 31, 2025. The increase for the three months ended March 31, 2026 was primarily driven by growth within the Metabolic, Oncology, Central Nervous System and AVAI therapeutic areas, compared to the same period in the prior year.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Total direct costs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direct costs increased by $130.1 million, to $510.3 million for the three months ended March 31, 2026, from $380.2 million for the three months ended March 31, 2025. The increase was primarily attributed to higher reimbursed out-of-pocket expenses and higher personnel costs to support the growth in service activities. Reimbursed out-of-pocket expenses, which can fluctuate significantly from period to period based on the timing of program initiation and closeout, increased $109.6 million for the three months ended March 31, 2026, compared to the same period in the prior year. The higher personnel costs portion increased by $20.7 million for the three months ended March 31, 2026, compared to the same period in the prior year.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$10.0 million, to $47.9 million for the three months ended March 31, 2026, from $57.9 million for the three months ended March 31, 2025. The decrease was primarily attributed to a decrease in stock-based compensation expense of $11.9 million, partially offset by higher personnel costs, excluding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compensation expense, to support the growth in service activities of $1.5 million for the three months ended March 31, 2026, compared to the same period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of $6.9 million for the three months ended March 31, 2026, remained relatively consistent with $6.9 million for the three months ended March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income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 changed by $2.8 million, to $1.0 million of income for the three months ended March 31, 2026, from $1.8 million of expense for the three months ended March 31, 2025. The change was mainly attributable to foreign exchange gains or losses, such as those that arise in connection with the revaluation of short-term intercompany balances between our domestic and international subsidiaries and from the settlement of third-party accounts receivables and payables denominated in a currency other than the local currency of the entity making the payment, and third-party investment gains or losses, compared to the same period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 decreased by $1.3 million, to $5.1 million for the three months ended March 31, 2026, from $6.5 million for the three months ended March 31, 2025. This was mainly attributable to decreased interest income on Cash and cash equivalents, compared to the same period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increased by $20.1 million, to $23.7 million for the three months ended March 31, 2026, from $3.6 million for the three months ended March 31, 2025. The overall effective tax rate for the three months ended March 31, 2026 was 16.1%, compared to an overall effective tax rate of 3.0% for the three months ended March 31, 2025. The increase in the income tax provision was primarily attributable to a decrease in excess tax benefits recognized from share-based compensation and an increase in pre-tax book income compared to the same period in the prior year. The increase in the overall effective tax rate was primarily attributable to a decrease in excess tax benefits recognized from share-based compensation compared to the same period in the prior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in terms of our ability to generate cash to fund our operating, investing and financing activities. Our principal sources of liquidity are operating cash flows and from borrowings under our unsecured credit facility consisting of up to a $10.0 million revolving line of credit which we entered into on September 30, 2019 (the “Credit Facility”). All $10.0 million of the line of credit is available for borrowing as of March 31, 2026. As of March 31, 2026, we had cash and cash equivalents of $652.7 million which increased from $497.0 million as of December 31, 2025. Approximately $21.7 million of cash and cash equivalents, none of which was restricted, was held by our foreign subsidiaries as of March 31,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expected primary cash needs on both a short and long-term basis are for investment in operational growth, including additional lease commitments, capital expenditures,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As of March 31, 2026, cash commitments to support operating business needs include lease liabilities discussed in Note 8 of the Condensed Consolidated Financial Statements, purchase commitments discussed in Note 11 of the Condensed Consolidated Financial Statements and capital expenditures primarily related to infrastructure investments in our facilities, equipment and technology. Capital spending as a percentage of revenue decreased by 83 basis points to 0.96% in the three months ended March 31, 2026, compared to the same period in the prior year. We expect these activities will be funded from existing cash, cash flow from operations and, if necessary, borrowings under our existing or future credit facilities or other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Credit Facility or otherwise, in an amount sufficient to fund our liquidity needs.</w:t>
      </w:r>
    </w:p>
    <w:p>
      <w:pPr>
        <w:pStyle w:val="TextBody"/>
        <w:bidi w:val="0"/>
        <w:spacing w:before="0" w:after="0"/>
        <w:jc w:val="left"/>
        <w:rPr/>
      </w:pPr>
      <w:r>
        <w:rPr/>
      </w:r>
    </w:p>
    <w:tbl>
      <w:tblPr>
        <w:tblW w:w="8439" w:type="dxa"/>
        <w:jc w:val="left"/>
        <w:tblInd w:w="0" w:type="dxa"/>
        <w:tblLayout w:type="fixed"/>
        <w:tblCellMar>
          <w:top w:w="28" w:type="dxa"/>
          <w:left w:w="28" w:type="dxa"/>
          <w:bottom w:w="28" w:type="dxa"/>
          <w:right w:w="28" w:type="dxa"/>
        </w:tblCellMar>
      </w:tblPr>
      <w:tblGrid>
        <w:gridCol w:w="2061"/>
        <w:gridCol w:w="1816"/>
        <w:gridCol w:w="1823"/>
        <w:gridCol w:w="211"/>
        <w:gridCol w:w="826"/>
        <w:gridCol w:w="109"/>
        <w:gridCol w:w="109"/>
        <w:gridCol w:w="109"/>
        <w:gridCol w:w="109"/>
        <w:gridCol w:w="211"/>
        <w:gridCol w:w="901"/>
        <w:gridCol w:w="154"/>
      </w:tblGrid>
      <w:tr>
        <w:trPr/>
        <w:tc>
          <w:tcPr>
            <w:tcW w:w="206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Cash Flows (Amounts in thousands)</w:t>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(345,966)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(228,000)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 are driven mainly by net income, deferred income tax provision, depreciation, noncash lease expense, stock-based compensation expense and net movement in accounts receivable and unbilled, net, other assets and liabilities, net, lease liabilities, and advanced billings. Accounts receivable and unbilled, net and advanced billings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pStyle w:val="TextBody"/>
        <w:bidi w:val="0"/>
        <w:spacing w:lineRule="auto" w:line="288" w:before="240" w:after="283"/>
        <w:jc w:val="left"/>
        <w:rPr/>
      </w:pPr>
      <w:r>
        <w:rPr>
          <w:rFonts w:ascii="Times New Roman;serif" w:hAnsi="Times New Roman;serif"/>
          <w:b w:val="false"/>
          <w:color w:val="000000"/>
          <w:sz w:val="20"/>
        </w:rPr>
        <w:t>Net cash flows provided by operating activities was $151.8 million for the three months ended March 31, 2026 beginning with net income of $123.9 million. Adjustments to reconcile net income to net cash provided by operating activities were $36.6 million, primarily related to deferred income tax provision of $18.5 million, depreciation of $6.8 million, noncash lease expense of $5.8 million and stock based compensation expense of $4.9 million. Changes in operating assets and liabilities used $8.7 million in operating cash flows and was primarily driven by changes in</w:t>
      </w:r>
      <w:r>
        <w:rPr>
          <w:color w:val="000000"/>
        </w:rPr>
        <w:t xml:space="preserve"> </w:t>
      </w:r>
      <w:r>
        <w:rPr>
          <w:rFonts w:ascii="Times New Roman;serif" w:hAnsi="Times New Roman;serif"/>
          <w:b w:val="false"/>
          <w:color w:val="000000"/>
          <w:sz w:val="20"/>
        </w:rPr>
        <w:t>other assets and liabilities, net of $10.2 million and decreased lease liabilities of</w:t>
      </w:r>
      <w:r>
        <w:rPr>
          <w:color w:val="000000"/>
        </w:rPr>
        <w:t xml:space="preserve"> </w:t>
      </w:r>
      <w:r>
        <w:rPr>
          <w:rFonts w:ascii="Times New Roman;serif" w:hAnsi="Times New Roman;serif"/>
          <w:b w:val="false"/>
          <w:color w:val="000000"/>
          <w:sz w:val="20"/>
        </w:rPr>
        <w:t xml:space="preserve">$5.3 million, partially offset by decreased accounts receivable and unbilled, net of $7.8 million and increased advanced billings of $2.0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was $125.8 million for the three months ended March 31, 2025 beginning with net income of $114.6 million. Adjustments to reconcile net income to net cash provided by operating activities were $30.1 million, primarily related to stock based compensation expense of $16.9 million, depreciation of $6.7 million and noncash lease expense of $6.1 million. Changes in operating assets and liabilities used $18.9 million in operating cash flows and was primarily driven by decreased accrued expenses of $23.2 million and increased prepaid expenses and other current assets of $17.6 million, partially offset by changes in other assets and liabilities, net of $11.6 million, increased accounts payable of $10.7 million and increased advanced billings of $8.1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$6.7 million for the three months ended March 31, 2026 primarily consisting of property and equipment expenditures.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$10.0 million for the three months ended March 31, 2025 primarily consisting of property and equipment expenditures.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$12.7 million for the three months ended March 31, 2026 related to proceeds from stock option exercises.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$346.0 million for the three months ended March 31, 2025 primarily related to $371.9 million in repurchases of common stock, partially offset by proceeds from stock option exercises of $25.9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The Company did not execute any share repurchases during the three months ended March 31, 2026. During the three months ended March 31, 2025, the Company repurchased 1,193,011 shares for $389.8 million. As of March 31, 2026, the Company has remaining authorization of $821.7 million under the repurchase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no indebtedness. Refer to Note 7 of the Notes to Condensed Consolidated Financial Statements for details regarding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critical accounting policies and estimates as previously described in our Annual Report on Form 10-K for the fiscal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Effect of Recent Accounting Pronouncements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Note 1 of the Condensed Consolidated Financial Statements for management’s discussion of the effect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as compared to the quantitative and qualitative disclosures about market risk described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the Chief Executive Officer (the Principal Executive Officer) and Chief Financial Officer (the Principal Financial Officer), has evaluated the effectiveness of the Company’s disclosure controls and procedures, as defined in Rules 13(a)-15(e) and 15(d) -15(e) of the Securities Exchange Act of 1934 (“Exchange Act”), as of the end of the period covered by this report. Based on this evaluation, we concluded that, as of the end of the period covered by this report, our disclosure controls and procedures were effective in providing reasonable assurance that information required to be disclosed by us in the reports we file or submit under the Exchange Act is recorded, processed, summarized and reported within the time periods specified in the SEC’s forms and rules,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material information relating to the Company is accumulated and communicated to management, including the Chief Executive Officer and Chief Financial Officer, as appropriate, to allow timely decisions regarding required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Control systems, no matter how well designed and operated, can provide only reasonable, not absolute, assurance that control objectives are met. Because of inherent limitations in all control systems, no evaluation of controls can provide assurance that all control issues and instances of fraud, if any, within a company will be detected. Additionally, controls can be circumvented by individuals, by collusion of two or more people or by management override. Over time, controls can become inadequate because of changes in conditions or the degree of compliance may deteriorate. Further, the design of any system of controls is based in part upon assumptions about the likelihood of future events. There can be no assurance that any design will succeed in achieving its stated goals under all future conditions. Because of the inherent limitations in any cost-effective control system, misstatements due to errors or fraud may occur and not be detected.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routinely enhance our information systems by either upgrading current systems or implementing new ones. There were no changes in our internal control over financial reporting that occurred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please reference “Note 11 – Commitments and Contingencies” in the notes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see the information under the heading “Risk Factors” in our Annual Report on Form 10-K for the fiscal year ended December 31, 2025. There have been no significant changes from the risk factors previously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exhibits in the accompanying Exhibit Index preceding the signature page are filed or furnished as a part of this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1602"/>
        <w:gridCol w:w="1446"/>
        <w:gridCol w:w="1453"/>
        <w:gridCol w:w="109"/>
        <w:gridCol w:w="109"/>
        <w:gridCol w:w="109"/>
        <w:gridCol w:w="170"/>
        <w:gridCol w:w="170"/>
        <w:gridCol w:w="171"/>
        <w:gridCol w:w="109"/>
        <w:gridCol w:w="109"/>
        <w:gridCol w:w="109"/>
        <w:gridCol w:w="150"/>
        <w:gridCol w:w="150"/>
        <w:gridCol w:w="151"/>
        <w:gridCol w:w="109"/>
        <w:gridCol w:w="109"/>
        <w:gridCol w:w="109"/>
        <w:gridCol w:w="210"/>
        <w:gridCol w:w="210"/>
        <w:gridCol w:w="211"/>
        <w:gridCol w:w="109"/>
        <w:gridCol w:w="109"/>
        <w:gridCol w:w="109"/>
        <w:gridCol w:w="175"/>
        <w:gridCol w:w="175"/>
        <w:gridCol w:w="176"/>
        <w:gridCol w:w="109"/>
        <w:gridCol w:w="109"/>
        <w:gridCol w:w="109"/>
        <w:gridCol w:w="255"/>
        <w:gridCol w:w="255"/>
        <w:gridCol w:w="366"/>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331xexx311.htm">
              <w:r>
                <w:rPr>
                  <w:rStyle w:val="InternetLink"/>
                  <w:rFonts w:ascii="Times New Roman;serif" w:hAnsi="Times New Roman;serif"/>
                  <w:b w:val="false"/>
                  <w:color w:val="0000FF"/>
                  <w:sz w:val="20"/>
                  <w:u w:val="single"/>
                </w:rPr>
                <w:t>Rule 13a-14(a) / 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331xexx312.htm">
              <w:r>
                <w:rPr>
                  <w:rStyle w:val="InternetLink"/>
                  <w:rFonts w:ascii="Times New Roman;serif" w:hAnsi="Times New Roman;serif"/>
                  <w:b w:val="false"/>
                  <w:color w:val="0000FF"/>
                  <w:sz w:val="20"/>
                  <w:u w:val="single"/>
                </w:rPr>
                <w:t>Rule 13a-14(a) / 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medp-20260331xexx321.htm">
              <w:r>
                <w:rPr>
                  <w:rStyle w:val="InternetLink"/>
                  <w:rFonts w:ascii="Times New Roman;serif" w:hAnsi="Times New Roman;serif"/>
                  <w:b w:val="false"/>
                  <w:color w:val="0000FF"/>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medp-20260331xexx322.htm">
              <w:r>
                <w:rPr>
                  <w:rStyle w:val="InternetLink"/>
                  <w:rFonts w:ascii="Times New Roman;serif" w:hAnsi="Times New Roman;serif"/>
                  <w:b w:val="false"/>
                  <w:color w:val="0000FF"/>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bl>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9e22330662f415dbad4ac7f4db262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3026" w:type="dxa"/>
        <w:jc w:val="left"/>
        <w:tblInd w:w="0" w:type="dxa"/>
        <w:tblLayout w:type="fixed"/>
        <w:tblCellMar>
          <w:top w:w="28" w:type="dxa"/>
          <w:left w:w="28" w:type="dxa"/>
          <w:bottom w:w="28" w:type="dxa"/>
          <w:right w:w="28" w:type="dxa"/>
        </w:tblCellMar>
      </w:tblPr>
      <w:tblGrid>
        <w:gridCol w:w="124"/>
        <w:gridCol w:w="109"/>
        <w:gridCol w:w="109"/>
        <w:gridCol w:w="785"/>
        <w:gridCol w:w="785"/>
        <w:gridCol w:w="11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MEDPACE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August J. Troendle,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tbl>
      <w:tblPr>
        <w:tblW w:w="5712" w:type="dxa"/>
        <w:jc w:val="left"/>
        <w:tblInd w:w="0" w:type="dxa"/>
        <w:tblLayout w:type="fixed"/>
        <w:tblCellMar>
          <w:top w:w="28" w:type="dxa"/>
          <w:left w:w="28" w:type="dxa"/>
          <w:bottom w:w="28" w:type="dxa"/>
          <w:right w:w="28" w:type="dxa"/>
        </w:tblCellMar>
      </w:tblPr>
      <w:tblGrid>
        <w:gridCol w:w="124"/>
        <w:gridCol w:w="109"/>
        <w:gridCol w:w="109"/>
        <w:gridCol w:w="1570"/>
        <w:gridCol w:w="1570"/>
        <w:gridCol w:w="22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M. Brady,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March 31,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23, 2026 </w:t>
      </w:r>
    </w:p>
    <w:tbl>
      <w:tblPr>
        <w:tblW w:w="38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894"/>
        <w:gridCol w:w="894"/>
        <w:gridCol w:w="1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w:t>
              <w:br/>
              <w:t>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March 31,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tbl>
      <w:tblPr>
        <w:tblW w:w="316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13198</Words>
  <Characters>75426</Characters>
  <CharactersWithSpaces>87732</CharactersWithSpaces>
  <Paragraphs>1389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