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861551.xml.htm"/>
      <w:bookmarkStart w:id="1" w:name="kswkform4_17878615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Troendle August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MEDPACE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5375 MEDPACE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CINCINNATI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45227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Medpace Holdings, Inc.</w:t>
              </w:r>
            </w:hyperlink>
            <w:r>
              <w:rPr/>
              <w:t xml:space="preserve"> [ </w:t>
            </w:r>
            <w:r>
              <w:rPr>
                <w:rFonts w:ascii="Times;serif" w:hAnsi="Times;serif"/>
                <w:color w:val="0000FF"/>
                <w:sz w:val="24"/>
                <w:shd w:fill="FFFFFF" w:val="clear"/>
              </w:rPr>
              <w:t>MEDP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4"/>
        <w:gridCol w:w="902"/>
        <w:gridCol w:w="773"/>
        <w:gridCol w:w="599"/>
        <w:gridCol w:w="340"/>
        <w:gridCol w:w="819"/>
        <w:gridCol w:w="433"/>
        <w:gridCol w:w="879"/>
        <w:gridCol w:w="1251"/>
        <w:gridCol w:w="971"/>
        <w:gridCol w:w="108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673</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620.38</w:t>
            </w:r>
            <w:r>
              <w:rPr>
                <w:rFonts w:ascii="Times;serif" w:hAnsi="Times;serif"/>
                <w:color w:val="008000"/>
                <w:position w:val="7"/>
                <w:sz w:val="16"/>
                <w:sz w:val="20"/>
                <w:shd w:fill="FFFFFF" w:val="clear"/>
              </w:rPr>
              <w:t>(2)</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544,544</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620.03</w:t>
            </w:r>
            <w:r>
              <w:rPr>
                <w:rFonts w:ascii="Times;serif" w:hAnsi="Times;serif"/>
                <w:color w:val="008000"/>
                <w:position w:val="7"/>
                <w:sz w:val="16"/>
                <w:sz w:val="20"/>
                <w:shd w:fill="FFFFFF" w:val="clear"/>
              </w:rPr>
              <w:t>(3)</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540,544</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4,733,019</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Medpace Investors, LLC</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limit order placed by the Reporting Person during an open window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ranging from $620.00 to $621.89. The Reporting Person undertakes to provide full pricing information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is a weighted average price. These shares were sold in multiple transactions ranging from $620.00 to $620.54. The Reporting Person undertakes to provide full pricing information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the sole manager and controlling unit holder of Medpace Investors, LLC ("MPI") and has sole voting and investment control with respect to the securities held by MPI. The Reporting Person may be deemed to indirectly beneficially own the securities of the Issuer held by MPI but disclaims beneficial ownership of such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P. Ewald, Attorney-in-Fact for August J. Troendle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2058" TargetMode="External"/><Relationship Id="rId5" Type="http://schemas.openxmlformats.org/officeDocument/2006/relationships/hyperlink" Target="http://www.sec.gov/cgi-bin/browse-edgar?action=getcompany&amp;CIK=00016683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780</Words>
  <Characters>4217</Characters>
  <CharactersWithSpaces>4913</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