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2026</w:t>
      </w:r>
    </w:p>
    <w:p>
      <w:pPr>
        <w:spacing w:after="0" w:line="3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Medpace Holdings,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8" w:lineRule="exact"/>
        <w:rPr>
          <w:sz w:val="24"/>
          <w:szCs w:val="24"/>
          <w:color w:val="auto"/>
        </w:rPr>
      </w:pPr>
    </w:p>
    <w:tbl>
      <w:tblPr>
        <w:tblLayout w:type="fixed"/>
        <w:tblInd w:w="640" w:type="dxa"/>
        <w:tblCellMar>
          <w:top w:w="0" w:type="dxa"/>
          <w:left w:w="0" w:type="dxa"/>
          <w:bottom w:w="0" w:type="dxa"/>
          <w:right w:w="0" w:type="dxa"/>
        </w:tblCellMar>
      </w:tblPr>
      <w:tr>
        <w:trPr>
          <w:trHeight w:val="227"/>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001-37856</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32-0434904</w:t>
            </w:r>
          </w:p>
        </w:tc>
      </w:tr>
      <w:tr>
        <w:trPr>
          <w:trHeight w:val="175"/>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28"/>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5375 Medpace Way</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7"/>
        </w:trPr>
        <w:tc>
          <w:tcPr>
            <w:tcW w:w="330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Cincinnati, Ohio</w:t>
            </w:r>
          </w:p>
        </w:tc>
        <w:tc>
          <w:tcPr>
            <w:tcW w:w="3680" w:type="dxa"/>
            <w:vAlign w:val="bottom"/>
          </w:tcPr>
          <w:p>
            <w:pPr>
              <w:spacing w:after="0"/>
              <w:rPr>
                <w:sz w:val="19"/>
                <w:szCs w:val="19"/>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45227</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513 579-9911</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80"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20" w:type="dxa"/>
            <w:vAlign w:val="bottom"/>
            <w:gridSpan w:val="5"/>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315"/>
        </w:trPr>
        <w:tc>
          <w:tcPr>
            <w:tcW w:w="320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80" w:type="dxa"/>
            <w:vAlign w:val="bottom"/>
          </w:tcPr>
          <w:p>
            <w:pPr>
              <w:spacing w:after="0"/>
              <w:rPr>
                <w:sz w:val="20"/>
                <w:szCs w:val="20"/>
                <w:color w:val="auto"/>
              </w:rPr>
            </w:pPr>
          </w:p>
        </w:tc>
        <w:tc>
          <w:tcPr>
            <w:tcW w:w="3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MEDP</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On February 9, 2026, Medpace Holdings, Inc. (the “Company”) issued a press release announcing its financial results for the three and twelve months ended December 31, 2025. The full text of the press release was posted on the Company’s internet website and is furnished as Exhibit 99.1 hereto and incorporated herein by reference.</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2.02,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5"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No.Description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Borders>
              <w:top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February 9, 2026</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50"/>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spacing w:after="0" w:line="283" w:lineRule="exact"/>
        <w:rPr>
          <w:sz w:val="20"/>
          <w:szCs w:val="20"/>
          <w:color w:val="auto"/>
        </w:rPr>
      </w:pPr>
    </w:p>
    <w:p>
      <w:pPr>
        <w:ind w:left="20"/>
        <w:spacing w:after="0"/>
        <w:tabs>
          <w:tab w:leader="none" w:pos="620" w:val="left"/>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w:t>
        <w:tab/>
        <w:t>February 9, 2026</w:t>
      </w:r>
      <w:r>
        <w:rPr>
          <w:sz w:val="20"/>
          <w:szCs w:val="20"/>
          <w:color w:val="auto"/>
        </w:rPr>
        <w:tab/>
      </w:r>
      <w:r>
        <w:rPr>
          <w:rFonts w:ascii="Times New Roman" w:cs="Times New Roman" w:eastAsia="Times New Roman" w:hAnsi="Times New Roman"/>
          <w:sz w:val="18"/>
          <w:szCs w:val="18"/>
          <w:color w:val="auto"/>
        </w:rPr>
        <w:t>By:</w:t>
        <w:tab/>
        <w:t>/s/ Kevin M.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Kevin M. Brady, Chief Financial Officer</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85950"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Contact: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Lauren Morris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283-227-6409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l.morris@medpace.com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Maley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283-227-6367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m.maley@medpace.com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Medpace Holdings, Inc. Reports Fourth Quarter and Full Year 2025 Results</w:t>
      </w:r>
    </w:p>
    <w:p>
      <w:pPr>
        <w:spacing w:after="0" w:line="200" w:lineRule="exact"/>
        <w:rPr>
          <w:sz w:val="20"/>
          <w:szCs w:val="20"/>
          <w:color w:val="auto"/>
        </w:rPr>
      </w:pPr>
    </w:p>
    <w:p>
      <w:pPr>
        <w:spacing w:after="0" w:line="234" w:lineRule="exact"/>
        <w:rPr>
          <w:sz w:val="20"/>
          <w:szCs w:val="20"/>
          <w:color w:val="auto"/>
        </w:rPr>
      </w:pPr>
    </w:p>
    <w:p>
      <w:pPr>
        <w:ind w:left="420" w:right="260" w:hanging="412"/>
        <w:spacing w:after="0" w:line="280"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Revenue of $708.5 million in the fourth quarter of 2025 increased 32.0% from revenue of $536.6 million for the comparable prior-year period, representing a backlog conversion rate of 23.6%.</w:t>
      </w:r>
    </w:p>
    <w:p>
      <w:pPr>
        <w:spacing w:after="0" w:line="3" w:lineRule="exact"/>
        <w:rPr>
          <w:rFonts w:ascii="Arial" w:cs="Arial" w:eastAsia="Arial" w:hAnsi="Arial"/>
          <w:sz w:val="18"/>
          <w:szCs w:val="18"/>
          <w:color w:val="auto"/>
        </w:rPr>
      </w:pPr>
    </w:p>
    <w:p>
      <w:pPr>
        <w:ind w:left="420" w:right="220" w:hanging="412"/>
        <w:spacing w:after="0" w:line="280"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Net new business awards were $736.6 million in the fourth quarter of 2025, representing an increase of 39.1% from net new business awards of $529.7 million for the comparable prior-year period, which resulted in a net book-to-bill ratio of 1.04x.</w:t>
      </w:r>
    </w:p>
    <w:p>
      <w:pPr>
        <w:spacing w:after="0" w:line="3" w:lineRule="exact"/>
        <w:rPr>
          <w:rFonts w:ascii="Arial" w:cs="Arial" w:eastAsia="Arial" w:hAnsi="Arial"/>
          <w:sz w:val="18"/>
          <w:szCs w:val="18"/>
          <w:color w:val="auto"/>
        </w:rPr>
      </w:pPr>
    </w:p>
    <w:p>
      <w:pPr>
        <w:ind w:left="420" w:right="160" w:hanging="412"/>
        <w:spacing w:after="0" w:line="267"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Fourth quarter of 2025 GAAP net income was $135.1 million, or $4.67 per diluted share, versus GAAP net income of $117.0 million, or $3.67 per diluted share, for the comparable prior-year period. Net income margin was 19.1% and 21.8% for the fourth quarter of 2025 and 2024, respectively.</w:t>
      </w:r>
    </w:p>
    <w:p>
      <w:pPr>
        <w:spacing w:after="0" w:line="11" w:lineRule="exact"/>
        <w:rPr>
          <w:rFonts w:ascii="Arial" w:cs="Arial" w:eastAsia="Arial" w:hAnsi="Arial"/>
          <w:sz w:val="18"/>
          <w:szCs w:val="18"/>
          <w:color w:val="auto"/>
        </w:rPr>
      </w:pPr>
    </w:p>
    <w:p>
      <w:pPr>
        <w:ind w:left="420" w:right="40" w:hanging="412"/>
        <w:spacing w:after="0" w:line="285"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EBITDA was $160.2 million for the fourth quarter of 2025, an increase of 20.0% from EBITDA of $133.5 million for the comparable prior-year period, resulting in an EBITDA margin of 22.6%.</w:t>
      </w:r>
    </w:p>
    <w:p>
      <w:pPr>
        <w:spacing w:after="0" w:line="15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CINCINNATI, OHIO, February 9, 2026</w:t>
      </w:r>
      <w:r>
        <w:rPr>
          <w:rFonts w:ascii="Arial" w:cs="Arial" w:eastAsia="Arial" w:hAnsi="Arial"/>
          <w:sz w:val="18"/>
          <w:szCs w:val="18"/>
          <w:color w:val="auto"/>
        </w:rPr>
        <w:t>-- Medpace Holdings, Inc. (Nasdaq: MEDP) (“Medpace”)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and full year ended December 31,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2025 Financial Results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for the three months ended December 31, 2025 increased 32.0% to $708.5 million, compared to $536.6 million for the comparable prior-year period. On a constant currency basis, revenue for the fourth quarter of 2025 increased 31.4% compared to the fourth quarter of 2024.</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Backlog as of December 31, 2025 increased 4.3% to $3,027.2 million from $2,902.2 million as of December 31, 2024. Net new business awards were $736.6 million, representing a net book-to-bill ratio of 1.04x for the fourth quarter of 2025, as compared to $529.7 million for the comparable prior-year period. The Company calculates the net book-to-bill ratio by dividing net new business awards by revenue.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fourth quarter of 2025, total direct costs were $503.1 million, compared to total direct costs of $358.3 million in the fourth quarter of 2024. Selling, general and administrative (SG&amp;A) expenses were $44.9 million in the fourth quarter of 2025, compared to SG&amp;A expenses of $45.4 million in the fourth quarter of 2024.</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GAAP net income for the fourth quarter of 2025 was $ 135.1 million, or $ 4.67 per diluted share, versus GAAP net income of $117.0 million, or $3.67 per diluted share, for the fourth quarter of 2024. This resulted in a net income margin of 19.1% and 21.8% for the fourth quarter of 2025 and 2024, respectively.</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EBITDA for the fourth quarter of 2025 increased 20.0% to $160.2 million, or 22.6% of revenue, compared to $ 133.5 million, or 24.9% of revenue, for the comparable prior-year period. On a constant currency basis, EBITDA for the fourth quarter of 2025 increased 23.2% from the fourth quarter of 2024.</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8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Full Year 2025 Financial Results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for the year ended December 31, 2025 increased 20.0% to $ 2,530.2 million, compared to $2,109.1 million for the year ended December 31, 2024. On a constant currency basis, revenue increased 19.7% for the year ended December 31, 2025 compared to the year ended December 31, 2024.</w:t>
      </w:r>
    </w:p>
    <w:p>
      <w:pPr>
        <w:spacing w:after="0" w:line="17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For the year ended December 31, 2025, net new business awards were $2,646.8 million, representing a net book-to-bill ratio of 1.05x, compared to $2,230.0 million for the year ended December 31, 2024.</w:t>
      </w:r>
    </w:p>
    <w:p>
      <w:pPr>
        <w:spacing w:after="0" w:line="15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For the full year 2025, total direct costs were $1,769.6 million, compared to $1,452.7 million in the full year 2024. For the full year 2025, SG&amp;A expenses were $197.6 million, compared to $180.2 million for the full year 2024.</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GAAP net income for the full year 2025 was $451.1 million, or $15.28 per diluted share, versus GAAP net income of $404.4 million, or $12.63 per diluted share, for the full year 2024. This resulted in a net income margin of 17.8% and 19.2% for the full year 2025 and 2024, respectively.</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EBITDA for the full year 2025 increased 16.1% to $557.7 million, or 22.0% of revenue, compared to $480.2 million, or 22.8% of revenue, for the prior year. On a constant currency basis, EBITDA increased 17.6% for the full year 2025 compared to the full year 2024.</w:t>
      </w:r>
    </w:p>
    <w:p>
      <w:pPr>
        <w:spacing w:after="0" w:line="15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A reconciliation of the Company’s non-GAAP financial measures, including EBITDA and EBITDA margin to the corresponding GAAP measures is provided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Company’s Cash and cash equivalents were $497.0 million at December 31, 2025, and the Company generated $192.7 million in cash flow from operating activities during the fourth quarter of 2025.</w:t>
      </w:r>
    </w:p>
    <w:p>
      <w:pPr>
        <w:spacing w:after="0" w:line="18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the full year 2025, the Company repurchased 2,961,924 shares for a total of $912.9 million. There were no share repurchases in the fourth quarter of 2025. As of December 31, 2025, the Company had $821.7 million remaining under its authorized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Financial Guidance</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forecasts 2026 revenue in the range of $2.755 billion to $2.855 billion, representing growth of 8.9% to 12.8% over 2025 revenue of $2.530 billion. GAAP net income for full year 2026 is forecasted in the range of $487.0 million to $511.0 million. Additionally, full year 2026 EBITDA is expected in the range of $605.0 million to $635.0 million. Based on forecasted 2026 revenue of $ 2.755 billion to $ 2.855 billion and GAAP net income of $487.0 million to $511.0 million, diluted earnings per share (GAAP) is forecasted in the range of $16.68 to $17.50. This guidance assumes a full year 2026 tax rate of 18.5% to 19.5%, interest income of $24.3 million, foreign exchange rates as of December 31, 2025, and 29.2 million diluted weighted average shares outstanding. This guidance does not include the potential impact of any share repurchases the Company may make pursuant to the share repurchase program after December 31,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Medpace will host a conference call at 9:00 a.m. ET, Tuesday, February 10, 2026, to discuss its fourth quarter and full year 2025 results.</w:t>
      </w:r>
    </w:p>
    <w:p>
      <w:pPr>
        <w:spacing w:after="0" w:line="225"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To participate in the conference call, interested parties must register in advance by clicking on this link. While it is not required, it is recommended you join 10 minutes prior to the event start. Upon registration, all telephone participants will receive a confirmation email detailing how to join the conference call, including the dial-in number along with a unique PIN that can be used to access the call.</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access the conference call via webcast, visit the “Investors” section of Medpace’s website at medpace.com. The webcast replay of the call will be available at the same site approximately one hour after the end of the call. A supplemental slide presentation will also be available at the “Investors” section of Medpace’s website prior to the start of the call.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Medpace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Medpace is a scientifically-driven, global, full-service clinical contract research organization (CRO) providing Phase I-IV clinical development services to the biotechnology, pharmaceutical and medical device industries. Medpace’s mission is to accelerate the global development of safe and effective medical therapeutics through its high-science and disciplined operating approach that leverages regulatory and therapeutic expertise across all major areas including oncology, cardiology, metabolic disease, endocrinology, central nervous system and anti-viral and anti-infective. Headquartered in Cincinnati, Ohio, Medpace employs approximately 6,200 people across 46 countries as of December 31,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forecasted financial results and the effective tax rate used for non-GAAP adjustment purposes. In this context, forward-looking statements often address expected future business and financial performance and financial condition, and often contain words such as “guidance,” “expect,” “anticipate,” “intend,” “plan,” “believe,” “seek,” “see,” “will,” “would,” “target,” “forecast,” “may,” “could,” “likely,” “anticipate,” “project,” “goal,” “objective,” “potential,” “range,” “estimate,” “preliminary,” “opportunity,” “outlook,” “trend,” “can,” “might,” “drives,” “hope,” “future,” “predict” and similar expressions, and variations or negatives of these words. However, the absence of these words does not mean that a statement is not forward-looking.</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forward-looking statements are largely based on management’s current expectations and projections about future events and financial trends that we believe may affect, among other things, our financial condition, results of operations, business strategy, short-term and long-term business operations and objectives, and financial needs. These statements are neither promises nor guarantees, but involve known and unknown risks, uncertainties and other factors that may cause our financial condition, actual results, performance (including share price performance), or achievements to be materially different from any future results, performance or achievements expressed or implied by the forward-looking statements, including, but not limited to, the following: the potential loss, delay or non-renewal of our contracts, or the non-payment by customers for services we have performed; the failure to convert backlog to revenue at our present or historical conversion rate(s); the failure to maintain or generate new business awards; fluctuation in our results between fiscal quarters and years; the risks and uncertainties related to disruptions to or reductions in business operations or prospects due to pandemics, epidemics, widespread health emergencies, or outbreaks of infectious diseases; decreased operating margins due to increased pricing pressure or other factors; our failure to perform our services or operate our business in accordance with contractual requirements, government regulations and ethical considerations; the impact of underpricing our contracts, overrunning our cost estimates or failing to receive approval for or experiencing delays with documentation of change orders; the failure of third parties to provide us critical support services; our failure to increase our market share, grow our business, successfully execute our growth strategies or manage our growth effectively; the impact of a failure to retain key executives or other personnel or recruit qualified personnel; the risks associated with our information systems infrastructure, including potential cybersecurity breaches and other disruptions which could compromise patient information or our information; risks from use of machine learning and generative artificial intelligence (“AI”), including risks from insufficient human oversight of AI or lack of controls and procedures monitoring AI use; adverse results from customer or therapeutic area concentration; the risks associated with doing business internationally, including the effects of tariffs and trade wars; the risks associated with the Foreign Corrupt Practices Act and other anti-corruption laws; future net losses; the impact of changes in tax laws and regulations; our failure to attract suitable investigators and patients to our clinical trials; the liability risks associated with our research and development services, including risks of liability resulting from harm to patients; inadequate insurance coverage for our operations and indemnification obligations; fluctuations in exchange rates; general economic conditions, including inflation, in the markets in which we and our customers operate, including financial market conditions; the impact of unfavorable economic conditions, including conditions caused by the uncertain international economic environment and current and future international conflicts; the impact of a natural disaster or other catastrophic event; negative outsourcing trends in the biopharmaceutical industry and a reduction in aggregate expenditures and research and development budgets; our inability to compete effectively with other CROs; the impact of healthcare reform; the impact of consolidation in the biopharmaceutical industry; our failure to comply with federal, state and foreign healthcare laws; the effect of current and proposed laws and regulations regarding the protection of personal data; our potential involvement in costly intellectual property lawsuits; actions by regulatory authorities or customers to limit the scope of indications related to or withdraw an approved drug, biologic or medical device from the market; and the impact of industry-wide reputational harm to CROs.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85" w:right="33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t>These and other factors discussed under the caption “Risk Factors” in Item 1A, Part I of our Annual Report on Form 10-K filed with the Securities and Exchange Commission, or SEC, and our other reports filed with the SEC could cause actual results to differ materially from those indicated by the forward-looking statements made in this press release. We cannot guarantee that any forward-looking statement will be realized. Achievement of anticipated results is subject to substantial risks, uncertainties and inaccurate assumptions. If known or unknown risks or uncertainties materialize or if underlying assumptions prove inaccurate, actual results could vary materially from past results and those anticipated, estimated or projected. These factors should not be construed as exhaustive and should be read in conjunction with the other cautionary statements that are included in this release and in our filings with the SEC. Any such forward-looking statements represent management’s estimates as of the date of this press release. While we may elect to update such forward-looking statements at some point in the future, we disclaim any obligation to do so, even if subsequent events, developments or circumstances cause our views to change. These forward-looking statements should not be relied upon as representing our views as of any date subsequent to the date of this press release.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financial measures presented in this press release, such as EBITDA and EBITDA margin, are not recognized under generally accepted accounting principles in the United States of America, or U.S. GAAP. Management uses EBITDA and EBITDA margin or comparable metrics as a measurement used in evaluating our operating performance on a consistent basis, as a consideration to assess incentive compensation for our employees, for planning purposes, including the preparation of our internal annual operating budget, and to evaluate the performance and effectiveness of our operational strategies.</w:t>
      </w:r>
    </w:p>
    <w:p>
      <w:pPr>
        <w:spacing w:after="0" w:line="1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EBITDA and EBITDA margin have important limitations as analytical tools and you should not consider them in isolation, or as a substitute for, analysis of our results as reported under U.S. GAAP. See the condensed consolidated financial statements included elsewhere in this release for our U.S. GAAP results. Additionally, for reconciliations of EBITDA and EBITDA margin to our closest reported U.S. GAAP measures, refer to the appendix of this press release.</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EBITDA and EBITDA margin are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EBITDA margin may not be comparable to other similarly titled measures of other companies and should not be considered as an alternative to performance measures derived in accordance with U.S. GAAP. EBITDA is calculated as net income attributable to Medpace Holdings, Inc. before income tax expense, interest (income) expense, net, depreciation and amortization. EBITDA margin is calculated by dividing EBITDA by Revenue, net for each period. Our presentation of EBITDA and EBITDA margin should not be construed as an inference that our future results will be unaffected by unusual or non-recurring items.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98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9"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left="651"/>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 in thousands, except per share amounts)</w:t>
            </w:r>
          </w:p>
        </w:tc>
        <w:tc>
          <w:tcPr>
            <w:tcW w:w="120" w:type="dxa"/>
            <w:vAlign w:val="bottom"/>
          </w:tcPr>
          <w:p>
            <w:pPr>
              <w:spacing w:after="0"/>
              <w:rPr>
                <w:sz w:val="20"/>
                <w:szCs w:val="20"/>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0"/>
                <w:szCs w:val="20"/>
                <w:color w:val="auto"/>
              </w:rPr>
            </w:pPr>
          </w:p>
        </w:tc>
        <w:tc>
          <w:tcPr>
            <w:tcW w:w="23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7"/>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December 31,</w:t>
            </w:r>
          </w:p>
        </w:tc>
        <w:tc>
          <w:tcPr>
            <w:tcW w:w="240" w:type="dxa"/>
            <w:vAlign w:val="bottom"/>
          </w:tcPr>
          <w:p>
            <w:pPr>
              <w:spacing w:after="0"/>
              <w:rPr>
                <w:sz w:val="21"/>
                <w:szCs w:val="21"/>
                <w:color w:val="auto"/>
              </w:rPr>
            </w:pPr>
          </w:p>
        </w:tc>
        <w:tc>
          <w:tcPr>
            <w:tcW w:w="23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708,450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2,109,054</w:t>
            </w:r>
          </w:p>
        </w:tc>
        <w:tc>
          <w:tcPr>
            <w:tcW w:w="0" w:type="dxa"/>
            <w:vAlign w:val="bottom"/>
          </w:tcPr>
          <w:p>
            <w:pPr>
              <w:spacing w:after="0"/>
              <w:rPr>
                <w:sz w:val="1"/>
                <w:szCs w:val="1"/>
                <w:color w:val="auto"/>
              </w:rPr>
            </w:pPr>
          </w:p>
        </w:tc>
      </w:tr>
      <w:tr>
        <w:trPr>
          <w:trHeight w:val="241"/>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service costs, excluding depreciation and</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682,095</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Reimbursed out-of-pocket expenses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320,983</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1,037,488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770,654</w:t>
            </w:r>
          </w:p>
        </w:tc>
        <w:tc>
          <w:tcPr>
            <w:tcW w:w="0" w:type="dxa"/>
            <w:vAlign w:val="bottom"/>
          </w:tcPr>
          <w:p>
            <w:pPr>
              <w:spacing w:after="0"/>
              <w:rPr>
                <w:sz w:val="1"/>
                <w:szCs w:val="1"/>
                <w:color w:val="auto"/>
              </w:rPr>
            </w:pPr>
          </w:p>
        </w:tc>
      </w:tr>
      <w:tr>
        <w:trPr>
          <w:trHeight w:val="239"/>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direct costs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503,134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1,769,616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1,452,749</w:t>
            </w:r>
          </w:p>
        </w:tc>
        <w:tc>
          <w:tcPr>
            <w:tcW w:w="0" w:type="dxa"/>
            <w:vAlign w:val="bottom"/>
          </w:tcPr>
          <w:p>
            <w:pPr>
              <w:spacing w:after="0"/>
              <w:rPr>
                <w:sz w:val="1"/>
                <w:szCs w:val="1"/>
                <w:color w:val="auto"/>
              </w:rPr>
            </w:pPr>
          </w:p>
        </w:tc>
      </w:tr>
      <w:tr>
        <w:trPr>
          <w:trHeight w:val="241"/>
        </w:trPr>
        <w:tc>
          <w:tcPr>
            <w:tcW w:w="49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44,916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197,559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180,184</w:t>
            </w:r>
          </w:p>
        </w:tc>
        <w:tc>
          <w:tcPr>
            <w:tcW w:w="0" w:type="dxa"/>
            <w:vAlign w:val="bottom"/>
          </w:tcPr>
          <w:p>
            <w:pPr>
              <w:spacing w:after="0"/>
              <w:rPr>
                <w:sz w:val="1"/>
                <w:szCs w:val="1"/>
                <w:color w:val="auto"/>
              </w:rPr>
            </w:pPr>
          </w:p>
        </w:tc>
      </w:tr>
      <w:tr>
        <w:trPr>
          <w:trHeight w:val="245"/>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9"/>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555,181</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411,211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1,995,299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1,662,184</w:t>
            </w: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153,269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125,378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534,935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446,870</w:t>
            </w:r>
          </w:p>
        </w:tc>
        <w:tc>
          <w:tcPr>
            <w:tcW w:w="0" w:type="dxa"/>
            <w:vAlign w:val="bottom"/>
          </w:tcPr>
          <w:p>
            <w:pPr>
              <w:spacing w:after="0"/>
              <w:rPr>
                <w:sz w:val="1"/>
                <w:szCs w:val="1"/>
                <w:color w:val="auto"/>
              </w:rPr>
            </w:pPr>
          </w:p>
        </w:tc>
      </w:tr>
      <w:tr>
        <w:trPr>
          <w:trHeight w:val="24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960" w:type="dxa"/>
            <w:vAlign w:val="bottom"/>
          </w:tcPr>
          <w:p>
            <w:pPr>
              <w:ind w:left="180"/>
              <w:spacing w:after="0"/>
              <w:rPr>
                <w:sz w:val="20"/>
                <w:szCs w:val="20"/>
                <w:color w:val="auto"/>
              </w:rPr>
            </w:pPr>
            <w:r>
              <w:rPr>
                <w:rFonts w:ascii="Arial" w:cs="Arial" w:eastAsia="Arial" w:hAnsi="Arial"/>
                <w:sz w:val="18"/>
                <w:szCs w:val="18"/>
                <w:color w:val="auto"/>
              </w:rPr>
              <w:t>Miscellaneous (expense) income, net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45"/>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24,996</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3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156,833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475,922</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21,700</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71,536</w:t>
            </w:r>
          </w:p>
        </w:tc>
        <w:tc>
          <w:tcPr>
            <w:tcW w:w="0" w:type="dxa"/>
            <w:vAlign w:val="bottom"/>
          </w:tcPr>
          <w:p>
            <w:pPr>
              <w:spacing w:after="0"/>
              <w:rPr>
                <w:sz w:val="1"/>
                <w:szCs w:val="1"/>
                <w:color w:val="auto"/>
              </w:rPr>
            </w:pPr>
          </w:p>
        </w:tc>
      </w:tr>
      <w:tr>
        <w:trPr>
          <w:trHeight w:val="262"/>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135,133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404,386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common shareholders: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41"/>
        </w:trPr>
        <w:tc>
          <w:tcPr>
            <w:tcW w:w="4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96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30,957</w:t>
            </w:r>
          </w:p>
        </w:tc>
        <w:tc>
          <w:tcPr>
            <w:tcW w:w="0" w:type="dxa"/>
            <w:vAlign w:val="bottom"/>
          </w:tcPr>
          <w:p>
            <w:pPr>
              <w:spacing w:after="0"/>
              <w:rPr>
                <w:sz w:val="1"/>
                <w:szCs w:val="1"/>
                <w:color w:val="auto"/>
              </w:rPr>
            </w:pPr>
          </w:p>
        </w:tc>
      </w:tr>
      <w:tr>
        <w:trPr>
          <w:trHeight w:val="245"/>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32,014</w:t>
            </w:r>
          </w:p>
        </w:tc>
        <w:tc>
          <w:tcPr>
            <w:tcW w:w="0" w:type="dxa"/>
            <w:vAlign w:val="bottom"/>
          </w:tcPr>
          <w:p>
            <w:pPr>
              <w:spacing w:after="0"/>
              <w:rPr>
                <w:sz w:val="1"/>
                <w:szCs w:val="1"/>
                <w:color w:val="auto"/>
              </w:rPr>
            </w:pPr>
          </w:p>
        </w:tc>
      </w:tr>
      <w:tr>
        <w:trPr>
          <w:trHeight w:val="747"/>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31"/>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944" w:right="8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7" w:lineRule="exact"/>
        <w:rPr>
          <w:sz w:val="20"/>
          <w:szCs w:val="20"/>
          <w:color w:val="auto"/>
        </w:rPr>
      </w:pPr>
    </w:p>
    <w:tbl>
      <w:tblPr>
        <w:tblLayout w:type="fixed"/>
        <w:tblInd w:w="480" w:type="dxa"/>
        <w:tblCellMar>
          <w:top w:w="0" w:type="dxa"/>
          <w:left w:w="0" w:type="dxa"/>
          <w:bottom w:w="0" w:type="dxa"/>
          <w:right w:w="0" w:type="dxa"/>
        </w:tblCellMar>
      </w:tblPr>
      <w:tr>
        <w:trPr>
          <w:trHeight w:val="194"/>
        </w:trPr>
        <w:tc>
          <w:tcPr>
            <w:tcW w:w="7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 in thousands, except share amounts)</w:t>
            </w:r>
          </w:p>
        </w:tc>
        <w:tc>
          <w:tcPr>
            <w:tcW w:w="240" w:type="dxa"/>
            <w:vAlign w:val="bottom"/>
          </w:tcPr>
          <w:p>
            <w:pPr>
              <w:spacing w:after="0"/>
              <w:rPr>
                <w:sz w:val="16"/>
                <w:szCs w:val="16"/>
                <w:color w:val="auto"/>
              </w:rPr>
            </w:pPr>
          </w:p>
        </w:tc>
        <w:tc>
          <w:tcPr>
            <w:tcW w:w="2380" w:type="dxa"/>
            <w:vAlign w:val="bottom"/>
            <w:gridSpan w:val="4"/>
            <w:vMerge w:val="restart"/>
          </w:tcPr>
          <w:p>
            <w:pPr>
              <w:jc w:val="right"/>
              <w:ind w:right="3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6"/>
        </w:trPr>
        <w:tc>
          <w:tcPr>
            <w:tcW w:w="7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669,436</w:t>
            </w:r>
          </w:p>
        </w:tc>
        <w:tc>
          <w:tcPr>
            <w:tcW w:w="0" w:type="dxa"/>
            <w:vAlign w:val="bottom"/>
          </w:tcPr>
          <w:p>
            <w:pPr>
              <w:spacing w:after="0"/>
              <w:rPr>
                <w:sz w:val="1"/>
                <w:szCs w:val="1"/>
                <w:color w:val="auto"/>
              </w:rPr>
            </w:pPr>
          </w:p>
        </w:tc>
      </w:tr>
      <w:tr>
        <w:trPr>
          <w:trHeight w:val="229"/>
        </w:trPr>
        <w:tc>
          <w:tcPr>
            <w:tcW w:w="7660" w:type="dxa"/>
            <w:vAlign w:val="bottom"/>
          </w:tcPr>
          <w:p>
            <w:pPr>
              <w:ind w:left="180"/>
              <w:spacing w:after="0"/>
              <w:rPr>
                <w:sz w:val="20"/>
                <w:szCs w:val="20"/>
                <w:color w:val="auto"/>
              </w:rPr>
            </w:pPr>
            <w:r>
              <w:rPr>
                <w:rFonts w:ascii="Arial" w:cs="Arial" w:eastAsia="Arial" w:hAnsi="Arial"/>
                <w:sz w:val="18"/>
                <w:szCs w:val="18"/>
                <w:color w:val="auto"/>
              </w:rPr>
              <w:t>Accounts receivable and unbilled,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296,443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63,350</w:t>
            </w:r>
          </w:p>
        </w:tc>
        <w:tc>
          <w:tcPr>
            <w:tcW w:w="0" w:type="dxa"/>
            <w:vAlign w:val="bottom"/>
          </w:tcPr>
          <w:p>
            <w:pPr>
              <w:spacing w:after="0"/>
              <w:rPr>
                <w:sz w:val="1"/>
                <w:szCs w:val="1"/>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1,029,229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123,615</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128,649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662,396</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34,366</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100,357</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2,100,866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32,528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307,807</w:t>
            </w:r>
          </w:p>
        </w:tc>
        <w:tc>
          <w:tcPr>
            <w:tcW w:w="0" w:type="dxa"/>
            <w:vAlign w:val="bottom"/>
          </w:tcPr>
          <w:p>
            <w:pPr>
              <w:spacing w:after="0"/>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Advanced billings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854,390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710,585</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53,633</w:t>
            </w:r>
          </w:p>
        </w:tc>
        <w:tc>
          <w:tcPr>
            <w:tcW w:w="0" w:type="dxa"/>
            <w:vAlign w:val="bottom"/>
          </w:tcPr>
          <w:p>
            <w:pPr>
              <w:spacing w:after="0"/>
              <w:rPr>
                <w:sz w:val="1"/>
                <w:szCs w:val="1"/>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1,343,748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1,104,553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126,234</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Deferred income tax liability</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0" w:type="dxa"/>
            <w:vAlign w:val="bottom"/>
          </w:tcPr>
          <w:p>
            <w:pPr>
              <w:spacing w:after="0"/>
              <w:rPr>
                <w:sz w:val="1"/>
                <w:szCs w:val="1"/>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1,516,401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1,275,321</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Preferred stock - $0.01 par-value; 5,000,000 shares authorized; no shares issued and</w:t>
            </w: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2025 and 2024</w:t>
            </w: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660" w:type="dxa"/>
            <w:vAlign w:val="bottom"/>
          </w:tcPr>
          <w:p>
            <w:pPr>
              <w:ind w:left="180"/>
              <w:spacing w:after="0" w:line="183" w:lineRule="exact"/>
              <w:rPr>
                <w:sz w:val="20"/>
                <w:szCs w:val="20"/>
                <w:color w:val="auto"/>
              </w:rPr>
            </w:pPr>
            <w:r>
              <w:rPr>
                <w:rFonts w:ascii="Arial" w:cs="Arial" w:eastAsia="Arial" w:hAnsi="Arial"/>
                <w:sz w:val="18"/>
                <w:szCs w:val="18"/>
                <w:color w:val="auto"/>
              </w:rPr>
              <w:t>Common stock - $0.01 par-value; 250,000,000 shares authorized at December 31, 2025 and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340"/>
              <w:spacing w:after="0" w:line="181" w:lineRule="exact"/>
              <w:rPr>
                <w:sz w:val="20"/>
                <w:szCs w:val="20"/>
                <w:color w:val="auto"/>
              </w:rPr>
            </w:pPr>
            <w:r>
              <w:rPr>
                <w:rFonts w:ascii="Arial" w:cs="Arial" w:eastAsia="Arial" w:hAnsi="Arial"/>
                <w:sz w:val="18"/>
                <w:szCs w:val="18"/>
                <w:color w:val="auto"/>
              </w:rPr>
              <w:t>2024; 28,370,780 and 30,630,799 shares issued and outstanding at December 31, 2025</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and 2024, respectively</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- 69,623 and 70,073 shares at December 31, 2025 and 2024, respectively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29"/>
        </w:trPr>
        <w:tc>
          <w:tcPr>
            <w:tcW w:w="7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935,830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844,050</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 retained earnings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825,545</w:t>
            </w:r>
          </w:p>
        </w:tc>
        <w:tc>
          <w:tcPr>
            <w:tcW w:w="0" w:type="dxa"/>
            <w:vAlign w:val="bottom"/>
          </w:tcPr>
          <w:p>
            <w:pPr>
              <w:spacing w:after="0"/>
              <w:rPr>
                <w:sz w:val="1"/>
                <w:szCs w:val="1"/>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1,975,472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2,100,866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10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7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944" w:right="8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7" w:lineRule="exact"/>
        <w:rPr>
          <w:sz w:val="20"/>
          <w:szCs w:val="20"/>
          <w:color w:val="auto"/>
        </w:rPr>
      </w:pPr>
    </w:p>
    <w:tbl>
      <w:tblPr>
        <w:tblLayout w:type="fixed"/>
        <w:tblInd w:w="480" w:type="dxa"/>
        <w:tblCellMar>
          <w:top w:w="0" w:type="dxa"/>
          <w:left w:w="0" w:type="dxa"/>
          <w:bottom w:w="0" w:type="dxa"/>
          <w:right w:w="0" w:type="dxa"/>
        </w:tblCellMar>
      </w:tblPr>
      <w:tr>
        <w:trPr>
          <w:trHeight w:val="218"/>
        </w:trPr>
        <w:tc>
          <w:tcPr>
            <w:tcW w:w="7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240" w:type="dxa"/>
            <w:vAlign w:val="bottom"/>
          </w:tcPr>
          <w:p>
            <w:pPr>
              <w:spacing w:after="0"/>
              <w:rPr>
                <w:sz w:val="18"/>
                <w:szCs w:val="18"/>
                <w:color w:val="auto"/>
              </w:rPr>
            </w:pPr>
          </w:p>
        </w:tc>
        <w:tc>
          <w:tcPr>
            <w:tcW w:w="23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7"/>
        </w:trPr>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451,123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404,386</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27,808</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1"/>
        </w:trPr>
        <w:tc>
          <w:tcPr>
            <w:tcW w:w="76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25,514</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0" w:type="dxa"/>
            <w:vAlign w:val="bottom"/>
          </w:tcPr>
          <w:p>
            <w:pPr>
              <w:spacing w:after="0"/>
              <w:rPr>
                <w:sz w:val="1"/>
                <w:szCs w:val="1"/>
                <w:color w:val="auto"/>
              </w:rPr>
            </w:pPr>
          </w:p>
        </w:tc>
      </w:tr>
      <w:tr>
        <w:trPr>
          <w:trHeight w:val="241"/>
        </w:trPr>
        <w:tc>
          <w:tcPr>
            <w:tcW w:w="7660" w:type="dxa"/>
            <w:vAlign w:val="bottom"/>
          </w:tcPr>
          <w:p>
            <w:pPr>
              <w:ind w:left="340"/>
              <w:spacing w:after="0"/>
              <w:rPr>
                <w:sz w:val="20"/>
                <w:szCs w:val="20"/>
                <w:color w:val="auto"/>
              </w:rPr>
            </w:pPr>
            <w:r>
              <w:rPr>
                <w:rFonts w:ascii="Arial" w:cs="Arial" w:eastAsia="Arial" w:hAnsi="Arial"/>
                <w:sz w:val="18"/>
                <w:szCs w:val="18"/>
                <w:color w:val="auto"/>
              </w:rPr>
              <w:t>Deferred income tax provision (benefit)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(26,632)</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41"/>
        </w:trPr>
        <w:tc>
          <w:tcPr>
            <w:tcW w:w="766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and unbilled, net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41"/>
        </w:trPr>
        <w:tc>
          <w:tcPr>
            <w:tcW w:w="76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(12,090)</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41"/>
        </w:trPr>
        <w:tc>
          <w:tcPr>
            <w:tcW w:w="76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Advanced billings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150,725</w:t>
            </w:r>
          </w:p>
        </w:tc>
        <w:tc>
          <w:tcPr>
            <w:tcW w:w="0" w:type="dxa"/>
            <w:vAlign w:val="bottom"/>
          </w:tcPr>
          <w:p>
            <w:pPr>
              <w:spacing w:after="0"/>
              <w:rPr>
                <w:sz w:val="1"/>
                <w:szCs w:val="1"/>
                <w:color w:val="auto"/>
              </w:rPr>
            </w:pPr>
          </w:p>
        </w:tc>
      </w:tr>
      <w:tr>
        <w:trPr>
          <w:trHeight w:val="241"/>
        </w:trPr>
        <w:tc>
          <w:tcPr>
            <w:tcW w:w="7660" w:type="dxa"/>
            <w:vAlign w:val="bottom"/>
          </w:tcPr>
          <w:p>
            <w:pPr>
              <w:ind w:left="3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(21,407)</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liabilities, net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23,794</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608,815</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180"/>
              <w:spacing w:after="0"/>
              <w:rPr>
                <w:sz w:val="20"/>
                <w:szCs w:val="20"/>
                <w:color w:val="auto"/>
              </w:rPr>
            </w:pPr>
            <w:r>
              <w:rPr>
                <w:rFonts w:ascii="Arial" w:cs="Arial" w:eastAsia="Arial" w:hAnsi="Arial"/>
                <w:sz w:val="18"/>
                <w:szCs w:val="18"/>
                <w:color w:val="auto"/>
              </w:rPr>
              <w:t>Property and equipment expenditures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(36,548)</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(28,308)</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15,858</w:t>
            </w:r>
          </w:p>
        </w:tc>
        <w:tc>
          <w:tcPr>
            <w:tcW w:w="0" w:type="dxa"/>
            <w:vAlign w:val="bottom"/>
          </w:tcPr>
          <w:p>
            <w:pPr>
              <w:spacing w:after="0"/>
              <w:rPr>
                <w:sz w:val="1"/>
                <w:szCs w:val="1"/>
                <w:color w:val="auto"/>
              </w:rPr>
            </w:pPr>
          </w:p>
        </w:tc>
      </w:tr>
      <w:tr>
        <w:trPr>
          <w:trHeight w:val="245"/>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(917,389)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(169,867)</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(860,388)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(154,009)</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CASH EQUIVALENTS, AND RESTRICTED</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65"/>
        </w:trPr>
        <w:tc>
          <w:tcPr>
            <w:tcW w:w="766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(172,387)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423,987</w:t>
            </w:r>
          </w:p>
        </w:tc>
        <w:tc>
          <w:tcPr>
            <w:tcW w:w="0" w:type="dxa"/>
            <w:vAlign w:val="bottom"/>
          </w:tcPr>
          <w:p>
            <w:pPr>
              <w:spacing w:after="0"/>
              <w:rPr>
                <w:sz w:val="1"/>
                <w:szCs w:val="1"/>
                <w:color w:val="auto"/>
              </w:rPr>
            </w:pPr>
          </w:p>
        </w:tc>
      </w:tr>
      <w:tr>
        <w:trPr>
          <w:trHeight w:val="24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669,436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245,449</w:t>
            </w:r>
          </w:p>
        </w:tc>
        <w:tc>
          <w:tcPr>
            <w:tcW w:w="0" w:type="dxa"/>
            <w:vAlign w:val="bottom"/>
          </w:tcPr>
          <w:p>
            <w:pPr>
              <w:spacing w:after="0"/>
              <w:rPr>
                <w:sz w:val="1"/>
                <w:szCs w:val="1"/>
                <w:color w:val="auto"/>
              </w:rPr>
            </w:pPr>
          </w:p>
        </w:tc>
      </w:tr>
      <w:tr>
        <w:trPr>
          <w:trHeight w:val="232"/>
        </w:trPr>
        <w:tc>
          <w:tcPr>
            <w:tcW w:w="7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497,049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669,436</w:t>
            </w:r>
          </w:p>
        </w:tc>
        <w:tc>
          <w:tcPr>
            <w:tcW w:w="0" w:type="dxa"/>
            <w:vAlign w:val="bottom"/>
          </w:tcPr>
          <w:p>
            <w:pPr>
              <w:spacing w:after="0"/>
              <w:rPr>
                <w:sz w:val="1"/>
                <w:szCs w:val="1"/>
                <w:color w:val="auto"/>
              </w:rPr>
            </w:pPr>
          </w:p>
        </w:tc>
      </w:tr>
      <w:tr>
        <w:trPr>
          <w:trHeight w:val="25"/>
        </w:trPr>
        <w:tc>
          <w:tcPr>
            <w:tcW w:w="7660" w:type="dxa"/>
            <w:vAlign w:val="bottom"/>
            <w:vMerge w:val="restart"/>
          </w:tcPr>
          <w:p>
            <w:pPr>
              <w:ind w:left="510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0"/>
        </w:trPr>
        <w:tc>
          <w:tcPr>
            <w:tcW w:w="7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944" w:right="8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 in thousands, except percentages)</w:t>
            </w:r>
          </w:p>
        </w:tc>
        <w:tc>
          <w:tcPr>
            <w:tcW w:w="2920" w:type="dxa"/>
            <w:vAlign w:val="bottom"/>
            <w:gridSpan w:val="9"/>
          </w:tcPr>
          <w:p>
            <w:pPr>
              <w:ind w:left="60"/>
              <w:spacing w:after="0"/>
              <w:rPr>
                <w:sz w:val="20"/>
                <w:szCs w:val="20"/>
                <w:color w:val="auto"/>
              </w:rPr>
            </w:pPr>
            <w:r>
              <w:rPr>
                <w:rFonts w:ascii="Arial" w:cs="Arial" w:eastAsia="Arial" w:hAnsi="Arial"/>
                <w:sz w:val="18"/>
                <w:szCs w:val="18"/>
                <w:b w:val="1"/>
                <w:bCs w:val="1"/>
                <w:color w:val="auto"/>
              </w:rPr>
              <w:t>Three Months Ended December</w:t>
            </w:r>
          </w:p>
        </w:tc>
        <w:tc>
          <w:tcPr>
            <w:tcW w:w="2820" w:type="dxa"/>
            <w:vAlign w:val="bottom"/>
            <w:gridSpan w:val="9"/>
          </w:tcPr>
          <w:p>
            <w:pPr>
              <w:ind w:left="20"/>
              <w:spacing w:after="0"/>
              <w:rPr>
                <w:sz w:val="20"/>
                <w:szCs w:val="20"/>
                <w:color w:val="auto"/>
              </w:rPr>
            </w:pPr>
            <w:r>
              <w:rPr>
                <w:rFonts w:ascii="Arial" w:cs="Arial" w:eastAsia="Arial" w:hAnsi="Arial"/>
                <w:sz w:val="18"/>
                <w:szCs w:val="18"/>
                <w:b w:val="1"/>
                <w:bCs w:val="1"/>
                <w:color w:val="auto"/>
                <w:w w:val="98"/>
              </w:rPr>
              <w:t>Twelve Months Ended December</w:t>
            </w:r>
          </w:p>
        </w:tc>
      </w:tr>
      <w:tr>
        <w:trPr>
          <w:trHeight w:val="247"/>
        </w:trPr>
        <w:tc>
          <w:tcPr>
            <w:tcW w:w="48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7"/>
        </w:trPr>
        <w:tc>
          <w:tcPr>
            <w:tcW w:w="480" w:type="dxa"/>
            <w:vAlign w:val="bottom"/>
          </w:tcPr>
          <w:p>
            <w:pPr>
              <w:spacing w:after="0"/>
              <w:rPr>
                <w:sz w:val="22"/>
                <w:szCs w:val="22"/>
                <w:color w:val="auto"/>
              </w:rPr>
            </w:pPr>
          </w:p>
        </w:tc>
        <w:tc>
          <w:tcPr>
            <w:tcW w:w="45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05"/>
        </w:trPr>
        <w:tc>
          <w:tcPr>
            <w:tcW w:w="480" w:type="dxa"/>
            <w:vAlign w:val="bottom"/>
          </w:tcPr>
          <w:p>
            <w:pPr>
              <w:spacing w:after="0"/>
              <w:rPr>
                <w:sz w:val="17"/>
                <w:szCs w:val="17"/>
                <w:color w:val="auto"/>
              </w:rPr>
            </w:pPr>
          </w:p>
        </w:tc>
        <w:tc>
          <w:tcPr>
            <w:tcW w:w="4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RECONCILIATION OF GAAP NET INCOME TO</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62"/>
        </w:trPr>
        <w:tc>
          <w:tcPr>
            <w:tcW w:w="480" w:type="dxa"/>
            <w:vAlign w:val="bottom"/>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48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Net income (GAAP)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135,133</w:t>
            </w: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98"/>
              </w:rPr>
              <w:t>117,018</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451,123</w:t>
            </w:r>
          </w:p>
        </w:tc>
        <w:tc>
          <w:tcPr>
            <w:tcW w:w="100" w:type="dxa"/>
            <w:vAlign w:val="bottom"/>
          </w:tcPr>
          <w:p>
            <w:pPr>
              <w:spacing w:after="0"/>
              <w:rPr>
                <w:sz w:val="21"/>
                <w:szCs w:val="21"/>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404,386</w:t>
            </w:r>
          </w:p>
        </w:tc>
      </w:tr>
      <w:tr>
        <w:trPr>
          <w:trHeight w:val="243"/>
        </w:trPr>
        <w:tc>
          <w:tcPr>
            <w:tcW w:w="480" w:type="dxa"/>
            <w:vAlign w:val="bottom"/>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(12,780)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(24,996)</w:t>
            </w:r>
          </w:p>
        </w:tc>
      </w:tr>
      <w:tr>
        <w:trPr>
          <w:trHeight w:val="243"/>
        </w:trPr>
        <w:tc>
          <w:tcPr>
            <w:tcW w:w="48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16,864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91,254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71,536</w:t>
            </w:r>
          </w:p>
        </w:tc>
      </w:tr>
      <w:tr>
        <w:trPr>
          <w:trHeight w:val="243"/>
        </w:trPr>
        <w:tc>
          <w:tcPr>
            <w:tcW w:w="480" w:type="dxa"/>
            <w:vAlign w:val="bottom"/>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27,178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27,808</w:t>
            </w:r>
          </w:p>
        </w:tc>
      </w:tr>
      <w:tr>
        <w:trPr>
          <w:trHeight w:val="243"/>
        </w:trPr>
        <w:tc>
          <w:tcPr>
            <w:tcW w:w="480" w:type="dxa"/>
            <w:vAlign w:val="bottom"/>
          </w:tcPr>
          <w:p>
            <w:pPr>
              <w:spacing w:after="0"/>
              <w:rPr>
                <w:sz w:val="21"/>
                <w:szCs w:val="21"/>
                <w:color w:val="auto"/>
              </w:rPr>
            </w:pPr>
          </w:p>
        </w:tc>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1,443</w:t>
            </w:r>
          </w:p>
        </w:tc>
      </w:tr>
      <w:tr>
        <w:trPr>
          <w:trHeight w:val="223"/>
        </w:trPr>
        <w:tc>
          <w:tcPr>
            <w:tcW w:w="48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(Non-GAAP)</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8"/>
              </w:rPr>
              <w:t>133,505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557,721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480,177</w:t>
            </w:r>
          </w:p>
        </w:tc>
      </w:tr>
      <w:tr>
        <w:trPr>
          <w:trHeight w:val="230"/>
        </w:trPr>
        <w:tc>
          <w:tcPr>
            <w:tcW w:w="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Net income margin (GAAP)</w:t>
            </w: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19.2 %</w:t>
            </w:r>
          </w:p>
        </w:tc>
      </w:tr>
      <w:tr>
        <w:trPr>
          <w:trHeight w:val="229"/>
        </w:trPr>
        <w:tc>
          <w:tcPr>
            <w:tcW w:w="48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margin (Non-GAAP)</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538"/>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FY 2026 GUIDANCE RECONCILIATION (UNAUDITED)</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1"/>
        </w:trPr>
        <w:tc>
          <w:tcPr>
            <w:tcW w:w="48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 in millions, except per share amounts)</w:t>
            </w:r>
          </w:p>
        </w:tc>
        <w:tc>
          <w:tcPr>
            <w:tcW w:w="4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8"/>
                <w:szCs w:val="18"/>
                <w:b w:val="1"/>
                <w:bCs w:val="1"/>
                <w:color w:val="auto"/>
              </w:rPr>
              <w:t>Forecast 2026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4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Net income per diluted share</w:t>
            </w:r>
          </w:p>
        </w:tc>
      </w:tr>
      <w:tr>
        <w:trPr>
          <w:trHeight w:val="223"/>
        </w:trPr>
        <w:tc>
          <w:tcPr>
            <w:tcW w:w="4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5"/>
          </w:tcPr>
          <w:p>
            <w:pPr>
              <w:ind w:left="44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9"/>
                <w:szCs w:val="19"/>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Low</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High</w:t>
            </w:r>
          </w:p>
        </w:tc>
      </w:tr>
      <w:tr>
        <w:trPr>
          <w:trHeight w:val="223"/>
        </w:trPr>
        <w:tc>
          <w:tcPr>
            <w:tcW w:w="480" w:type="dxa"/>
            <w:vAlign w:val="bottom"/>
          </w:tcPr>
          <w:p>
            <w:pPr>
              <w:spacing w:after="0"/>
              <w:rPr>
                <w:sz w:val="19"/>
                <w:szCs w:val="19"/>
                <w:color w:val="auto"/>
              </w:rPr>
            </w:pPr>
          </w:p>
        </w:tc>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net income per diluted share (GAAP)</w:t>
            </w:r>
          </w:p>
        </w:tc>
        <w:tc>
          <w:tcPr>
            <w:tcW w:w="4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487.0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480" w:type="dxa"/>
            <w:vAlign w:val="bottom"/>
          </w:tcPr>
          <w:p>
            <w:pPr>
              <w:spacing w:after="0"/>
              <w:rPr>
                <w:sz w:val="19"/>
                <w:szCs w:val="19"/>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3"/>
              </w:rPr>
              <w:t>113.9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80" w:type="dxa"/>
            <w:vAlign w:val="bottom"/>
          </w:tcPr>
          <w:p>
            <w:pPr>
              <w:spacing w:after="0"/>
              <w:rPr>
                <w:sz w:val="19"/>
                <w:szCs w:val="19"/>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80" w:type="dxa"/>
            <w:vAlign w:val="bottom"/>
          </w:tcPr>
          <w:p>
            <w:pPr>
              <w:spacing w:after="0"/>
              <w:rPr>
                <w:sz w:val="19"/>
                <w:szCs w:val="19"/>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80" w:type="dxa"/>
            <w:vAlign w:val="bottom"/>
          </w:tcPr>
          <w:p>
            <w:pPr>
              <w:spacing w:after="0"/>
              <w:rPr>
                <w:sz w:val="19"/>
                <w:szCs w:val="19"/>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EBITDA (Non-GAAP)</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605.0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40"/>
        </w:trPr>
        <w:tc>
          <w:tcPr>
            <w:tcW w:w="4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760"/>
      </w:cols>
      <w:pgMar w:left="320" w:top="94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2026-02-09T15:22:08Z</dcterms:created>
  <dcterms:modified xsi:type="dcterms:W3CDTF">2026-02-09T15:22:08Z</dcterms:modified>
</cp:coreProperties>
</file>