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July 26, 2016</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333-212236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109220</wp:posOffset>
            </wp:positionV>
            <wp:extent cx="2245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AMENDMENT NO. 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TO</w:t>
      </w:r>
    </w:p>
    <w:p>
      <w:pPr>
        <w:jc w:val="center"/>
        <w:spacing w:after="0"/>
        <w:rPr>
          <w:sz w:val="20"/>
          <w:szCs w:val="20"/>
          <w:color w:val="auto"/>
        </w:rPr>
      </w:pPr>
      <w:r>
        <w:rPr>
          <w:rFonts w:ascii="Arial" w:cs="Arial" w:eastAsia="Arial" w:hAnsi="Arial"/>
          <w:sz w:val="28"/>
          <w:szCs w:val="28"/>
          <w:b w:val="1"/>
          <w:bCs w:val="1"/>
          <w:color w:val="auto"/>
        </w:rPr>
        <w:t>FORM S-1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109220</wp:posOffset>
            </wp:positionV>
            <wp:extent cx="2245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MEDPACE HOLDINGS,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2820" w:type="dxa"/>
            <w:vAlign w:val="bottom"/>
          </w:tcPr>
          <w:p>
            <w:pPr>
              <w:jc w:val="center"/>
              <w:ind w:right="1035"/>
              <w:spacing w:after="0"/>
              <w:rPr>
                <w:sz w:val="20"/>
                <w:szCs w:val="20"/>
                <w:color w:val="auto"/>
              </w:rPr>
            </w:pPr>
            <w:r>
              <w:rPr>
                <w:rFonts w:ascii="Arial" w:cs="Arial" w:eastAsia="Arial" w:hAnsi="Arial"/>
                <w:sz w:val="15"/>
                <w:szCs w:val="15"/>
                <w:b w:val="1"/>
                <w:bCs w:val="1"/>
                <w:color w:val="auto"/>
                <w:w w:val="97"/>
              </w:rPr>
              <w:t>Delaware</w:t>
            </w:r>
          </w:p>
        </w:tc>
        <w:tc>
          <w:tcPr>
            <w:tcW w:w="4000" w:type="dxa"/>
            <w:vAlign w:val="bottom"/>
          </w:tcPr>
          <w:p>
            <w:pPr>
              <w:jc w:val="center"/>
              <w:ind w:right="55"/>
              <w:spacing w:after="0"/>
              <w:rPr>
                <w:sz w:val="20"/>
                <w:szCs w:val="20"/>
                <w:color w:val="auto"/>
              </w:rPr>
            </w:pPr>
            <w:r>
              <w:rPr>
                <w:rFonts w:ascii="Arial" w:cs="Arial" w:eastAsia="Arial" w:hAnsi="Arial"/>
                <w:sz w:val="15"/>
                <w:szCs w:val="15"/>
                <w:b w:val="1"/>
                <w:bCs w:val="1"/>
                <w:color w:val="auto"/>
                <w:w w:val="95"/>
              </w:rPr>
              <w:t>8731</w:t>
            </w:r>
          </w:p>
        </w:tc>
        <w:tc>
          <w:tcPr>
            <w:tcW w:w="2240" w:type="dxa"/>
            <w:vAlign w:val="bottom"/>
          </w:tcPr>
          <w:p>
            <w:pPr>
              <w:jc w:val="center"/>
              <w:ind w:left="1155"/>
              <w:spacing w:after="0"/>
              <w:rPr>
                <w:sz w:val="20"/>
                <w:szCs w:val="20"/>
                <w:color w:val="auto"/>
              </w:rPr>
            </w:pPr>
            <w:r>
              <w:rPr>
                <w:rFonts w:ascii="Arial" w:cs="Arial" w:eastAsia="Arial" w:hAnsi="Arial"/>
                <w:sz w:val="15"/>
                <w:szCs w:val="15"/>
                <w:b w:val="1"/>
                <w:bCs w:val="1"/>
                <w:color w:val="auto"/>
                <w:w w:val="97"/>
              </w:rPr>
              <w:t>32-0434904</w:t>
            </w:r>
          </w:p>
        </w:tc>
      </w:tr>
      <w:tr>
        <w:trPr>
          <w:trHeight w:val="131"/>
        </w:trPr>
        <w:tc>
          <w:tcPr>
            <w:tcW w:w="2820" w:type="dxa"/>
            <w:vAlign w:val="bottom"/>
          </w:tcPr>
          <w:p>
            <w:pPr>
              <w:jc w:val="center"/>
              <w:ind w:right="1035"/>
              <w:spacing w:after="0" w:line="131" w:lineRule="exact"/>
              <w:rPr>
                <w:sz w:val="20"/>
                <w:szCs w:val="20"/>
                <w:color w:val="auto"/>
              </w:rPr>
            </w:pPr>
            <w:r>
              <w:rPr>
                <w:rFonts w:ascii="Arial" w:cs="Arial" w:eastAsia="Arial" w:hAnsi="Arial"/>
                <w:sz w:val="12"/>
                <w:szCs w:val="12"/>
                <w:b w:val="1"/>
                <w:bCs w:val="1"/>
                <w:color w:val="auto"/>
              </w:rPr>
              <w:t>(State or other jurisdiction of</w:t>
            </w:r>
          </w:p>
        </w:tc>
        <w:tc>
          <w:tcPr>
            <w:tcW w:w="4000" w:type="dxa"/>
            <w:vAlign w:val="bottom"/>
          </w:tcPr>
          <w:p>
            <w:pPr>
              <w:jc w:val="center"/>
              <w:ind w:right="55"/>
              <w:spacing w:after="0" w:line="131" w:lineRule="exact"/>
              <w:rPr>
                <w:sz w:val="20"/>
                <w:szCs w:val="20"/>
                <w:color w:val="auto"/>
              </w:rPr>
            </w:pPr>
            <w:r>
              <w:rPr>
                <w:rFonts w:ascii="Arial" w:cs="Arial" w:eastAsia="Arial" w:hAnsi="Arial"/>
                <w:sz w:val="12"/>
                <w:szCs w:val="12"/>
                <w:b w:val="1"/>
                <w:bCs w:val="1"/>
                <w:color w:val="auto"/>
              </w:rPr>
              <w:t>(Primary Standard Industrial</w:t>
            </w:r>
          </w:p>
        </w:tc>
        <w:tc>
          <w:tcPr>
            <w:tcW w:w="2240" w:type="dxa"/>
            <w:vAlign w:val="bottom"/>
          </w:tcPr>
          <w:p>
            <w:pPr>
              <w:jc w:val="center"/>
              <w:ind w:left="1155"/>
              <w:spacing w:after="0" w:line="131" w:lineRule="exact"/>
              <w:rPr>
                <w:sz w:val="20"/>
                <w:szCs w:val="20"/>
                <w:color w:val="auto"/>
              </w:rPr>
            </w:pPr>
            <w:r>
              <w:rPr>
                <w:rFonts w:ascii="Arial" w:cs="Arial" w:eastAsia="Arial" w:hAnsi="Arial"/>
                <w:sz w:val="12"/>
                <w:szCs w:val="12"/>
                <w:b w:val="1"/>
                <w:bCs w:val="1"/>
                <w:color w:val="auto"/>
              </w:rPr>
              <w:t>(I.R.S. Employer</w:t>
            </w:r>
          </w:p>
        </w:tc>
      </w:tr>
      <w:tr>
        <w:trPr>
          <w:trHeight w:val="161"/>
        </w:trPr>
        <w:tc>
          <w:tcPr>
            <w:tcW w:w="2820" w:type="dxa"/>
            <w:vAlign w:val="bottom"/>
          </w:tcPr>
          <w:p>
            <w:pPr>
              <w:jc w:val="center"/>
              <w:ind w:right="1015"/>
              <w:spacing w:after="0"/>
              <w:rPr>
                <w:sz w:val="20"/>
                <w:szCs w:val="20"/>
                <w:color w:val="auto"/>
              </w:rPr>
            </w:pPr>
            <w:r>
              <w:rPr>
                <w:rFonts w:ascii="Arial" w:cs="Arial" w:eastAsia="Arial" w:hAnsi="Arial"/>
                <w:sz w:val="12"/>
                <w:szCs w:val="12"/>
                <w:b w:val="1"/>
                <w:bCs w:val="1"/>
                <w:color w:val="auto"/>
              </w:rPr>
              <w:t>incorporation or organization)</w:t>
            </w:r>
          </w:p>
        </w:tc>
        <w:tc>
          <w:tcPr>
            <w:tcW w:w="4000" w:type="dxa"/>
            <w:vAlign w:val="bottom"/>
          </w:tcPr>
          <w:p>
            <w:pPr>
              <w:jc w:val="center"/>
              <w:ind w:right="55"/>
              <w:spacing w:after="0"/>
              <w:rPr>
                <w:sz w:val="20"/>
                <w:szCs w:val="20"/>
                <w:color w:val="auto"/>
              </w:rPr>
            </w:pPr>
            <w:r>
              <w:rPr>
                <w:rFonts w:ascii="Arial" w:cs="Arial" w:eastAsia="Arial" w:hAnsi="Arial"/>
                <w:sz w:val="12"/>
                <w:szCs w:val="12"/>
                <w:b w:val="1"/>
                <w:bCs w:val="1"/>
                <w:color w:val="auto"/>
              </w:rPr>
              <w:t>Classification Code Number)</w:t>
            </w:r>
          </w:p>
        </w:tc>
        <w:tc>
          <w:tcPr>
            <w:tcW w:w="2240" w:type="dxa"/>
            <w:vAlign w:val="bottom"/>
          </w:tcPr>
          <w:p>
            <w:pPr>
              <w:jc w:val="center"/>
              <w:ind w:left="1155"/>
              <w:spacing w:after="0"/>
              <w:rPr>
                <w:sz w:val="20"/>
                <w:szCs w:val="20"/>
                <w:color w:val="auto"/>
              </w:rPr>
            </w:pPr>
            <w:r>
              <w:rPr>
                <w:rFonts w:ascii="Arial" w:cs="Arial" w:eastAsia="Arial" w:hAnsi="Arial"/>
                <w:sz w:val="12"/>
                <w:szCs w:val="12"/>
                <w:b w:val="1"/>
                <w:bCs w:val="1"/>
                <w:color w:val="auto"/>
              </w:rPr>
              <w:t>Identification No.)</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Medpace Holdings, Inc.</w:t>
      </w:r>
    </w:p>
    <w:p>
      <w:pPr>
        <w:jc w:val="center"/>
        <w:spacing w:after="0" w:line="222" w:lineRule="auto"/>
        <w:rPr>
          <w:sz w:val="20"/>
          <w:szCs w:val="20"/>
          <w:color w:val="auto"/>
        </w:rPr>
      </w:pPr>
      <w:r>
        <w:rPr>
          <w:rFonts w:ascii="Arial" w:cs="Arial" w:eastAsia="Arial" w:hAnsi="Arial"/>
          <w:sz w:val="15"/>
          <w:szCs w:val="15"/>
          <w:b w:val="1"/>
          <w:bCs w:val="1"/>
          <w:color w:val="auto"/>
        </w:rPr>
        <w:t>5375 Medpace Way</w:t>
      </w:r>
    </w:p>
    <w:p>
      <w:pPr>
        <w:jc w:val="center"/>
        <w:spacing w:after="0" w:line="218" w:lineRule="auto"/>
        <w:rPr>
          <w:sz w:val="20"/>
          <w:szCs w:val="20"/>
          <w:color w:val="auto"/>
        </w:rPr>
      </w:pPr>
      <w:r>
        <w:rPr>
          <w:rFonts w:ascii="Arial" w:cs="Arial" w:eastAsia="Arial" w:hAnsi="Arial"/>
          <w:sz w:val="15"/>
          <w:szCs w:val="15"/>
          <w:b w:val="1"/>
          <w:bCs w:val="1"/>
          <w:color w:val="auto"/>
        </w:rPr>
        <w:t>Cincinnati, Ohio 45227</w:t>
      </w:r>
    </w:p>
    <w:p>
      <w:pPr>
        <w:jc w:val="center"/>
        <w:spacing w:after="0" w:line="216" w:lineRule="auto"/>
        <w:rPr>
          <w:sz w:val="20"/>
          <w:szCs w:val="20"/>
          <w:color w:val="auto"/>
        </w:rPr>
      </w:pPr>
      <w:r>
        <w:rPr>
          <w:rFonts w:ascii="Arial" w:cs="Arial" w:eastAsia="Arial" w:hAnsi="Arial"/>
          <w:sz w:val="15"/>
          <w:szCs w:val="15"/>
          <w:b w:val="1"/>
          <w:bCs w:val="1"/>
          <w:color w:val="auto"/>
        </w:rPr>
        <w:t>(513) 579-9911</w:t>
      </w: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107315</wp:posOffset>
            </wp:positionV>
            <wp:extent cx="2245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Dr. August J. Troendle</w:t>
      </w:r>
    </w:p>
    <w:p>
      <w:pPr>
        <w:jc w:val="center"/>
        <w:spacing w:after="0" w:line="222" w:lineRule="auto"/>
        <w:rPr>
          <w:sz w:val="20"/>
          <w:szCs w:val="20"/>
          <w:color w:val="auto"/>
        </w:rPr>
      </w:pPr>
      <w:r>
        <w:rPr>
          <w:rFonts w:ascii="Arial" w:cs="Arial" w:eastAsia="Arial" w:hAnsi="Arial"/>
          <w:sz w:val="15"/>
          <w:szCs w:val="15"/>
          <w:b w:val="1"/>
          <w:bCs w:val="1"/>
          <w:color w:val="auto"/>
        </w:rPr>
        <w:t>President and Chief Executive Officer</w:t>
      </w:r>
    </w:p>
    <w:p>
      <w:pPr>
        <w:jc w:val="center"/>
        <w:spacing w:after="0" w:line="218" w:lineRule="auto"/>
        <w:rPr>
          <w:sz w:val="20"/>
          <w:szCs w:val="20"/>
          <w:color w:val="auto"/>
        </w:rPr>
      </w:pPr>
      <w:r>
        <w:rPr>
          <w:rFonts w:ascii="Arial" w:cs="Arial" w:eastAsia="Arial" w:hAnsi="Arial"/>
          <w:sz w:val="15"/>
          <w:szCs w:val="15"/>
          <w:b w:val="1"/>
          <w:bCs w:val="1"/>
          <w:color w:val="auto"/>
        </w:rPr>
        <w:t>Jesse J. Geiger</w:t>
      </w:r>
    </w:p>
    <w:p>
      <w:pPr>
        <w:jc w:val="center"/>
        <w:spacing w:after="0" w:line="219" w:lineRule="auto"/>
        <w:rPr>
          <w:sz w:val="20"/>
          <w:szCs w:val="20"/>
          <w:color w:val="auto"/>
        </w:rPr>
      </w:pPr>
      <w:r>
        <w:rPr>
          <w:rFonts w:ascii="Arial" w:cs="Arial" w:eastAsia="Arial" w:hAnsi="Arial"/>
          <w:sz w:val="15"/>
          <w:szCs w:val="15"/>
          <w:b w:val="1"/>
          <w:bCs w:val="1"/>
          <w:color w:val="auto"/>
        </w:rPr>
        <w:t>Chief Financial Officer</w:t>
      </w:r>
    </w:p>
    <w:p>
      <w:pPr>
        <w:jc w:val="center"/>
        <w:spacing w:after="0" w:line="219" w:lineRule="auto"/>
        <w:rPr>
          <w:sz w:val="20"/>
          <w:szCs w:val="20"/>
          <w:color w:val="auto"/>
        </w:rPr>
      </w:pPr>
      <w:r>
        <w:rPr>
          <w:rFonts w:ascii="Arial" w:cs="Arial" w:eastAsia="Arial" w:hAnsi="Arial"/>
          <w:sz w:val="15"/>
          <w:szCs w:val="15"/>
          <w:b w:val="1"/>
          <w:bCs w:val="1"/>
          <w:color w:val="auto"/>
        </w:rPr>
        <w:t>Medpace Holdings, Inc.</w:t>
      </w:r>
    </w:p>
    <w:p>
      <w:pPr>
        <w:jc w:val="center"/>
        <w:spacing w:after="0" w:line="218" w:lineRule="auto"/>
        <w:rPr>
          <w:sz w:val="20"/>
          <w:szCs w:val="20"/>
          <w:color w:val="auto"/>
        </w:rPr>
      </w:pPr>
      <w:r>
        <w:rPr>
          <w:rFonts w:ascii="Arial" w:cs="Arial" w:eastAsia="Arial" w:hAnsi="Arial"/>
          <w:sz w:val="15"/>
          <w:szCs w:val="15"/>
          <w:b w:val="1"/>
          <w:bCs w:val="1"/>
          <w:color w:val="auto"/>
        </w:rPr>
        <w:t>5375 Medpace Way</w:t>
      </w:r>
    </w:p>
    <w:p>
      <w:pPr>
        <w:jc w:val="center"/>
        <w:spacing w:after="0" w:line="219" w:lineRule="auto"/>
        <w:rPr>
          <w:sz w:val="20"/>
          <w:szCs w:val="20"/>
          <w:color w:val="auto"/>
        </w:rPr>
      </w:pPr>
      <w:r>
        <w:rPr>
          <w:rFonts w:ascii="Arial" w:cs="Arial" w:eastAsia="Arial" w:hAnsi="Arial"/>
          <w:sz w:val="15"/>
          <w:szCs w:val="15"/>
          <w:b w:val="1"/>
          <w:bCs w:val="1"/>
          <w:color w:val="auto"/>
        </w:rPr>
        <w:t>Cincinnati, Ohio 45227</w:t>
      </w:r>
    </w:p>
    <w:p>
      <w:pPr>
        <w:jc w:val="center"/>
        <w:spacing w:after="0" w:line="215" w:lineRule="auto"/>
        <w:rPr>
          <w:sz w:val="20"/>
          <w:szCs w:val="20"/>
          <w:color w:val="auto"/>
        </w:rPr>
      </w:pPr>
      <w:r>
        <w:rPr>
          <w:rFonts w:ascii="Arial" w:cs="Arial" w:eastAsia="Arial" w:hAnsi="Arial"/>
          <w:sz w:val="15"/>
          <w:szCs w:val="15"/>
          <w:b w:val="1"/>
          <w:bCs w:val="1"/>
          <w:color w:val="auto"/>
        </w:rPr>
        <w:t>(513) 579-9911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107315</wp:posOffset>
            </wp:positionV>
            <wp:extent cx="2245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ectPr>
          <w:pgSz w:w="11900" w:h="16838" w:orient="portrait"/>
          <w:cols w:equalWidth="0" w:num="1">
            <w:col w:w="11420"/>
          </w:cols>
          <w:pgMar w:left="240" w:top="226" w:right="239" w:bottom="1440" w:gutter="0" w:footer="0" w:header="0"/>
        </w:sectPr>
      </w:pPr>
    </w:p>
    <w:p>
      <w:pPr>
        <w:spacing w:after="0" w:line="52"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Howard A. Sobel, Esq.</w:t>
      </w:r>
    </w:p>
    <w:p>
      <w:pPr>
        <w:jc w:val="center"/>
        <w:ind w:right="1080"/>
        <w:spacing w:after="0" w:line="222" w:lineRule="auto"/>
        <w:rPr>
          <w:sz w:val="20"/>
          <w:szCs w:val="20"/>
          <w:color w:val="auto"/>
        </w:rPr>
      </w:pPr>
      <w:r>
        <w:rPr>
          <w:rFonts w:ascii="Arial" w:cs="Arial" w:eastAsia="Arial" w:hAnsi="Arial"/>
          <w:sz w:val="15"/>
          <w:szCs w:val="15"/>
          <w:b w:val="1"/>
          <w:bCs w:val="1"/>
          <w:color w:val="auto"/>
        </w:rPr>
        <w:t>Gregory P. Rodgers, Esq.</w:t>
      </w:r>
    </w:p>
    <w:p>
      <w:pPr>
        <w:jc w:val="center"/>
        <w:ind w:right="1080"/>
        <w:spacing w:after="0" w:line="218" w:lineRule="auto"/>
        <w:rPr>
          <w:sz w:val="20"/>
          <w:szCs w:val="20"/>
          <w:color w:val="auto"/>
        </w:rPr>
      </w:pPr>
      <w:r>
        <w:rPr>
          <w:rFonts w:ascii="Arial" w:cs="Arial" w:eastAsia="Arial" w:hAnsi="Arial"/>
          <w:sz w:val="15"/>
          <w:szCs w:val="15"/>
          <w:b w:val="1"/>
          <w:bCs w:val="1"/>
          <w:color w:val="auto"/>
        </w:rPr>
        <w:t>Latham &amp; Watkins LLP</w:t>
      </w:r>
    </w:p>
    <w:p>
      <w:pPr>
        <w:jc w:val="center"/>
        <w:ind w:right="1080"/>
        <w:spacing w:after="0" w:line="219" w:lineRule="auto"/>
        <w:rPr>
          <w:sz w:val="20"/>
          <w:szCs w:val="20"/>
          <w:color w:val="auto"/>
        </w:rPr>
      </w:pPr>
      <w:r>
        <w:rPr>
          <w:rFonts w:ascii="Arial" w:cs="Arial" w:eastAsia="Arial" w:hAnsi="Arial"/>
          <w:sz w:val="15"/>
          <w:szCs w:val="15"/>
          <w:b w:val="1"/>
          <w:bCs w:val="1"/>
          <w:color w:val="auto"/>
        </w:rPr>
        <w:t>885 Third Avenue</w:t>
      </w:r>
    </w:p>
    <w:p>
      <w:pPr>
        <w:jc w:val="center"/>
        <w:ind w:right="1100"/>
        <w:spacing w:after="0" w:line="219" w:lineRule="auto"/>
        <w:rPr>
          <w:sz w:val="20"/>
          <w:szCs w:val="20"/>
          <w:color w:val="auto"/>
        </w:rPr>
      </w:pPr>
      <w:r>
        <w:rPr>
          <w:rFonts w:ascii="Arial" w:cs="Arial" w:eastAsia="Arial" w:hAnsi="Arial"/>
          <w:sz w:val="15"/>
          <w:szCs w:val="15"/>
          <w:b w:val="1"/>
          <w:bCs w:val="1"/>
          <w:color w:val="auto"/>
        </w:rPr>
        <w:t>New York, NY 10022</w:t>
      </w:r>
    </w:p>
    <w:p>
      <w:pPr>
        <w:jc w:val="center"/>
        <w:ind w:right="1080"/>
        <w:spacing w:after="0"/>
        <w:rPr>
          <w:sz w:val="20"/>
          <w:szCs w:val="20"/>
          <w:color w:val="auto"/>
        </w:rPr>
      </w:pPr>
      <w:r>
        <w:rPr>
          <w:rFonts w:ascii="Arial" w:cs="Arial" w:eastAsia="Arial" w:hAnsi="Arial"/>
          <w:sz w:val="14"/>
          <w:szCs w:val="14"/>
          <w:b w:val="1"/>
          <w:bCs w:val="1"/>
          <w:color w:val="auto"/>
        </w:rPr>
        <w:t>Telephone: (212) 906-1200</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5"/>
          <w:szCs w:val="15"/>
          <w:b w:val="1"/>
          <w:bCs w:val="1"/>
          <w:color w:val="auto"/>
        </w:rPr>
        <w:t>Glenn R. Pollner, Esq.</w:t>
      </w:r>
    </w:p>
    <w:p>
      <w:pPr>
        <w:jc w:val="center"/>
        <w:ind w:right="1720"/>
        <w:spacing w:after="0" w:line="238" w:lineRule="auto"/>
        <w:rPr>
          <w:sz w:val="20"/>
          <w:szCs w:val="20"/>
          <w:color w:val="auto"/>
        </w:rPr>
      </w:pPr>
      <w:r>
        <w:rPr>
          <w:rFonts w:ascii="Arial" w:cs="Arial" w:eastAsia="Arial" w:hAnsi="Arial"/>
          <w:sz w:val="14"/>
          <w:szCs w:val="14"/>
          <w:b w:val="1"/>
          <w:bCs w:val="1"/>
          <w:color w:val="auto"/>
        </w:rPr>
        <w:t>Gibson, Dunn &amp; Crutcher LLP</w:t>
      </w:r>
    </w:p>
    <w:p>
      <w:pPr>
        <w:jc w:val="center"/>
        <w:ind w:right="1720"/>
        <w:spacing w:after="0" w:line="218" w:lineRule="auto"/>
        <w:rPr>
          <w:sz w:val="20"/>
          <w:szCs w:val="20"/>
          <w:color w:val="auto"/>
        </w:rPr>
      </w:pPr>
      <w:r>
        <w:rPr>
          <w:rFonts w:ascii="Arial" w:cs="Arial" w:eastAsia="Arial" w:hAnsi="Arial"/>
          <w:sz w:val="15"/>
          <w:szCs w:val="15"/>
          <w:b w:val="1"/>
          <w:bCs w:val="1"/>
          <w:color w:val="auto"/>
        </w:rPr>
        <w:t>200 Park Avenue</w:t>
      </w:r>
    </w:p>
    <w:p>
      <w:pPr>
        <w:jc w:val="center"/>
        <w:ind w:right="1720"/>
        <w:spacing w:after="0" w:line="219" w:lineRule="auto"/>
        <w:rPr>
          <w:sz w:val="20"/>
          <w:szCs w:val="20"/>
          <w:color w:val="auto"/>
        </w:rPr>
      </w:pPr>
      <w:r>
        <w:rPr>
          <w:rFonts w:ascii="Arial" w:cs="Arial" w:eastAsia="Arial" w:hAnsi="Arial"/>
          <w:sz w:val="15"/>
          <w:szCs w:val="15"/>
          <w:b w:val="1"/>
          <w:bCs w:val="1"/>
          <w:color w:val="auto"/>
        </w:rPr>
        <w:t>New York, NY 10166</w:t>
      </w:r>
    </w:p>
    <w:p>
      <w:pPr>
        <w:jc w:val="center"/>
        <w:ind w:right="1720"/>
        <w:spacing w:after="0" w:line="219" w:lineRule="auto"/>
        <w:rPr>
          <w:sz w:val="20"/>
          <w:szCs w:val="20"/>
          <w:color w:val="auto"/>
        </w:rPr>
      </w:pPr>
      <w:r>
        <w:rPr>
          <w:rFonts w:ascii="Arial" w:cs="Arial" w:eastAsia="Arial" w:hAnsi="Arial"/>
          <w:sz w:val="15"/>
          <w:szCs w:val="15"/>
          <w:b w:val="1"/>
          <w:bCs w:val="1"/>
          <w:color w:val="auto"/>
        </w:rPr>
        <w:t>Telephone: (212) 351-4000</w:t>
      </w:r>
    </w:p>
    <w:p>
      <w:pPr>
        <w:jc w:val="center"/>
        <w:ind w:right="1720"/>
        <w:spacing w:after="0"/>
        <w:rPr>
          <w:sz w:val="20"/>
          <w:szCs w:val="20"/>
          <w:color w:val="auto"/>
        </w:rPr>
      </w:pPr>
      <w:r>
        <w:rPr>
          <w:rFonts w:ascii="Arial" w:cs="Arial" w:eastAsia="Arial" w:hAnsi="Arial"/>
          <w:sz w:val="15"/>
          <w:szCs w:val="15"/>
          <w:b w:val="1"/>
          <w:bCs w:val="1"/>
          <w:color w:val="auto"/>
        </w:rPr>
        <w:t>Fax: (212) 351-4035</w:t>
      </w:r>
    </w:p>
    <w:p>
      <w:pPr>
        <w:spacing w:after="0" w:line="1" w:lineRule="exact"/>
        <w:rPr>
          <w:sz w:val="24"/>
          <w:szCs w:val="24"/>
          <w:color w:val="auto"/>
        </w:rPr>
      </w:pPr>
    </w:p>
    <w:p>
      <w:pPr>
        <w:sectPr>
          <w:pgSz w:w="11900" w:h="16838" w:orient="portrait"/>
          <w:cols w:equalWidth="0" w:num="2">
            <w:col w:w="6880" w:space="720"/>
            <w:col w:w="3820"/>
          </w:cols>
          <w:pgMar w:left="240" w:top="226" w:right="239" w:bottom="1440" w:gutter="0" w:footer="0" w:header="0"/>
          <w:type w:val="continuous"/>
        </w:sectPr>
      </w:pPr>
    </w:p>
    <w:p>
      <w:pPr>
        <w:ind w:left="2220"/>
        <w:spacing w:after="0" w:line="226" w:lineRule="auto"/>
        <w:rPr>
          <w:sz w:val="20"/>
          <w:szCs w:val="20"/>
          <w:color w:val="auto"/>
        </w:rPr>
      </w:pPr>
      <w:r>
        <w:rPr>
          <w:rFonts w:ascii="Arial" w:cs="Arial" w:eastAsia="Arial" w:hAnsi="Arial"/>
          <w:sz w:val="15"/>
          <w:szCs w:val="15"/>
          <w:b w:val="1"/>
          <w:bCs w:val="1"/>
          <w:color w:val="auto"/>
        </w:rPr>
        <w:t>Fax: (212) 751-4864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97155</wp:posOffset>
            </wp:positionV>
            <wp:extent cx="2245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PPROXIMATE DATE OF COMMENCEMENT OF PROPOSED SALE TO THE PUBLIC</w:t>
      </w:r>
      <w:r>
        <w:rPr>
          <w:rFonts w:ascii="Arial" w:cs="Arial" w:eastAsia="Arial" w:hAnsi="Arial"/>
          <w:sz w:val="14"/>
          <w:szCs w:val="14"/>
          <w:b w:val="1"/>
          <w:bCs w:val="1"/>
          <w:color w:val="auto"/>
        </w:rPr>
        <w:t>: A</w:t>
      </w:r>
      <w:r>
        <w:rPr>
          <w:rFonts w:ascii="Arial" w:cs="Arial" w:eastAsia="Arial" w:hAnsi="Arial"/>
          <w:sz w:val="11"/>
          <w:szCs w:val="11"/>
          <w:b w:val="1"/>
          <w:bCs w:val="1"/>
          <w:color w:val="auto"/>
        </w:rPr>
        <w:t>S SOON AS PRACTICABLE AFTER THIS</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EGISTRATION</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TATEMENT IS DECLARED EFFECTIVE</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113030</wp:posOffset>
            </wp:positionV>
            <wp:extent cx="2245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228" w:lineRule="exact"/>
        <w:rPr>
          <w:sz w:val="24"/>
          <w:szCs w:val="24"/>
          <w:color w:val="auto"/>
        </w:rPr>
      </w:pPr>
    </w:p>
    <w:p>
      <w:pPr>
        <w:ind w:right="160" w:firstLine="342"/>
        <w:spacing w:after="0" w:line="17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right="280" w:firstLine="342"/>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jc w:val="both"/>
        <w:ind w:right="40" w:firstLine="342"/>
        <w:spacing w:after="0" w:line="17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right="40" w:firstLine="342"/>
        <w:spacing w:after="0" w:line="17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right="180" w:firstLine="342"/>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22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544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00" w:type="dxa"/>
            <w:vAlign w:val="bottom"/>
          </w:tcPr>
          <w:p>
            <w:pPr>
              <w:ind w:left="22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97790</wp:posOffset>
            </wp:positionV>
            <wp:extent cx="2245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88" w:lineRule="exact"/>
        <w:rPr>
          <w:sz w:val="24"/>
          <w:szCs w:val="24"/>
          <w:color w:val="auto"/>
        </w:rPr>
      </w:pPr>
    </w:p>
    <w:p>
      <w:pPr>
        <w:jc w:val="both"/>
        <w:ind w:right="60" w:firstLine="342"/>
        <w:spacing w:after="0" w:line="25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b w:val="1"/>
          <w:bCs w:val="1"/>
          <w:color w:val="CC062A"/>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color w:val="CC062A"/>
        </w:rPr>
        <w:t>SUBJECT TO COMPLETION DATED JULY 26, 2016</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28"/>
          <w:szCs w:val="28"/>
          <w:b w:val="1"/>
          <w:bCs w:val="1"/>
          <w:color w:val="auto"/>
        </w:rPr>
        <w:t>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Medpace Holdings,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Common Stock</w:t>
      </w:r>
    </w:p>
    <w:p>
      <w:pPr>
        <w:spacing w:after="0" w:line="252"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color w:val="auto"/>
        </w:rPr>
        <w:t>Medpace Holdings, Inc. is offering</w:t>
      </w:r>
      <w:r>
        <w:rPr>
          <w:sz w:val="20"/>
          <w:szCs w:val="20"/>
          <w:color w:val="auto"/>
        </w:rPr>
        <w:tab/>
      </w:r>
      <w:r>
        <w:rPr>
          <w:rFonts w:ascii="Arial" w:cs="Arial" w:eastAsia="Arial" w:hAnsi="Arial"/>
          <w:sz w:val="17"/>
          <w:szCs w:val="17"/>
          <w:color w:val="auto"/>
        </w:rPr>
        <w:t>shares of its common stock. This is our initial public offering, and no public market currently exists for our</w:t>
      </w:r>
    </w:p>
    <w:p>
      <w:pPr>
        <w:spacing w:after="0" w:line="1" w:lineRule="exact"/>
        <w:rPr>
          <w:sz w:val="20"/>
          <w:szCs w:val="20"/>
          <w:color w:val="auto"/>
        </w:rPr>
      </w:pPr>
    </w:p>
    <w:p>
      <w:pPr>
        <w:spacing w:after="0"/>
        <w:tabs>
          <w:tab w:leader="none" w:pos="6240" w:val="left"/>
          <w:tab w:leader="none" w:pos="7320" w:val="left"/>
        </w:tabs>
        <w:rPr>
          <w:sz w:val="20"/>
          <w:szCs w:val="20"/>
          <w:color w:val="auto"/>
        </w:rPr>
      </w:pPr>
      <w:r>
        <w:rPr>
          <w:rFonts w:ascii="Arial" w:cs="Arial" w:eastAsia="Arial" w:hAnsi="Arial"/>
          <w:sz w:val="17"/>
          <w:szCs w:val="17"/>
          <w:color w:val="auto"/>
        </w:rPr>
        <w:t>common stock. We expect the initial public offering price to be between $</w:t>
      </w:r>
      <w:r>
        <w:rPr>
          <w:sz w:val="20"/>
          <w:szCs w:val="20"/>
          <w:color w:val="auto"/>
        </w:rPr>
        <w:tab/>
      </w:r>
      <w:r>
        <w:rPr>
          <w:rFonts w:ascii="Arial" w:cs="Arial" w:eastAsia="Arial" w:hAnsi="Arial"/>
          <w:sz w:val="17"/>
          <w:szCs w:val="17"/>
          <w:color w:val="auto"/>
        </w:rPr>
        <w:t>and $</w:t>
      </w:r>
      <w:r>
        <w:rPr>
          <w:sz w:val="20"/>
          <w:szCs w:val="20"/>
          <w:color w:val="auto"/>
        </w:rPr>
        <w:tab/>
      </w:r>
      <w:r>
        <w:rPr>
          <w:rFonts w:ascii="Arial" w:cs="Arial" w:eastAsia="Arial" w:hAnsi="Arial"/>
          <w:sz w:val="17"/>
          <w:szCs w:val="17"/>
          <w:color w:val="auto"/>
        </w:rPr>
        <w:t>per share. We have applied to list our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 the NASDAQ Global Select Market under the symbol “MEDP.”</w:t>
      </w:r>
    </w:p>
    <w:p>
      <w:pPr>
        <w:spacing w:after="0" w:line="210"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We are an “emerging growth company” as defined by the Jumpstart Our Business Startups Act of 2012 and, as such, we have elected to comply with certain reduced public company reporting requirements for this prospectus and future filings.</w:t>
      </w:r>
    </w:p>
    <w:p>
      <w:pPr>
        <w:spacing w:after="0" w:line="160" w:lineRule="exact"/>
        <w:rPr>
          <w:sz w:val="20"/>
          <w:szCs w:val="20"/>
          <w:color w:val="auto"/>
        </w:rPr>
      </w:pPr>
    </w:p>
    <w:p>
      <w:pPr>
        <w:ind w:right="520"/>
        <w:spacing w:after="0" w:line="28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w:t>
      </w:r>
      <w:hyperlink w:anchor="page26">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20 to read about factors you should consider before purchasing our common stock.</w:t>
      </w:r>
    </w:p>
    <w:p>
      <w:pPr>
        <w:spacing w:after="0" w:line="138"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PER SHARE</w:t>
            </w:r>
          </w:p>
        </w:tc>
        <w:tc>
          <w:tcPr>
            <w:tcW w:w="560" w:type="dxa"/>
            <w:vAlign w:val="bottom"/>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r>
      <w:tr>
        <w:trPr>
          <w:trHeight w:val="176"/>
        </w:trPr>
        <w:tc>
          <w:tcPr>
            <w:tcW w:w="920" w:type="dxa"/>
            <w:vAlign w:val="bottom"/>
          </w:tcPr>
          <w:p>
            <w:pPr>
              <w:spacing w:after="0"/>
              <w:rPr>
                <w:sz w:val="15"/>
                <w:szCs w:val="15"/>
                <w:color w:val="auto"/>
              </w:rPr>
            </w:pPr>
          </w:p>
        </w:tc>
        <w:tc>
          <w:tcPr>
            <w:tcW w:w="72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Public Offering Price</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7240" w:type="dxa"/>
            <w:vAlign w:val="bottom"/>
          </w:tcPr>
          <w:p>
            <w:pPr>
              <w:spacing w:after="0" w:line="184"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14"/>
                <w:szCs w:val="14"/>
                <w:color w:val="auto"/>
              </w:rPr>
              <w:t>(1)</w:t>
            </w:r>
          </w:p>
        </w:tc>
        <w:tc>
          <w:tcPr>
            <w:tcW w:w="1020" w:type="dxa"/>
            <w:vAlign w:val="bottom"/>
            <w:gridSpan w:val="2"/>
          </w:tcPr>
          <w:p>
            <w:pPr>
              <w:ind w:left="160"/>
              <w:spacing w:after="0" w:line="184"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509"/>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7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Proceeds to Medpace Holdings, Inc., before expenses</w:t>
            </w:r>
          </w:p>
        </w:tc>
        <w:tc>
          <w:tcPr>
            <w:tcW w:w="1020" w:type="dxa"/>
            <w:vAlign w:val="bottom"/>
            <w:gridSpan w:val="2"/>
            <w:shd w:val="clear" w:color="auto" w:fill="CCEEFF"/>
          </w:tcPr>
          <w:p>
            <w:pPr>
              <w:ind w:left="160"/>
              <w:spacing w:after="0" w:line="184"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09"/>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288"/>
        </w:trPr>
        <w:tc>
          <w:tcPr>
            <w:tcW w:w="816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332"/>
        </w:trPr>
        <w:tc>
          <w:tcPr>
            <w:tcW w:w="8160" w:type="dxa"/>
            <w:vAlign w:val="bottom"/>
            <w:gridSpan w:val="2"/>
          </w:tcPr>
          <w:p>
            <w:pPr>
              <w:ind w:left="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We have agreed to reimburse the underwriters for certain expenses in connection with this offering. See “Underwriting.”</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4"/>
        </w:trPr>
        <w:tc>
          <w:tcPr>
            <w:tcW w:w="8160" w:type="dxa"/>
            <w:vAlign w:val="bottom"/>
            <w:gridSpan w:val="2"/>
          </w:tcPr>
          <w:p>
            <w:pPr>
              <w:spacing w:after="0"/>
              <w:rPr>
                <w:sz w:val="20"/>
                <w:szCs w:val="20"/>
                <w:color w:val="auto"/>
              </w:rPr>
            </w:pPr>
            <w:r>
              <w:rPr>
                <w:rFonts w:ascii="Arial" w:cs="Arial" w:eastAsia="Arial" w:hAnsi="Arial"/>
                <w:sz w:val="17"/>
                <w:szCs w:val="17"/>
                <w:color w:val="auto"/>
                <w:w w:val="98"/>
              </w:rPr>
              <w:t>Our Chief Executive Officer and founder, Dr. August J. Troendle, has indicated an interest to purchase up to $</w:t>
            </w:r>
          </w:p>
        </w:tc>
        <w:tc>
          <w:tcPr>
            <w:tcW w:w="160" w:type="dxa"/>
            <w:vAlign w:val="bottom"/>
          </w:tcPr>
          <w:p>
            <w:pPr>
              <w:spacing w:after="0"/>
              <w:rPr>
                <w:sz w:val="21"/>
                <w:szCs w:val="21"/>
                <w:color w:val="auto"/>
              </w:rPr>
            </w:pPr>
          </w:p>
        </w:tc>
        <w:tc>
          <w:tcPr>
            <w:tcW w:w="3100" w:type="dxa"/>
            <w:vAlign w:val="bottom"/>
            <w:gridSpan w:val="5"/>
          </w:tcPr>
          <w:p>
            <w:pPr>
              <w:ind w:left="100"/>
              <w:spacing w:after="0"/>
              <w:rPr>
                <w:sz w:val="20"/>
                <w:szCs w:val="20"/>
                <w:color w:val="auto"/>
              </w:rPr>
            </w:pPr>
            <w:r>
              <w:rPr>
                <w:rFonts w:ascii="Arial" w:cs="Arial" w:eastAsia="Arial" w:hAnsi="Arial"/>
                <w:sz w:val="17"/>
                <w:szCs w:val="17"/>
                <w:color w:val="auto"/>
                <w:w w:val="98"/>
              </w:rPr>
              <w:t>million in shares of our common stock in</w:t>
            </w:r>
          </w:p>
        </w:tc>
      </w:tr>
    </w:tbl>
    <w:p>
      <w:pPr>
        <w:spacing w:after="0" w:line="225" w:lineRule="auto"/>
        <w:rPr>
          <w:sz w:val="20"/>
          <w:szCs w:val="20"/>
          <w:color w:val="auto"/>
        </w:rPr>
      </w:pPr>
      <w:r>
        <w:rPr>
          <w:rFonts w:ascii="Arial" w:cs="Arial" w:eastAsia="Arial" w:hAnsi="Arial"/>
          <w:sz w:val="17"/>
          <w:szCs w:val="17"/>
          <w:color w:val="auto"/>
        </w:rPr>
        <w:t>this offering at the initial public offering price. However, because indications of interest are not binding agreements or commitments to purchase,</w:t>
      </w:r>
    </w:p>
    <w:p>
      <w:pPr>
        <w:ind w:right="80"/>
        <w:spacing w:after="0" w:line="230" w:lineRule="auto"/>
        <w:rPr>
          <w:sz w:val="20"/>
          <w:szCs w:val="20"/>
          <w:color w:val="auto"/>
        </w:rPr>
      </w:pPr>
      <w:r>
        <w:rPr>
          <w:rFonts w:ascii="Arial" w:cs="Arial" w:eastAsia="Arial" w:hAnsi="Arial"/>
          <w:sz w:val="17"/>
          <w:szCs w:val="17"/>
          <w:color w:val="auto"/>
        </w:rPr>
        <w:t>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 Any allocation of shares in the offering to Dr. Troendle shareholder will be made at our direction. The underwriters will receive the same underwriting discount on any shares purchased by Dr. Troendle as they will on any other shares sold to the public in this offering.</w:t>
      </w:r>
    </w:p>
    <w:p>
      <w:pPr>
        <w:spacing w:after="0" w:line="181" w:lineRule="exact"/>
        <w:rPr>
          <w:sz w:val="20"/>
          <w:szCs w:val="20"/>
          <w:color w:val="auto"/>
        </w:rPr>
      </w:pPr>
    </w:p>
    <w:p>
      <w:pPr>
        <w:spacing w:after="0"/>
        <w:tabs>
          <w:tab w:leader="none" w:pos="612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6"/>
          <w:szCs w:val="16"/>
          <w:color w:val="auto"/>
        </w:rPr>
        <w:t>. We have granted the underwriters an option for a period of 30 days to</w:t>
      </w:r>
    </w:p>
    <w:p>
      <w:pPr>
        <w:spacing w:after="0"/>
        <w:tabs>
          <w:tab w:leader="none" w:pos="2660" w:val="left"/>
        </w:tabs>
        <w:rPr>
          <w:sz w:val="20"/>
          <w:szCs w:val="20"/>
          <w:color w:val="auto"/>
        </w:rPr>
      </w:pPr>
      <w:r>
        <w:rPr>
          <w:rFonts w:ascii="Arial" w:cs="Arial" w:eastAsia="Arial" w:hAnsi="Arial"/>
          <w:sz w:val="17"/>
          <w:szCs w:val="17"/>
          <w:color w:val="auto"/>
        </w:rPr>
        <w:t>purchase up to an additional</w:t>
      </w:r>
      <w:r>
        <w:rPr>
          <w:sz w:val="20"/>
          <w:szCs w:val="20"/>
          <w:color w:val="auto"/>
        </w:rPr>
        <w:tab/>
      </w:r>
      <w:r>
        <w:rPr>
          <w:rFonts w:ascii="Arial" w:cs="Arial" w:eastAsia="Arial" w:hAnsi="Arial"/>
          <w:sz w:val="16"/>
          <w:szCs w:val="16"/>
          <w:color w:val="auto"/>
        </w:rPr>
        <w:t>shares of our common stock. If the underwriters exercise the option in full, the total underwriting discounts and</w:t>
      </w:r>
    </w:p>
    <w:p>
      <w:pPr>
        <w:spacing w:after="0"/>
        <w:tabs>
          <w:tab w:leader="none" w:pos="3200" w:val="left"/>
          <w:tab w:leader="none" w:pos="7860" w:val="left"/>
        </w:tabs>
        <w:rPr>
          <w:sz w:val="20"/>
          <w:szCs w:val="20"/>
          <w:color w:val="auto"/>
        </w:rPr>
      </w:pPr>
      <w:r>
        <w:rPr>
          <w:rFonts w:ascii="Arial" w:cs="Arial" w:eastAsia="Arial" w:hAnsi="Arial"/>
          <w:sz w:val="17"/>
          <w:szCs w:val="17"/>
          <w:color w:val="auto"/>
        </w:rPr>
        <w:t>commissions payable by us will be $</w:t>
      </w:r>
      <w:r>
        <w:rPr>
          <w:sz w:val="20"/>
          <w:szCs w:val="20"/>
          <w:color w:val="auto"/>
        </w:rPr>
        <w:tab/>
      </w:r>
      <w:r>
        <w:rPr>
          <w:rFonts w:ascii="Arial" w:cs="Arial" w:eastAsia="Arial" w:hAnsi="Arial"/>
          <w:sz w:val="17"/>
          <w:szCs w:val="17"/>
          <w:color w:val="auto"/>
        </w:rPr>
        <w:t>, and the total proceeds to us, before expenses will be $</w:t>
      </w:r>
      <w:r>
        <w:rPr>
          <w:sz w:val="20"/>
          <w:szCs w:val="20"/>
          <w:color w:val="auto"/>
        </w:rPr>
        <w:tab/>
      </w:r>
      <w:r>
        <w:rPr>
          <w:rFonts w:ascii="Arial" w:cs="Arial" w:eastAsia="Arial" w:hAnsi="Arial"/>
          <w:sz w:val="13"/>
          <w:szCs w:val="13"/>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Joint Book-Running Managers</w:t>
      </w:r>
    </w:p>
    <w:p>
      <w:pPr>
        <w:spacing w:after="0" w:line="322" w:lineRule="exact"/>
        <w:rPr>
          <w:sz w:val="20"/>
          <w:szCs w:val="20"/>
          <w:color w:val="auto"/>
        </w:rPr>
      </w:pPr>
    </w:p>
    <w:p>
      <w:pPr>
        <w:spacing w:after="0"/>
        <w:tabs>
          <w:tab w:leader="none" w:pos="9620" w:val="left"/>
        </w:tabs>
        <w:rPr>
          <w:sz w:val="20"/>
          <w:szCs w:val="20"/>
          <w:color w:val="auto"/>
        </w:rPr>
      </w:pPr>
      <w:r>
        <w:rPr>
          <w:rFonts w:ascii="Arial" w:cs="Arial" w:eastAsia="Arial" w:hAnsi="Arial"/>
          <w:sz w:val="27"/>
          <w:szCs w:val="27"/>
          <w:b w:val="1"/>
          <w:bCs w:val="1"/>
          <w:color w:val="auto"/>
        </w:rPr>
        <w:t>Jefferies</w:t>
      </w:r>
      <w:r>
        <w:rPr>
          <w:sz w:val="20"/>
          <w:szCs w:val="20"/>
          <w:color w:val="auto"/>
        </w:rPr>
        <w:tab/>
      </w:r>
      <w:r>
        <w:rPr>
          <w:rFonts w:ascii="Arial" w:cs="Arial" w:eastAsia="Arial" w:hAnsi="Arial"/>
          <w:sz w:val="27"/>
          <w:szCs w:val="27"/>
          <w:b w:val="1"/>
          <w:bCs w:val="1"/>
          <w:color w:val="auto"/>
        </w:rPr>
        <w:t>Credit Suisse</w:t>
      </w:r>
    </w:p>
    <w:p>
      <w:pPr>
        <w:spacing w:after="0" w:line="56" w:lineRule="exact"/>
        <w:rPr>
          <w:sz w:val="20"/>
          <w:szCs w:val="20"/>
          <w:color w:val="auto"/>
        </w:rPr>
      </w:pPr>
    </w:p>
    <w:p>
      <w:pPr>
        <w:spacing w:after="0"/>
        <w:tabs>
          <w:tab w:leader="none" w:pos="7360" w:val="left"/>
        </w:tabs>
        <w:rPr>
          <w:sz w:val="20"/>
          <w:szCs w:val="20"/>
          <w:color w:val="auto"/>
        </w:rPr>
      </w:pP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Wells Fargo Securities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Co-Managers</w:t>
      </w:r>
    </w:p>
    <w:p>
      <w:pPr>
        <w:spacing w:after="0" w:line="13" w:lineRule="exact"/>
        <w:rPr>
          <w:sz w:val="20"/>
          <w:szCs w:val="20"/>
          <w:color w:val="auto"/>
        </w:rPr>
      </w:pPr>
    </w:p>
    <w:p>
      <w:pPr>
        <w:spacing w:after="0"/>
        <w:tabs>
          <w:tab w:leader="none" w:pos="10140" w:val="left"/>
        </w:tabs>
        <w:rPr>
          <w:sz w:val="20"/>
          <w:szCs w:val="20"/>
          <w:color w:val="auto"/>
        </w:rPr>
      </w:pPr>
      <w:r>
        <w:rPr>
          <w:rFonts w:ascii="Arial" w:cs="Arial" w:eastAsia="Arial" w:hAnsi="Arial"/>
          <w:sz w:val="20"/>
          <w:szCs w:val="20"/>
          <w:b w:val="1"/>
          <w:bCs w:val="1"/>
          <w:color w:val="auto"/>
        </w:rPr>
        <w:t>Baird</w:t>
      </w:r>
      <w:r>
        <w:rPr>
          <w:sz w:val="20"/>
          <w:szCs w:val="20"/>
          <w:color w:val="auto"/>
        </w:rPr>
        <w:tab/>
      </w:r>
      <w:r>
        <w:rPr>
          <w:rFonts w:ascii="Arial" w:cs="Arial" w:eastAsia="Arial" w:hAnsi="Arial"/>
          <w:sz w:val="20"/>
          <w:szCs w:val="20"/>
          <w:b w:val="1"/>
          <w:bCs w:val="1"/>
          <w:color w:val="auto"/>
        </w:rPr>
        <w:t>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531495</wp:posOffset>
            </wp:positionV>
            <wp:extent cx="2245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tabs>
          <w:tab w:leader="none" w:pos="6420" w:val="left"/>
        </w:tabs>
        <w:rPr>
          <w:sz w:val="20"/>
          <w:szCs w:val="20"/>
          <w:color w:val="auto"/>
        </w:rPr>
      </w:pPr>
      <w:r>
        <w:rPr>
          <w:rFonts w:ascii="Arial" w:cs="Arial" w:eastAsia="Arial" w:hAnsi="Arial"/>
          <w:sz w:val="17"/>
          <w:szCs w:val="17"/>
          <w:color w:val="auto"/>
        </w:rPr>
        <w:t>Prospectus dated</w:t>
      </w:r>
      <w:r>
        <w:rPr>
          <w:sz w:val="20"/>
          <w:szCs w:val="20"/>
          <w:color w:val="auto"/>
        </w:rPr>
        <w:tab/>
      </w:r>
      <w:r>
        <w:rPr>
          <w:rFonts w:ascii="Arial" w:cs="Arial" w:eastAsia="Arial" w:hAnsi="Arial"/>
          <w:sz w:val="17"/>
          <w:szCs w:val="17"/>
          <w:color w:val="auto"/>
        </w:rPr>
        <w:t>, 2016.</w:t>
      </w:r>
    </w:p>
    <w:p>
      <w:pPr>
        <w:sectPr>
          <w:pgSz w:w="11900" w:h="16838" w:orient="portrait"/>
          <w:cols w:equalWidth="0" w:num="1">
            <w:col w:w="11420"/>
          </w:cols>
          <w:pgMar w:left="240" w:top="449"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50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40" w:type="dxa"/>
            <w:vAlign w:val="bottom"/>
            <w:gridSpan w:val="11"/>
            <w:vMerge w:val="restart"/>
          </w:tcPr>
          <w:p>
            <w:pPr>
              <w:spacing w:after="0"/>
              <w:rPr>
                <w:rFonts w:ascii="Arial" w:cs="Arial" w:eastAsia="Arial" w:hAnsi="Arial"/>
                <w:sz w:val="17"/>
                <w:szCs w:val="17"/>
                <w:color w:val="0000EE"/>
                <w:w w:val="96"/>
              </w:rPr>
            </w:pPr>
            <w:hyperlink w:anchor="page7">
              <w:r>
                <w:rPr>
                  <w:rFonts w:ascii="Arial" w:cs="Arial" w:eastAsia="Arial" w:hAnsi="Arial"/>
                  <w:sz w:val="17"/>
                  <w:szCs w:val="17"/>
                  <w:color w:val="0000EE"/>
                  <w:w w:val="96"/>
                </w:rPr>
                <w:t>PROSPECTUS SUMMARY</w:t>
              </w:r>
            </w:hyperlink>
          </w:p>
        </w:tc>
        <w:tc>
          <w:tcPr>
            <w:tcW w:w="8880" w:type="dxa"/>
            <w:vAlign w:val="bottom"/>
            <w:gridSpan w:val="11"/>
            <w:vMerge w:val="restart"/>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2040" w:type="dxa"/>
            <w:vAlign w:val="bottom"/>
            <w:tcBorders>
              <w:bottom w:val="single" w:sz="8" w:color="0000EE"/>
            </w:tcBorders>
            <w:gridSpan w:val="11"/>
            <w:vMerge w:val="continue"/>
          </w:tcPr>
          <w:p>
            <w:pPr>
              <w:spacing w:after="0"/>
              <w:rPr>
                <w:sz w:val="13"/>
                <w:szCs w:val="13"/>
                <w:color w:val="auto"/>
              </w:rPr>
            </w:pPr>
          </w:p>
        </w:tc>
        <w:tc>
          <w:tcPr>
            <w:tcW w:w="888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3"/>
        </w:trPr>
        <w:tc>
          <w:tcPr>
            <w:tcW w:w="1220" w:type="dxa"/>
            <w:vAlign w:val="bottom"/>
            <w:tcBorders>
              <w:bottom w:val="single" w:sz="8" w:color="0000EE"/>
            </w:tcBorders>
            <w:gridSpan w:val="5"/>
          </w:tcPr>
          <w:p>
            <w:pPr>
              <w:spacing w:after="0"/>
              <w:rPr>
                <w:rFonts w:ascii="Arial" w:cs="Arial" w:eastAsia="Arial" w:hAnsi="Arial"/>
                <w:sz w:val="17"/>
                <w:szCs w:val="17"/>
                <w:color w:val="0000EE"/>
                <w:w w:val="95"/>
              </w:rPr>
            </w:pPr>
            <w:hyperlink w:anchor="page26">
              <w:r>
                <w:rPr>
                  <w:rFonts w:ascii="Arial" w:cs="Arial" w:eastAsia="Arial" w:hAnsi="Arial"/>
                  <w:sz w:val="17"/>
                  <w:szCs w:val="17"/>
                  <w:color w:val="0000EE"/>
                  <w:w w:val="95"/>
                </w:rPr>
                <w:t>RISK FACTORS</w:t>
              </w:r>
            </w:hyperlink>
          </w:p>
        </w:tc>
        <w:tc>
          <w:tcPr>
            <w:tcW w:w="9700" w:type="dxa"/>
            <w:vAlign w:val="bottom"/>
            <w:gridSpan w:val="17"/>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73"/>
        </w:trPr>
        <w:tc>
          <w:tcPr>
            <w:tcW w:w="5480" w:type="dxa"/>
            <w:vAlign w:val="bottom"/>
            <w:tcBorders>
              <w:bottom w:val="single" w:sz="8" w:color="0000EE"/>
            </w:tcBorders>
            <w:gridSpan w:val="18"/>
          </w:tcPr>
          <w:p>
            <w:pPr>
              <w:spacing w:after="0"/>
              <w:rPr>
                <w:rFonts w:ascii="Arial" w:cs="Arial" w:eastAsia="Arial" w:hAnsi="Arial"/>
                <w:sz w:val="17"/>
                <w:szCs w:val="17"/>
                <w:color w:val="0000EE"/>
                <w:w w:val="96"/>
              </w:rPr>
            </w:pPr>
            <w:hyperlink w:anchor="page52">
              <w:r>
                <w:rPr>
                  <w:rFonts w:ascii="Arial" w:cs="Arial" w:eastAsia="Arial" w:hAnsi="Arial"/>
                  <w:sz w:val="17"/>
                  <w:szCs w:val="17"/>
                  <w:color w:val="0000EE"/>
                  <w:w w:val="96"/>
                </w:rPr>
                <w:t>CAUTIONARY NOTE REGARDING FORWARD LOOKING STATEMENTS</w:t>
              </w:r>
            </w:hyperlink>
          </w:p>
        </w:tc>
        <w:tc>
          <w:tcPr>
            <w:tcW w:w="5440" w:type="dxa"/>
            <w:vAlign w:val="bottom"/>
            <w:gridSpan w:val="4"/>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73"/>
        </w:trPr>
        <w:tc>
          <w:tcPr>
            <w:tcW w:w="160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54">
              <w:r>
                <w:rPr>
                  <w:rFonts w:ascii="Arial" w:cs="Arial" w:eastAsia="Arial" w:hAnsi="Arial"/>
                  <w:sz w:val="17"/>
                  <w:szCs w:val="17"/>
                  <w:color w:val="0000EE"/>
                  <w:w w:val="96"/>
                </w:rPr>
                <w:t>USE OF PROCEEDS</w:t>
              </w:r>
            </w:hyperlink>
          </w:p>
        </w:tc>
        <w:tc>
          <w:tcPr>
            <w:tcW w:w="9320" w:type="dxa"/>
            <w:vAlign w:val="bottom"/>
            <w:gridSpan w:val="12"/>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73"/>
        </w:trPr>
        <w:tc>
          <w:tcPr>
            <w:tcW w:w="1460" w:type="dxa"/>
            <w:vAlign w:val="bottom"/>
            <w:tcBorders>
              <w:bottom w:val="single" w:sz="8" w:color="0000EE"/>
            </w:tcBorders>
            <w:gridSpan w:val="9"/>
          </w:tcPr>
          <w:p>
            <w:pPr>
              <w:spacing w:after="0"/>
              <w:rPr>
                <w:rFonts w:ascii="Arial" w:cs="Arial" w:eastAsia="Arial" w:hAnsi="Arial"/>
                <w:sz w:val="17"/>
                <w:szCs w:val="17"/>
                <w:color w:val="0000EE"/>
                <w:w w:val="97"/>
              </w:rPr>
            </w:pPr>
            <w:hyperlink w:anchor="page55">
              <w:r>
                <w:rPr>
                  <w:rFonts w:ascii="Arial" w:cs="Arial" w:eastAsia="Arial" w:hAnsi="Arial"/>
                  <w:sz w:val="17"/>
                  <w:szCs w:val="17"/>
                  <w:color w:val="0000EE"/>
                  <w:w w:val="97"/>
                </w:rPr>
                <w:t>DIVIDEND POLICY</w:t>
              </w:r>
            </w:hyperlink>
          </w:p>
        </w:tc>
        <w:tc>
          <w:tcPr>
            <w:tcW w:w="9460" w:type="dxa"/>
            <w:vAlign w:val="bottom"/>
            <w:gridSpan w:val="13"/>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CAPITALIZATION</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73"/>
        </w:trPr>
        <w:tc>
          <w:tcPr>
            <w:tcW w:w="8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8"/>
              </w:rPr>
            </w:pPr>
            <w:hyperlink w:anchor="page57">
              <w:r>
                <w:rPr>
                  <w:rFonts w:ascii="Arial" w:cs="Arial" w:eastAsia="Arial" w:hAnsi="Arial"/>
                  <w:sz w:val="17"/>
                  <w:szCs w:val="17"/>
                  <w:color w:val="0000EE"/>
                  <w:w w:val="98"/>
                </w:rPr>
                <w:t>DILUTION</w:t>
              </w:r>
            </w:hyperlink>
          </w:p>
        </w:tc>
        <w:tc>
          <w:tcPr>
            <w:tcW w:w="520" w:type="dxa"/>
            <w:vAlign w:val="bottom"/>
            <w:tcBorders>
              <w:top w:val="single" w:sz="8" w:color="0000EE"/>
            </w:tcBorders>
            <w:gridSpan w:val="5"/>
          </w:tcPr>
          <w:p>
            <w:pPr>
              <w:spacing w:after="0"/>
              <w:rPr>
                <w:sz w:val="24"/>
                <w:szCs w:val="24"/>
                <w:color w:val="auto"/>
              </w:rPr>
            </w:pPr>
          </w:p>
        </w:tc>
        <w:tc>
          <w:tcPr>
            <w:tcW w:w="9600" w:type="dxa"/>
            <w:vAlign w:val="bottom"/>
            <w:gridSpan w:val="15"/>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373"/>
        </w:trPr>
        <w:tc>
          <w:tcPr>
            <w:tcW w:w="5660" w:type="dxa"/>
            <w:vAlign w:val="bottom"/>
            <w:tcBorders>
              <w:bottom w:val="single" w:sz="8" w:color="0000EE"/>
            </w:tcBorders>
            <w:gridSpan w:val="19"/>
          </w:tcPr>
          <w:p>
            <w:pPr>
              <w:spacing w:after="0"/>
              <w:rPr>
                <w:rFonts w:ascii="Arial" w:cs="Arial" w:eastAsia="Arial" w:hAnsi="Arial"/>
                <w:sz w:val="17"/>
                <w:szCs w:val="17"/>
                <w:color w:val="0000EE"/>
                <w:w w:val="96"/>
              </w:rPr>
            </w:pPr>
            <w:hyperlink w:anchor="page59">
              <w:r>
                <w:rPr>
                  <w:rFonts w:ascii="Arial" w:cs="Arial" w:eastAsia="Arial" w:hAnsi="Arial"/>
                  <w:sz w:val="17"/>
                  <w:szCs w:val="17"/>
                  <w:color w:val="0000EE"/>
                  <w:w w:val="96"/>
                </w:rPr>
                <w:t>SELECTED HISTORICAL CONSOLIDATED FINANCIAL AND OTHER DATA</w:t>
              </w:r>
            </w:hyperlink>
          </w:p>
        </w:tc>
        <w:tc>
          <w:tcPr>
            <w:tcW w:w="5260" w:type="dxa"/>
            <w:vAlign w:val="bottom"/>
            <w:gridSpan w:val="3"/>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373"/>
        </w:trPr>
        <w:tc>
          <w:tcPr>
            <w:tcW w:w="8420" w:type="dxa"/>
            <w:vAlign w:val="bottom"/>
            <w:tcBorders>
              <w:bottom w:val="single" w:sz="8" w:color="0000EE"/>
            </w:tcBorders>
            <w:gridSpan w:val="21"/>
          </w:tcPr>
          <w:p>
            <w:pPr>
              <w:spacing w:after="0"/>
              <w:rPr>
                <w:rFonts w:ascii="Arial" w:cs="Arial" w:eastAsia="Arial" w:hAnsi="Arial"/>
                <w:sz w:val="17"/>
                <w:szCs w:val="17"/>
                <w:color w:val="0000EE"/>
                <w:w w:val="96"/>
              </w:rPr>
            </w:pPr>
            <w:hyperlink w:anchor="page64">
              <w:r>
                <w:rPr>
                  <w:rFonts w:ascii="Arial" w:cs="Arial" w:eastAsia="Arial" w:hAnsi="Arial"/>
                  <w:sz w:val="17"/>
                  <w:szCs w:val="17"/>
                  <w:color w:val="0000EE"/>
                  <w:w w:val="96"/>
                </w:rPr>
                <w:t>MANAGEMENT’S DISCUSSION AND ANALYSIS OF FINANCIAL CONDITION AND RESULTS OF OPERATIONS</w:t>
              </w:r>
            </w:hyperlink>
          </w:p>
        </w:tc>
        <w:tc>
          <w:tcPr>
            <w:tcW w:w="25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BUSINESS</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20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110">
              <w:r>
                <w:rPr>
                  <w:rFonts w:ascii="Arial" w:cs="Arial" w:eastAsia="Arial" w:hAnsi="Arial"/>
                  <w:sz w:val="17"/>
                  <w:szCs w:val="17"/>
                  <w:color w:val="0000EE"/>
                  <w:w w:val="96"/>
                </w:rPr>
                <w:t>MANAGEMENT</w:t>
              </w:r>
            </w:hyperlink>
          </w:p>
        </w:tc>
        <w:tc>
          <w:tcPr>
            <w:tcW w:w="9720" w:type="dxa"/>
            <w:vAlign w:val="bottom"/>
            <w:gridSpan w:val="18"/>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116">
              <w:r>
                <w:rPr>
                  <w:rFonts w:ascii="Arial" w:cs="Arial" w:eastAsia="Arial" w:hAnsi="Arial"/>
                  <w:sz w:val="17"/>
                  <w:szCs w:val="17"/>
                  <w:color w:val="0000EE"/>
                </w:rPr>
                <w:t>EXECUTIVE AND DIRECTOR COMPENSATION</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126">
              <w:r>
                <w:rPr>
                  <w:rFonts w:ascii="Arial" w:cs="Arial" w:eastAsia="Arial" w:hAnsi="Arial"/>
                  <w:sz w:val="17"/>
                  <w:szCs w:val="17"/>
                  <w:color w:val="0000EE"/>
                </w:rPr>
                <w:t>CERTAIN RELATIONSHIPS AND RELATED PERSON TRANSACTIONS</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373"/>
        </w:trPr>
        <w:tc>
          <w:tcPr>
            <w:tcW w:w="5360" w:type="dxa"/>
            <w:vAlign w:val="bottom"/>
            <w:tcBorders>
              <w:top w:val="single" w:sz="8" w:color="0000EE"/>
            </w:tcBorders>
            <w:gridSpan w:val="17"/>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PRINCIPAL SHAREHOLDERS</w:t>
              </w:r>
            </w:hyperlink>
          </w:p>
        </w:tc>
        <w:tc>
          <w:tcPr>
            <w:tcW w:w="5560" w:type="dxa"/>
            <w:vAlign w:val="bottom"/>
            <w:gridSpan w:val="5"/>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76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133">
              <w:r>
                <w:rPr>
                  <w:rFonts w:ascii="Arial" w:cs="Arial" w:eastAsia="Arial" w:hAnsi="Arial"/>
                  <w:sz w:val="17"/>
                  <w:szCs w:val="17"/>
                  <w:color w:val="0000EE"/>
                  <w:w w:val="96"/>
                </w:rPr>
                <w:t>DESCRIPTION OF CAPITAL STOCK</w:t>
              </w:r>
            </w:hyperlink>
          </w:p>
        </w:tc>
        <w:tc>
          <w:tcPr>
            <w:tcW w:w="8160" w:type="dxa"/>
            <w:vAlign w:val="bottom"/>
            <w:gridSpan w:val="9"/>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373"/>
        </w:trPr>
        <w:tc>
          <w:tcPr>
            <w:tcW w:w="3060" w:type="dxa"/>
            <w:vAlign w:val="bottom"/>
            <w:tcBorders>
              <w:bottom w:val="single" w:sz="8" w:color="0000EE"/>
            </w:tcBorders>
            <w:gridSpan w:val="14"/>
          </w:tcPr>
          <w:p>
            <w:pPr>
              <w:spacing w:after="0"/>
              <w:rPr>
                <w:rFonts w:ascii="Arial" w:cs="Arial" w:eastAsia="Arial" w:hAnsi="Arial"/>
                <w:sz w:val="17"/>
                <w:szCs w:val="17"/>
                <w:color w:val="0000EE"/>
                <w:w w:val="97"/>
              </w:rPr>
            </w:pPr>
            <w:hyperlink w:anchor="page138">
              <w:r>
                <w:rPr>
                  <w:rFonts w:ascii="Arial" w:cs="Arial" w:eastAsia="Arial" w:hAnsi="Arial"/>
                  <w:sz w:val="17"/>
                  <w:szCs w:val="17"/>
                  <w:color w:val="0000EE"/>
                  <w:w w:val="97"/>
                </w:rPr>
                <w:t>SHARES ELIGIBLE FOR FUTURE SALE</w:t>
              </w:r>
            </w:hyperlink>
          </w:p>
        </w:tc>
        <w:tc>
          <w:tcPr>
            <w:tcW w:w="7860" w:type="dxa"/>
            <w:vAlign w:val="bottom"/>
            <w:gridSpan w:val="8"/>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373"/>
        </w:trPr>
        <w:tc>
          <w:tcPr>
            <w:tcW w:w="6440" w:type="dxa"/>
            <w:vAlign w:val="bottom"/>
            <w:tcBorders>
              <w:bottom w:val="single" w:sz="8" w:color="0000EE"/>
            </w:tcBorders>
            <w:gridSpan w:val="20"/>
          </w:tcPr>
          <w:p>
            <w:pPr>
              <w:spacing w:after="0"/>
              <w:rPr>
                <w:rFonts w:ascii="Arial" w:cs="Arial" w:eastAsia="Arial" w:hAnsi="Arial"/>
                <w:sz w:val="17"/>
                <w:szCs w:val="17"/>
                <w:color w:val="0000EE"/>
                <w:w w:val="96"/>
              </w:rPr>
            </w:pPr>
            <w:hyperlink w:anchor="page140">
              <w:r>
                <w:rPr>
                  <w:rFonts w:ascii="Arial" w:cs="Arial" w:eastAsia="Arial" w:hAnsi="Arial"/>
                  <w:sz w:val="17"/>
                  <w:szCs w:val="17"/>
                  <w:color w:val="0000EE"/>
                  <w:w w:val="96"/>
                </w:rPr>
                <w:t>MATERIAL U.S. FEDERAL INCOME TAX CONSEQUENCES TO NON-U.S. HOLDERS</w:t>
              </w:r>
            </w:hyperlink>
          </w:p>
        </w:tc>
        <w:tc>
          <w:tcPr>
            <w:tcW w:w="4480" w:type="dxa"/>
            <w:vAlign w:val="bottom"/>
            <w:gridSpan w:val="2"/>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144">
              <w:r>
                <w:rPr>
                  <w:rFonts w:ascii="Arial" w:cs="Arial" w:eastAsia="Arial" w:hAnsi="Arial"/>
                  <w:sz w:val="17"/>
                  <w:szCs w:val="17"/>
                  <w:color w:val="0000EE"/>
                </w:rPr>
                <w:t>UNDERWRITING</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151">
              <w:r>
                <w:rPr>
                  <w:rFonts w:ascii="Arial" w:cs="Arial" w:eastAsia="Arial" w:hAnsi="Arial"/>
                  <w:sz w:val="17"/>
                  <w:szCs w:val="17"/>
                  <w:color w:val="0000EE"/>
                </w:rPr>
                <w:t>LEGAL MATTERS</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373"/>
        </w:trPr>
        <w:tc>
          <w:tcPr>
            <w:tcW w:w="780" w:type="dxa"/>
            <w:vAlign w:val="bottom"/>
            <w:tcBorders>
              <w:top w:val="single" w:sz="8" w:color="0000EE"/>
              <w:bottom w:val="single" w:sz="8" w:color="0000EE"/>
            </w:tcBorders>
          </w:tcPr>
          <w:p>
            <w:pPr>
              <w:spacing w:after="0"/>
              <w:rPr>
                <w:rFonts w:ascii="Arial" w:cs="Arial" w:eastAsia="Arial" w:hAnsi="Arial"/>
                <w:sz w:val="17"/>
                <w:szCs w:val="17"/>
                <w:color w:val="0000EE"/>
                <w:w w:val="95"/>
              </w:rPr>
            </w:pPr>
            <w:hyperlink w:anchor="page151">
              <w:r>
                <w:rPr>
                  <w:rFonts w:ascii="Arial" w:cs="Arial" w:eastAsia="Arial" w:hAnsi="Arial"/>
                  <w:sz w:val="17"/>
                  <w:szCs w:val="17"/>
                  <w:color w:val="0000EE"/>
                  <w:w w:val="95"/>
                </w:rPr>
                <w:t>EXPERTS</w:t>
              </w:r>
            </w:hyperlink>
          </w:p>
        </w:tc>
        <w:tc>
          <w:tcPr>
            <w:tcW w:w="580" w:type="dxa"/>
            <w:vAlign w:val="bottom"/>
            <w:tcBorders>
              <w:top w:val="single" w:sz="8" w:color="0000EE"/>
            </w:tcBorders>
            <w:gridSpan w:val="7"/>
          </w:tcPr>
          <w:p>
            <w:pPr>
              <w:spacing w:after="0"/>
              <w:rPr>
                <w:sz w:val="24"/>
                <w:szCs w:val="24"/>
                <w:color w:val="auto"/>
              </w:rPr>
            </w:pPr>
          </w:p>
        </w:tc>
        <w:tc>
          <w:tcPr>
            <w:tcW w:w="9560" w:type="dxa"/>
            <w:vAlign w:val="bottom"/>
            <w:gridSpan w:val="14"/>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373"/>
        </w:trPr>
        <w:tc>
          <w:tcPr>
            <w:tcW w:w="3620" w:type="dxa"/>
            <w:vAlign w:val="bottom"/>
            <w:tcBorders>
              <w:bottom w:val="single" w:sz="8" w:color="0000EE"/>
            </w:tcBorders>
            <w:gridSpan w:val="15"/>
          </w:tcPr>
          <w:p>
            <w:pPr>
              <w:spacing w:after="0"/>
              <w:rPr>
                <w:rFonts w:ascii="Arial" w:cs="Arial" w:eastAsia="Arial" w:hAnsi="Arial"/>
                <w:sz w:val="17"/>
                <w:szCs w:val="17"/>
                <w:color w:val="0000EE"/>
                <w:w w:val="96"/>
              </w:rPr>
            </w:pPr>
            <w:hyperlink w:anchor="page151">
              <w:r>
                <w:rPr>
                  <w:rFonts w:ascii="Arial" w:cs="Arial" w:eastAsia="Arial" w:hAnsi="Arial"/>
                  <w:sz w:val="17"/>
                  <w:szCs w:val="17"/>
                  <w:color w:val="0000EE"/>
                  <w:w w:val="96"/>
                </w:rPr>
                <w:t>WHERE YOU CAN FIND MORE INFORMATION</w:t>
              </w:r>
            </w:hyperlink>
          </w:p>
        </w:tc>
        <w:tc>
          <w:tcPr>
            <w:tcW w:w="7300" w:type="dxa"/>
            <w:vAlign w:val="bottom"/>
            <w:gridSpan w:val="7"/>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373"/>
        </w:trPr>
        <w:tc>
          <w:tcPr>
            <w:tcW w:w="10920" w:type="dxa"/>
            <w:vAlign w:val="bottom"/>
            <w:gridSpan w:val="22"/>
          </w:tcPr>
          <w:p>
            <w:pPr>
              <w:spacing w:after="0"/>
              <w:rPr>
                <w:rFonts w:ascii="Arial" w:cs="Arial" w:eastAsia="Arial" w:hAnsi="Arial"/>
                <w:sz w:val="17"/>
                <w:szCs w:val="17"/>
                <w:color w:val="0000EE"/>
              </w:rPr>
            </w:pPr>
            <w:hyperlink w:anchor="page152">
              <w:r>
                <w:rPr>
                  <w:rFonts w:ascii="Arial" w:cs="Arial" w:eastAsia="Arial" w:hAnsi="Arial"/>
                  <w:sz w:val="17"/>
                  <w:szCs w:val="17"/>
                  <w:color w:val="0000EE"/>
                </w:rPr>
                <w:t>INDEX TO CONSOLIDATED FINANCIAL STATEMENTS</w:t>
              </w:r>
            </w:hyperlink>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40" w:type="dxa"/>
            <w:vAlign w:val="bottom"/>
            <w:tcBorders>
              <w:top w:val="single" w:sz="8" w:color="0000EE"/>
              <w:bottom w:val="single" w:sz="8" w:color="auto"/>
            </w:tcBorders>
          </w:tcPr>
          <w:p>
            <w:pPr>
              <w:spacing w:after="0"/>
              <w:rPr>
                <w:sz w:val="18"/>
                <w:szCs w:val="18"/>
                <w:color w:val="auto"/>
              </w:rPr>
            </w:pPr>
          </w:p>
        </w:tc>
        <w:tc>
          <w:tcPr>
            <w:tcW w:w="36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8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40" w:type="dxa"/>
            <w:vAlign w:val="bottom"/>
            <w:tcBorders>
              <w:top w:val="single" w:sz="8" w:color="0000EE"/>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c>
          <w:tcPr>
            <w:tcW w:w="140" w:type="dxa"/>
            <w:vAlign w:val="bottom"/>
            <w:tcBorders>
              <w:top w:val="single" w:sz="8" w:color="0000EE"/>
              <w:bottom w:val="single" w:sz="8" w:color="auto"/>
            </w:tcBorders>
          </w:tcPr>
          <w:p>
            <w:pPr>
              <w:spacing w:after="0"/>
              <w:rPr>
                <w:sz w:val="18"/>
                <w:szCs w:val="18"/>
                <w:color w:val="auto"/>
              </w:rPr>
            </w:pPr>
          </w:p>
        </w:tc>
        <w:tc>
          <w:tcPr>
            <w:tcW w:w="440" w:type="dxa"/>
            <w:vAlign w:val="bottom"/>
            <w:tcBorders>
              <w:top w:val="single" w:sz="8" w:color="0000EE"/>
              <w:bottom w:val="single" w:sz="8" w:color="auto"/>
            </w:tcBorders>
          </w:tcPr>
          <w:p>
            <w:pPr>
              <w:spacing w:after="0"/>
              <w:rPr>
                <w:sz w:val="18"/>
                <w:szCs w:val="18"/>
                <w:color w:val="auto"/>
              </w:rPr>
            </w:pPr>
          </w:p>
        </w:tc>
        <w:tc>
          <w:tcPr>
            <w:tcW w:w="240" w:type="dxa"/>
            <w:vAlign w:val="bottom"/>
            <w:tcBorders>
              <w:top w:val="single" w:sz="8" w:color="0000EE"/>
              <w:bottom w:val="single" w:sz="8" w:color="auto"/>
            </w:tcBorders>
          </w:tcPr>
          <w:p>
            <w:pPr>
              <w:spacing w:after="0"/>
              <w:rPr>
                <w:sz w:val="18"/>
                <w:szCs w:val="18"/>
                <w:color w:val="auto"/>
              </w:rPr>
            </w:pPr>
          </w:p>
        </w:tc>
        <w:tc>
          <w:tcPr>
            <w:tcW w:w="480" w:type="dxa"/>
            <w:vAlign w:val="bottom"/>
            <w:tcBorders>
              <w:top w:val="single" w:sz="8" w:color="0000EE"/>
              <w:bottom w:val="single" w:sz="8" w:color="auto"/>
            </w:tcBorders>
          </w:tcPr>
          <w:p>
            <w:pPr>
              <w:spacing w:after="0"/>
              <w:rPr>
                <w:sz w:val="18"/>
                <w:szCs w:val="18"/>
                <w:color w:val="auto"/>
              </w:rPr>
            </w:pPr>
          </w:p>
        </w:tc>
        <w:tc>
          <w:tcPr>
            <w:tcW w:w="300" w:type="dxa"/>
            <w:vAlign w:val="bottom"/>
            <w:tcBorders>
              <w:top w:val="single" w:sz="8" w:color="0000EE"/>
              <w:bottom w:val="single" w:sz="8" w:color="auto"/>
            </w:tcBorders>
          </w:tcPr>
          <w:p>
            <w:pPr>
              <w:spacing w:after="0"/>
              <w:rPr>
                <w:sz w:val="18"/>
                <w:szCs w:val="18"/>
                <w:color w:val="auto"/>
              </w:rPr>
            </w:pPr>
          </w:p>
        </w:tc>
        <w:tc>
          <w:tcPr>
            <w:tcW w:w="560" w:type="dxa"/>
            <w:vAlign w:val="bottom"/>
            <w:tcBorders>
              <w:top w:val="single" w:sz="8" w:color="0000EE"/>
              <w:bottom w:val="single" w:sz="8" w:color="auto"/>
            </w:tcBorders>
          </w:tcPr>
          <w:p>
            <w:pPr>
              <w:spacing w:after="0"/>
              <w:rPr>
                <w:sz w:val="18"/>
                <w:szCs w:val="18"/>
                <w:color w:val="auto"/>
              </w:rPr>
            </w:pPr>
          </w:p>
        </w:tc>
        <w:tc>
          <w:tcPr>
            <w:tcW w:w="560" w:type="dxa"/>
            <w:vAlign w:val="bottom"/>
            <w:tcBorders>
              <w:top w:val="single" w:sz="8" w:color="0000EE"/>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You should rely only on the information contained in this prospectus or in any free-writing prospectus we may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449"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is only accurate as of the date on the front cover of this prospectus. Our business, financial condition, results of operations and prospects may have changed since that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96"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 xml:space="preserve">We own or have the rights to use various trademarks referred to in this prospectus, including, among others, Medpace and ClinTrak and their respective logos. Solely for convenience, we may refer to trademarks in this prospectus without the TM and </w:t>
      </w:r>
      <w:r>
        <w:rPr>
          <w:rFonts w:ascii="Arial" w:cs="Arial" w:eastAsia="Arial" w:hAnsi="Arial"/>
          <w:sz w:val="14"/>
          <w:szCs w:val="14"/>
          <w:color w:val="auto"/>
        </w:rPr>
        <w:t>®</w:t>
      </w:r>
      <w:r>
        <w:rPr>
          <w:rFonts w:ascii="Arial" w:cs="Arial" w:eastAsia="Arial" w:hAnsi="Arial"/>
          <w:sz w:val="17"/>
          <w:szCs w:val="17"/>
          <w:color w:val="auto"/>
        </w:rPr>
        <w:t xml:space="preserve"> symbols. Such references are not intended to indicate, in any way, that we will not assert, to the fullest extent permitted by law, our rights to our trademarks. Other trademarks appearing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AND INDUSTRY INFORMATION</w:t>
      </w:r>
    </w:p>
    <w:p>
      <w:pPr>
        <w:spacing w:after="0" w:line="8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Market data used throughout this prospectus is based on management’s knowledge of the industry and the good faith estimates of management. All of management’s estimates presented herein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prospectus and while we believe that each of the publications, studies and surveys used throughout this prospectus are prepared by reputable sources, neither we nor the underwriters have independently verified market and industry data from third-party sources.</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All of the market data used in this prospectus involves a number of assumptions and limitations, and you are cautioned not to give undue weight to such estimates. While we believe the estimated market position, market opportunity and market size information included in this prospectus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These and other factors could cause results to differ materially from those expressed in our estimates and beliefs and in the estimates prepared by independent parties. See “Cautionary Note Regarding Forward 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GLOSSARY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We define the terms below that appear throughout this prospectus as follows:</w:t>
      </w:r>
    </w:p>
    <w:p>
      <w:pPr>
        <w:spacing w:after="0" w:line="12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Backlog</w:t>
      </w:r>
      <w:r>
        <w:rPr>
          <w:rFonts w:ascii="Arial" w:cs="Arial" w:eastAsia="Arial" w:hAnsi="Arial"/>
          <w:sz w:val="17"/>
          <w:szCs w:val="17"/>
          <w:b w:val="1"/>
          <w:bCs w:val="1"/>
          <w:color w:val="auto"/>
        </w:rPr>
        <w:t>.</w:t>
      </w:r>
      <w:r>
        <w:rPr>
          <w:rFonts w:ascii="Arial" w:cs="Arial" w:eastAsia="Arial" w:hAnsi="Arial"/>
          <w:sz w:val="17"/>
          <w:szCs w:val="17"/>
          <w:color w:val="auto"/>
        </w:rPr>
        <w:t>” Backlog represents anticipated future net service revenue from net new business awards that have not commenced or are currently in process but not complete.</w:t>
      </w:r>
    </w:p>
    <w:p>
      <w:pPr>
        <w:spacing w:after="0" w:line="108"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Large pharmaceutical companies</w:t>
      </w:r>
      <w:r>
        <w:rPr>
          <w:rFonts w:ascii="Arial" w:cs="Arial" w:eastAsia="Arial" w:hAnsi="Arial"/>
          <w:sz w:val="16"/>
          <w:szCs w:val="16"/>
          <w:b w:val="1"/>
          <w:bCs w:val="1"/>
          <w:color w:val="auto"/>
        </w:rPr>
        <w:t>.</w:t>
      </w:r>
      <w:r>
        <w:rPr>
          <w:rFonts w:ascii="Arial" w:cs="Arial" w:eastAsia="Arial" w:hAnsi="Arial"/>
          <w:sz w:val="16"/>
          <w:szCs w:val="16"/>
          <w:color w:val="auto"/>
        </w:rPr>
        <w:t>” Large pharmaceutical companies represent the top 20 pharmaceutical companies by worldwide prescription drug sales in the year ended December 31, 2014 as classified by Evaluate Ltd in EvaluatePharma</w:t>
      </w:r>
      <w:r>
        <w:rPr>
          <w:rFonts w:ascii="Arial" w:cs="Arial" w:eastAsia="Arial" w:hAnsi="Arial"/>
          <w:sz w:val="13"/>
          <w:szCs w:val="13"/>
          <w:color w:val="auto"/>
        </w:rPr>
        <w:t>©</w:t>
      </w:r>
      <w:r>
        <w:rPr>
          <w:rFonts w:ascii="Arial" w:cs="Arial" w:eastAsia="Arial" w:hAnsi="Arial"/>
          <w:sz w:val="16"/>
          <w:szCs w:val="16"/>
          <w:color w:val="auto"/>
        </w:rPr>
        <w:t xml:space="preserve"> World Preview 2015 Outlook to 2020, an industry report.</w:t>
      </w:r>
    </w:p>
    <w:p>
      <w:pPr>
        <w:spacing w:after="0" w:line="85" w:lineRule="exact"/>
        <w:rPr>
          <w:sz w:val="20"/>
          <w:szCs w:val="20"/>
          <w:color w:val="auto"/>
        </w:rPr>
      </w:pPr>
    </w:p>
    <w:p>
      <w:pP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Mid-sized biopharmaceutical companies.</w:t>
      </w:r>
      <w:r>
        <w:rPr>
          <w:rFonts w:ascii="Arial" w:cs="Arial" w:eastAsia="Arial" w:hAnsi="Arial"/>
          <w:sz w:val="17"/>
          <w:szCs w:val="17"/>
          <w:color w:val="auto"/>
        </w:rPr>
        <w:t>” Mid-sized biopharmaceutical companies represent biopharmaceutical companies with at least $250 million in sales in the year ended December 31, 2014, based on publicly available data and management’s knowledge, that are not classified as a top 20 pharmaceutical company by Evaluate Ltd in EvaluatePharma</w:t>
      </w:r>
      <w:r>
        <w:rPr>
          <w:rFonts w:ascii="Arial" w:cs="Arial" w:eastAsia="Arial" w:hAnsi="Arial"/>
          <w:sz w:val="14"/>
          <w:szCs w:val="14"/>
          <w:color w:val="auto"/>
        </w:rPr>
        <w:t>©</w:t>
      </w:r>
      <w:r>
        <w:rPr>
          <w:rFonts w:ascii="Arial" w:cs="Arial" w:eastAsia="Arial" w:hAnsi="Arial"/>
          <w:sz w:val="17"/>
          <w:szCs w:val="17"/>
          <w:color w:val="auto"/>
        </w:rPr>
        <w:t xml:space="preserve"> World Preview 2015 Outlook to 2020, an industry report.</w:t>
      </w:r>
    </w:p>
    <w:p>
      <w:pPr>
        <w:spacing w:after="0" w:line="12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new business awards.</w:t>
      </w:r>
      <w:r>
        <w:rPr>
          <w:rFonts w:ascii="Arial" w:cs="Arial" w:eastAsia="Arial" w:hAnsi="Arial"/>
          <w:sz w:val="17"/>
          <w:szCs w:val="17"/>
          <w:color w:val="auto"/>
        </w:rPr>
        <w:t>” 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w:t>
      </w:r>
    </w:p>
    <w:p>
      <w:pPr>
        <w:spacing w:after="0" w:line="114"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w:t>
      </w:r>
      <w:r>
        <w:rPr>
          <w:rFonts w:ascii="Arial" w:cs="Arial" w:eastAsia="Arial" w:hAnsi="Arial"/>
          <w:sz w:val="17"/>
          <w:szCs w:val="17"/>
          <w:color w:val="auto"/>
        </w:rPr>
        <w:t>” Phase I trials are typically conducted in healthy individuals or, on occasion, in patients, and typically involve 20 to 80 subjects and range from a 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2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Phase II.</w:t>
      </w:r>
      <w:r>
        <w:rPr>
          <w:rFonts w:ascii="Arial" w:cs="Arial" w:eastAsia="Arial" w:hAnsi="Arial"/>
          <w:sz w:val="16"/>
          <w:szCs w:val="16"/>
          <w:color w:val="auto"/>
        </w:rPr>
        <w:t>” Phase II trials are conducted in a limited population of patients with the disease or condition that the clinical product candidate is intended to 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16"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III.</w:t>
      </w:r>
      <w:r>
        <w:rPr>
          <w:rFonts w:ascii="Arial" w:cs="Arial" w:eastAsia="Arial" w:hAnsi="Arial"/>
          <w:sz w:val="17"/>
          <w:szCs w:val="17"/>
          <w:color w:val="auto"/>
        </w:rPr>
        <w:t>” Phase III trials evaluate the clinical product candidate in significantly larger and more diverse patient populations than Phase I and II trials and are conducted at multiple, geographically dispersed sites. On average, this phase lasts from one to three years. Depending on the size and complexity, Phase III 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NDA, or Biologics License Application for approval by the United States Food and Drug Administration, or FDA, or a similar marketing authorization application for approval by non-U.S. regulatory agencies.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Phase IV.</w:t>
      </w:r>
      <w:r>
        <w:rPr>
          <w:rFonts w:ascii="Arial" w:cs="Arial" w:eastAsia="Arial" w:hAnsi="Arial"/>
          <w:sz w:val="16"/>
          <w:szCs w:val="16"/>
          <w:color w:val="auto"/>
        </w:rPr>
        <w:t>” Phase IV or “post-approval” trials are intended to monitor the drug’s long-term risks and benefits, to analyze different dosage levels, to evaluate different safety and efficacy parameters in target populations or to 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11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Small biopharmaceutical companies.</w:t>
      </w:r>
      <w:r>
        <w:rPr>
          <w:rFonts w:ascii="Arial" w:cs="Arial" w:eastAsia="Arial" w:hAnsi="Arial"/>
          <w:sz w:val="17"/>
          <w:szCs w:val="17"/>
          <w:color w:val="auto"/>
        </w:rPr>
        <w:t>” Small biopharmaceutical companies represent biopharmaceutical companies that have less than $250 million in sales in the year ended December 31, 2014, based on publicly available data and management’s knowledge.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9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Certain financial measures presented in this prospectus, such as EBITDA, Adjusted EBITDA, Adjusted Net Income and Free Cash Flow, are not recognized under generally accepted accounting principles in the United States of America, or U.S. GAAP. Management uses EBITDA, Adjusted EBITDA, Adjusted Net Income and Free Cash Flow or comparable metrics:</w:t>
      </w:r>
    </w:p>
    <w:p>
      <w:pPr>
        <w:spacing w:after="0" w:line="106" w:lineRule="exact"/>
        <w:rPr>
          <w:sz w:val="20"/>
          <w:szCs w:val="20"/>
          <w:color w:val="auto"/>
        </w:rPr>
      </w:pPr>
    </w:p>
    <w:p>
      <w:pPr>
        <w:ind w:left="800" w:hanging="455"/>
        <w:spacing w:after="0"/>
        <w:tabs>
          <w:tab w:leader="none" w:pos="80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color w:val="auto"/>
        </w:rPr>
        <w:t>as a measurement used in evaluating our operating performance on a consistent basis;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1"/>
        </w:numPr>
        <w:rPr>
          <w:rFonts w:ascii="Arial" w:cs="Arial" w:eastAsia="Arial" w:hAnsi="Arial"/>
          <w:sz w:val="23"/>
          <w:szCs w:val="23"/>
          <w:color w:val="auto"/>
          <w:vertAlign w:val="superscript"/>
        </w:rPr>
      </w:pPr>
      <w:r>
        <w:rPr>
          <w:rFonts w:ascii="Arial" w:cs="Arial" w:eastAsia="Arial" w:hAnsi="Arial"/>
          <w:sz w:val="16"/>
          <w:szCs w:val="16"/>
          <w:color w:val="auto"/>
        </w:rPr>
        <w:t>as a consideration to assess incentive compensation for our employees;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
        </w:numPr>
        <w:rPr>
          <w:rFonts w:ascii="Arial" w:cs="Arial" w:eastAsia="Arial" w:hAnsi="Arial"/>
          <w:sz w:val="23"/>
          <w:szCs w:val="23"/>
          <w:color w:val="auto"/>
          <w:vertAlign w:val="superscript"/>
        </w:rPr>
      </w:pPr>
      <w:r>
        <w:rPr>
          <w:rFonts w:ascii="Arial" w:cs="Arial" w:eastAsia="Arial" w:hAnsi="Arial"/>
          <w:sz w:val="16"/>
          <w:szCs w:val="16"/>
          <w:color w:val="auto"/>
        </w:rPr>
        <w:t>for planning purposes, including the preparation of our internal annual operating budget;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
        </w:numPr>
        <w:rPr>
          <w:rFonts w:ascii="Arial" w:cs="Arial" w:eastAsia="Arial" w:hAnsi="Arial"/>
          <w:sz w:val="23"/>
          <w:szCs w:val="23"/>
          <w:color w:val="auto"/>
          <w:vertAlign w:val="superscript"/>
        </w:rPr>
      </w:pPr>
      <w:r>
        <w:rPr>
          <w:rFonts w:ascii="Arial" w:cs="Arial" w:eastAsia="Arial" w:hAnsi="Arial"/>
          <w:sz w:val="16"/>
          <w:szCs w:val="16"/>
          <w:color w:val="auto"/>
        </w:rPr>
        <w:t>to evaluate the performance and effectiveness of our operational strategies.</w:t>
      </w:r>
    </w:p>
    <w:p>
      <w:pPr>
        <w:spacing w:after="0" w:line="14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We believe that EBITDA and Adjusted EBITDA are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400"/>
          </w:cols>
          <w:pgMar w:left="240" w:top="449"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580"/>
        <w:spacing w:after="0" w:line="231" w:lineRule="auto"/>
        <w:rPr>
          <w:sz w:val="20"/>
          <w:szCs w:val="20"/>
          <w:color w:val="auto"/>
        </w:rPr>
      </w:pPr>
      <w:r>
        <w:rPr>
          <w:rFonts w:ascii="Arial" w:cs="Arial" w:eastAsia="Arial" w:hAnsi="Arial"/>
          <w:sz w:val="17"/>
          <w:szCs w:val="17"/>
          <w:color w:val="auto"/>
        </w:rPr>
        <w:t>accordance with U.S. GAAP. EBITDA is calculated as net income (loss) attributable to Medpace Holdings, Inc. before income tax expense, interest expense, net, depreciation and amortization with Adjusted EBITDA being further adjusted for unusual and other items. Our presentation of Adjusted EBITDA should not be construed as an inference that our future results will be unaffected by unusual or non-recurring items.</w:t>
      </w:r>
    </w:p>
    <w:p>
      <w:pPr>
        <w:spacing w:after="0" w:line="14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1"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140"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EBITDA, Adjusted EBITDA, Adjusted Net Income and Free Cash Flow have important limitations as analytical tools and you should not consider them in isolation, or as a substitute for, analysis of our results as reported under U.S. GAAP. See the consolidated financial statements included elsewhere in this prospectus for our U.S. GAAP results. Additionally, for reconciliations of EBITDA, Adjusted EBITDA, Adjusted Net Income and Free Cash Flow to our closest reported U.S. GAAP measures and a further discussion of these metrics, see “Prospectus Summary—Summary Historical Consolidated Financial and Other Data” and “Selected Historical Consolidated Financial and Other Data.”</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11380"/>
          </w:cols>
          <w:pgMar w:left="240" w:top="449" w:right="2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126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0275" cy="51263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PROSPECTUS SUMMARY</w:t>
      </w:r>
    </w:p>
    <w:p>
      <w:pPr>
        <w:spacing w:after="0" w:line="314"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common stock. You should read this entire prospectus carefully, including the risks of investing in our common stock discussed under “Risk Factors,” “Management’s Discussion and Analysis of Financial Condition and Results of Operations” and our consolidated financial statements and the related notes thereto included elsewhere in this prospectus, before making an investment decision.</w:t>
      </w:r>
    </w:p>
    <w:p>
      <w:pPr>
        <w:spacing w:after="0" w:line="125" w:lineRule="exact"/>
        <w:rPr>
          <w:sz w:val="20"/>
          <w:szCs w:val="20"/>
          <w:color w:val="auto"/>
        </w:rPr>
      </w:pPr>
    </w:p>
    <w:p>
      <w:pPr>
        <w:ind w:left="200" w:right="120"/>
        <w:spacing w:after="0" w:line="252" w:lineRule="auto"/>
        <w:rPr>
          <w:sz w:val="20"/>
          <w:szCs w:val="20"/>
          <w:color w:val="auto"/>
        </w:rPr>
      </w:pPr>
      <w:r>
        <w:rPr>
          <w:rFonts w:ascii="Arial" w:cs="Arial" w:eastAsia="Arial" w:hAnsi="Arial"/>
          <w:sz w:val="17"/>
          <w:szCs w:val="17"/>
          <w:i w:val="1"/>
          <w:iCs w:val="1"/>
          <w:color w:val="auto"/>
        </w:rPr>
        <w:t>As used in this prospectus, unless the context otherwise requires, references to “Medpace,” “the Company,” “our company,” “we,” “us,” and “our” refer to Medpace Holdings, Inc., its consolidated subsidiaries and its predecessor entities.</w:t>
      </w:r>
    </w:p>
    <w:p>
      <w:pPr>
        <w:spacing w:after="0" w:line="113" w:lineRule="exact"/>
        <w:rPr>
          <w:sz w:val="20"/>
          <w:szCs w:val="20"/>
          <w:color w:val="auto"/>
        </w:rPr>
      </w:pPr>
    </w:p>
    <w:p>
      <w:pPr>
        <w:ind w:left="200" w:right="240"/>
        <w:spacing w:after="0" w:line="253" w:lineRule="auto"/>
        <w:rPr>
          <w:sz w:val="20"/>
          <w:szCs w:val="20"/>
          <w:color w:val="auto"/>
        </w:rPr>
      </w:pPr>
      <w:r>
        <w:rPr>
          <w:rFonts w:ascii="Arial" w:cs="Arial" w:eastAsia="Arial" w:hAnsi="Arial"/>
          <w:sz w:val="16"/>
          <w:szCs w:val="16"/>
          <w:i w:val="1"/>
          <w:iCs w:val="1"/>
          <w:color w:val="auto"/>
        </w:rPr>
        <w:t>Throughout this prospectus, we present financial information for two periods, Predecessor and Successor, which relate to the period preceding the consummation of the Transaction (as defined below) on April 1, 2014 and the period succeeding the consummation of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w:t>
      </w:r>
    </w:p>
    <w:p>
      <w:pPr>
        <w:spacing w:after="0" w:line="83" w:lineRule="exact"/>
        <w:rPr>
          <w:sz w:val="20"/>
          <w:szCs w:val="20"/>
          <w:color w:val="auto"/>
        </w:rPr>
      </w:pPr>
    </w:p>
    <w:p>
      <w:pPr>
        <w:ind w:left="200" w:right="40"/>
        <w:spacing w:after="0" w:line="227"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45" w:lineRule="exact"/>
        <w:rPr>
          <w:sz w:val="20"/>
          <w:szCs w:val="20"/>
          <w:color w:val="auto"/>
        </w:rPr>
      </w:pPr>
    </w:p>
    <w:p>
      <w:pPr>
        <w:ind w:left="200" w:right="20"/>
        <w:spacing w:after="0" w:line="239" w:lineRule="auto"/>
        <w:rPr>
          <w:sz w:val="20"/>
          <w:szCs w:val="20"/>
          <w:color w:val="auto"/>
        </w:rPr>
      </w:pPr>
      <w:r>
        <w:rPr>
          <w:rFonts w:ascii="Arial" w:cs="Arial" w:eastAsia="Arial" w:hAnsi="Arial"/>
          <w:sz w:val="16"/>
          <w:szCs w:val="16"/>
          <w:color w:val="auto"/>
        </w:rPr>
        <w:t>We were founded in 1992 by Dr. August J. Troendle, an industry pioneer, as a Phase II-IV-focused CRO with a strong, scientifically-driven and disciplined operating model, and we continue today as a founder-led enterprise with Dr. Troendle retaining a significant ownership stake in Medpace. Throughout our 24-year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2,300 employees across</w:t>
      </w:r>
    </w:p>
    <w:p>
      <w:pPr>
        <w:spacing w:after="0" w:line="1" w:lineRule="exact"/>
        <w:rPr>
          <w:sz w:val="20"/>
          <w:szCs w:val="20"/>
          <w:color w:val="auto"/>
        </w:rPr>
      </w:pPr>
    </w:p>
    <w:p>
      <w:pPr>
        <w:ind w:left="200" w:right="220"/>
        <w:spacing w:after="0" w:line="235" w:lineRule="auto"/>
        <w:rPr>
          <w:sz w:val="20"/>
          <w:szCs w:val="20"/>
          <w:color w:val="auto"/>
        </w:rPr>
      </w:pPr>
      <w:r>
        <w:rPr>
          <w:rFonts w:ascii="Arial" w:cs="Arial" w:eastAsia="Arial" w:hAnsi="Arial"/>
          <w:sz w:val="17"/>
          <w:szCs w:val="17"/>
          <w:color w:val="auto"/>
        </w:rPr>
        <w:t>35 countries, providing our customers with broad access to diverse markets and patient populations as well as local regulatory expertise and market knowledge.</w:t>
      </w:r>
    </w:p>
    <w:p>
      <w:pPr>
        <w:spacing w:after="0" w:line="141" w:lineRule="exact"/>
        <w:rPr>
          <w:sz w:val="20"/>
          <w:szCs w:val="20"/>
          <w:color w:val="auto"/>
        </w:rPr>
      </w:pPr>
    </w:p>
    <w:p>
      <w:pPr>
        <w:ind w:left="200"/>
        <w:spacing w:after="0" w:line="228"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240" w:top="449" w:right="4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4935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0275" cy="49352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89" w:lineRule="exact"/>
        <w:rPr>
          <w:sz w:val="20"/>
          <w:szCs w:val="20"/>
          <w:color w:val="auto"/>
        </w:rPr>
      </w:pPr>
    </w:p>
    <w:p>
      <w:pPr>
        <w:ind w:left="200"/>
        <w:spacing w:after="0" w:line="227" w:lineRule="auto"/>
        <w:rPr>
          <w:sz w:val="20"/>
          <w:szCs w:val="20"/>
          <w:color w:val="auto"/>
        </w:rPr>
      </w:pPr>
      <w:r>
        <w:rPr>
          <w:rFonts w:ascii="Arial" w:cs="Arial" w:eastAsia="Arial" w:hAnsi="Arial"/>
          <w:sz w:val="17"/>
          <w:szCs w:val="17"/>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2015, we generated 55.7%, 29.3% and 15.0% of our net service revenue from small biopharmaceutical companies, mid-sized biopharmaceutical companies and large pharmaceutical companies, respectively.</w:t>
      </w:r>
    </w:p>
    <w:p>
      <w:pPr>
        <w:spacing w:after="0" w:line="89" w:lineRule="exact"/>
        <w:rPr>
          <w:sz w:val="20"/>
          <w:szCs w:val="20"/>
          <w:color w:val="auto"/>
        </w:rPr>
      </w:pPr>
    </w:p>
    <w:p>
      <w:pPr>
        <w:ind w:left="200" w:right="40"/>
        <w:spacing w:after="0" w:line="226" w:lineRule="auto"/>
        <w:rPr>
          <w:sz w:val="20"/>
          <w:szCs w:val="20"/>
          <w:color w:val="auto"/>
        </w:rPr>
      </w:pPr>
      <w:r>
        <w:rPr>
          <w:rFonts w:ascii="Arial" w:cs="Arial" w:eastAsia="Arial" w:hAnsi="Arial"/>
          <w:sz w:val="17"/>
          <w:szCs w:val="17"/>
          <w:color w:val="auto"/>
        </w:rPr>
        <w:t>We believe that our model, focused on full-service delivery, and our attractive customer mix have resulted in robust levels of historical revenue growth, Adjusted EBITDA margins and strong Free Cash Flow. For the Successor year ended December 31, 2015, we generated total net service revenue of $320.1 million and Adjusted EBITDA of $101.2 million, representing net service revenue and Adjusted EBITDA compound annual growth rates, or CAGRs,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Over the last 15 years, we have maintained average Adjusted EBITDA margins of approximately 34%, while significantly scaling our business organically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“—Summary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Market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CRO Market Size</w:t>
      </w:r>
    </w:p>
    <w:p>
      <w:pPr>
        <w:spacing w:after="0" w:line="73" w:lineRule="exact"/>
        <w:rPr>
          <w:sz w:val="20"/>
          <w:szCs w:val="20"/>
          <w:color w:val="auto"/>
        </w:rPr>
      </w:pPr>
    </w:p>
    <w:p>
      <w:pPr>
        <w:ind w:left="200" w:right="80"/>
        <w:spacing w:after="0" w:line="228" w:lineRule="auto"/>
        <w:rPr>
          <w:sz w:val="20"/>
          <w:szCs w:val="20"/>
          <w:color w:val="auto"/>
        </w:rPr>
      </w:pPr>
      <w:r>
        <w:rPr>
          <w:rFonts w:ascii="Arial" w:cs="Arial" w:eastAsia="Arial" w:hAnsi="Arial"/>
          <w:sz w:val="17"/>
          <w:szCs w:val="17"/>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240" w:top="449" w:right="4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4461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0275" cy="44615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CRO Market Trends</w:t>
      </w:r>
    </w:p>
    <w:p>
      <w:pPr>
        <w:spacing w:after="0" w:line="55" w:lineRule="exact"/>
        <w:rPr>
          <w:sz w:val="20"/>
          <w:szCs w:val="20"/>
          <w:color w:val="auto"/>
        </w:rPr>
      </w:pPr>
    </w:p>
    <w:p>
      <w:pPr>
        <w:ind w:left="200"/>
        <w:spacing w:after="0" w:line="229" w:lineRule="auto"/>
        <w:rPr>
          <w:sz w:val="20"/>
          <w:szCs w:val="20"/>
          <w:color w:val="auto"/>
        </w:rPr>
      </w:pPr>
      <w:r>
        <w:rPr>
          <w:rFonts w:ascii="Arial" w:cs="Arial" w:eastAsia="Arial" w:hAnsi="Arial"/>
          <w:sz w:val="17"/>
          <w:szCs w:val="17"/>
          <w:i w:val="1"/>
          <w:iCs w:val="1"/>
          <w:color w:val="auto"/>
        </w:rPr>
        <w:t>Increasing Development Expenditures</w:t>
      </w:r>
      <w:r>
        <w:rPr>
          <w:rFonts w:ascii="Arial" w:cs="Arial" w:eastAsia="Arial" w:hAnsi="Arial"/>
          <w:sz w:val="17"/>
          <w:szCs w:val="17"/>
          <w:color w:val="auto"/>
        </w:rPr>
        <w:t>. We estimate that biopharmaceutical development expenditures will grow from approximately $100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37" w:lineRule="exact"/>
        <w:rPr>
          <w:sz w:val="20"/>
          <w:szCs w:val="20"/>
          <w:color w:val="auto"/>
        </w:rPr>
      </w:pPr>
    </w:p>
    <w:p>
      <w:pPr>
        <w:jc w:val="both"/>
        <w:ind w:left="200" w:right="20"/>
        <w:spacing w:after="0" w:line="235" w:lineRule="auto"/>
        <w:rPr>
          <w:sz w:val="20"/>
          <w:szCs w:val="20"/>
          <w:color w:val="auto"/>
        </w:rPr>
      </w:pPr>
      <w:r>
        <w:rPr>
          <w:rFonts w:ascii="Arial" w:cs="Arial" w:eastAsia="Arial" w:hAnsi="Arial"/>
          <w:sz w:val="17"/>
          <w:szCs w:val="17"/>
          <w:i w:val="1"/>
          <w:iCs w:val="1"/>
          <w:color w:val="auto"/>
        </w:rPr>
        <w:t>Increasing Outsourcing Penetration</w:t>
      </w:r>
      <w:r>
        <w:rPr>
          <w:rFonts w:ascii="Arial" w:cs="Arial" w:eastAsia="Arial" w:hAnsi="Arial"/>
          <w:sz w:val="17"/>
          <w:szCs w:val="17"/>
          <w:color w:val="auto"/>
        </w:rPr>
        <w:t>. Outsourcing penetration is the percentage of biopharmaceutical clinical development costs that are outsourced to</w:t>
      </w:r>
      <w:r>
        <w:rPr>
          <w:rFonts w:ascii="Arial" w:cs="Arial" w:eastAsia="Arial" w:hAnsi="Arial"/>
          <w:sz w:val="17"/>
          <w:szCs w:val="17"/>
          <w:i w:val="1"/>
          <w:iCs w:val="1"/>
          <w:color w:val="auto"/>
        </w:rPr>
        <w:t xml:space="preserve"> </w:t>
      </w:r>
      <w:r>
        <w:rPr>
          <w:rFonts w:ascii="Arial" w:cs="Arial" w:eastAsia="Arial" w:hAnsi="Arial"/>
          <w:sz w:val="17"/>
          <w:szCs w:val="17"/>
          <w:color w:val="auto"/>
        </w:rPr>
        <w:t>CROs. 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25"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i w:val="1"/>
          <w:iCs w:val="1"/>
          <w:color w:val="auto"/>
        </w:rPr>
        <w:t>Pressures Facing Biopharmaceutical Industry</w:t>
      </w:r>
      <w:r>
        <w:rPr>
          <w:rFonts w:ascii="Arial" w:cs="Arial" w:eastAsia="Arial" w:hAnsi="Arial"/>
          <w:sz w:val="17"/>
          <w:szCs w:val="17"/>
          <w:color w:val="auto"/>
        </w:rPr>
        <w:t>. The biopharmaceutical industry continues to experience significant challenges, including regulatory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25" w:lineRule="exact"/>
        <w:rPr>
          <w:sz w:val="20"/>
          <w:szCs w:val="20"/>
          <w:color w:val="auto"/>
        </w:rPr>
      </w:pPr>
    </w:p>
    <w:p>
      <w:pPr>
        <w:ind w:left="200" w:right="280"/>
        <w:spacing w:after="0" w:line="239" w:lineRule="auto"/>
        <w:rPr>
          <w:sz w:val="20"/>
          <w:szCs w:val="20"/>
          <w:color w:val="auto"/>
        </w:rPr>
      </w:pPr>
      <w:r>
        <w:rPr>
          <w:rFonts w:ascii="Arial" w:cs="Arial" w:eastAsia="Arial" w:hAnsi="Arial"/>
          <w:sz w:val="17"/>
          <w:szCs w:val="17"/>
          <w:i w:val="1"/>
          <w:iCs w:val="1"/>
          <w:color w:val="auto"/>
        </w:rPr>
        <w:t>Increasing Clinical Trial Complexity</w:t>
      </w:r>
      <w:r>
        <w:rPr>
          <w:rFonts w:ascii="Arial" w:cs="Arial" w:eastAsia="Arial" w:hAnsi="Arial"/>
          <w:sz w:val="17"/>
          <w:szCs w:val="17"/>
          <w:color w:val="auto"/>
        </w:rPr>
        <w:t>. Clinical trial design and structure has become increasingly complex based on regulatory agency sophistication,</w:t>
      </w:r>
      <w:r>
        <w:rPr>
          <w:rFonts w:ascii="Arial" w:cs="Arial" w:eastAsia="Arial" w:hAnsi="Arial"/>
          <w:sz w:val="17"/>
          <w:szCs w:val="17"/>
          <w:i w:val="1"/>
          <w:iCs w:val="1"/>
          <w:color w:val="auto"/>
        </w:rPr>
        <w:t xml:space="preserve"> </w:t>
      </w:r>
      <w:r>
        <w:rPr>
          <w:rFonts w:ascii="Arial" w:cs="Arial" w:eastAsia="Arial" w:hAnsi="Arial"/>
          <w:sz w:val="17"/>
          <w:szCs w:val="17"/>
          <w:color w:val="auto"/>
        </w:rPr>
        <w:t>more complicated protocols and a growing focus by biopharmaceutical companies on developing new cutting-edge drug therapies. This growing complexity brings new challenges in study feasibility, site selection, patient recruitment and retention.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Small and Mid-Sized Biopharmaceutical Segment</w:t>
      </w:r>
    </w:p>
    <w:p>
      <w:pPr>
        <w:spacing w:after="0" w:line="34" w:lineRule="exact"/>
        <w:rPr>
          <w:sz w:val="20"/>
          <w:szCs w:val="20"/>
          <w:color w:val="auto"/>
        </w:rPr>
      </w:pPr>
    </w:p>
    <w:p>
      <w:pPr>
        <w:ind w:left="200" w:right="20"/>
        <w:spacing w:after="0" w:line="227" w:lineRule="auto"/>
        <w:rPr>
          <w:sz w:val="20"/>
          <w:szCs w:val="20"/>
          <w:color w:val="auto"/>
        </w:rPr>
      </w:pPr>
      <w:r>
        <w:rPr>
          <w:rFonts w:ascii="Arial" w:cs="Arial" w:eastAsia="Arial" w:hAnsi="Arial"/>
          <w:sz w:val="17"/>
          <w:szCs w:val="17"/>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240" w:top="449" w:right="41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11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5118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Competitive Strengths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believe we are well positioned to capitalize on positive trends in the CRO industry based on our key competitive strengths set forth below:</w:t>
      </w:r>
    </w:p>
    <w:p>
      <w:pPr>
        <w:spacing w:after="0" w:line="125" w:lineRule="exact"/>
        <w:rPr>
          <w:sz w:val="20"/>
          <w:szCs w:val="20"/>
          <w:color w:val="auto"/>
        </w:rPr>
      </w:pPr>
    </w:p>
    <w:p>
      <w:pPr>
        <w:ind w:left="200"/>
        <w:spacing w:after="0" w:line="230" w:lineRule="auto"/>
        <w:rPr>
          <w:sz w:val="20"/>
          <w:szCs w:val="20"/>
          <w:color w:val="auto"/>
        </w:rPr>
      </w:pPr>
      <w:r>
        <w:rPr>
          <w:rFonts w:ascii="Arial" w:cs="Arial" w:eastAsia="Arial" w:hAnsi="Arial"/>
          <w:sz w:val="17"/>
          <w:szCs w:val="17"/>
          <w:b w:val="1"/>
          <w:bCs w:val="1"/>
          <w:i w:val="1"/>
          <w:iCs w:val="1"/>
          <w:color w:val="auto"/>
        </w:rPr>
        <w:t>Disciplined and Integrated Full-Service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our founding in 1992, we have focused on building and executing our disciplined, full-service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have developed and consistently utilize effective standard operating procedures, or SOPs, that we believe result in high-quality and timely clinical development outcomes for our customers. Additionally, our operating model utilizes our proprietary ClinTrak clinical trial management software, or ClinTrak, which is customized and streamlined to our SOPs. We believe that a full-service approach delivers greater efficiency, better quality and, ultimately, higher value for our customers.</w:t>
      </w:r>
    </w:p>
    <w:p>
      <w:pPr>
        <w:spacing w:after="0" w:line="121" w:lineRule="exact"/>
        <w:rPr>
          <w:sz w:val="20"/>
          <w:szCs w:val="20"/>
          <w:color w:val="auto"/>
        </w:rPr>
      </w:pPr>
    </w:p>
    <w:p>
      <w:pPr>
        <w:ind w:left="200" w:right="20"/>
        <w:spacing w:after="0" w:line="231" w:lineRule="auto"/>
        <w:rPr>
          <w:sz w:val="20"/>
          <w:szCs w:val="20"/>
          <w:color w:val="auto"/>
        </w:rPr>
      </w:pPr>
      <w:r>
        <w:rPr>
          <w:rFonts w:ascii="Arial" w:cs="Arial" w:eastAsia="Arial" w:hAnsi="Arial"/>
          <w:sz w:val="17"/>
          <w:szCs w:val="17"/>
          <w:b w:val="1"/>
          <w:bCs w:val="1"/>
          <w:i w:val="1"/>
          <w:iCs w:val="1"/>
          <w:color w:val="auto"/>
        </w:rPr>
        <w:t>High-Science Approach with Deep Therapeutic Expertise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therapeutic expertise encompasses areas that are among the largest, most 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fastest growing in pharmaceutical development, including Oncology, Cardiology, Metabolic Disease, Endocrinology, CNS and AVAI, as well as Medical Devices. Our core therapeutic expertise covers the therapeutic areas where a majority of all drugs are currently in development, as identified by Citeline Pharma R&amp;D Annual Review 2016, an industry publication. Collectively, these areas constituted 81.6% of our backlog as of June 30, 2016. We leverage the insights of our senior leaders who have specific therapeutic expertise to employ a high-science approach to our projects.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23" w:lineRule="exact"/>
        <w:rPr>
          <w:sz w:val="20"/>
          <w:szCs w:val="20"/>
          <w:color w:val="auto"/>
        </w:rPr>
      </w:pPr>
    </w:p>
    <w:p>
      <w:pPr>
        <w:ind w:left="200" w:right="80"/>
        <w:spacing w:after="0" w:line="232" w:lineRule="auto"/>
        <w:rPr>
          <w:sz w:val="20"/>
          <w:szCs w:val="20"/>
          <w:color w:val="auto"/>
        </w:rPr>
      </w:pPr>
      <w:r>
        <w:rPr>
          <w:rFonts w:ascii="Arial" w:cs="Arial" w:eastAsia="Arial" w:hAnsi="Arial"/>
          <w:sz w:val="17"/>
          <w:szCs w:val="17"/>
          <w:b w:val="1"/>
          <w:bCs w:val="1"/>
          <w:i w:val="1"/>
          <w:iCs w:val="1"/>
          <w:color w:val="auto"/>
        </w:rPr>
        <w:t>Attractive and 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strong track record of serving our core customer base of small and mid-sized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w:t>
      </w:r>
    </w:p>
    <w:p>
      <w:pPr>
        <w:spacing w:after="0" w:line="143" w:lineRule="exact"/>
        <w:rPr>
          <w:sz w:val="20"/>
          <w:szCs w:val="20"/>
          <w:color w:val="auto"/>
        </w:rPr>
      </w:pPr>
    </w:p>
    <w:p>
      <w:pPr>
        <w:ind w:left="200" w:right="60"/>
        <w:spacing w:after="0" w:line="228" w:lineRule="auto"/>
        <w:rPr>
          <w:sz w:val="20"/>
          <w:szCs w:val="20"/>
          <w:color w:val="auto"/>
        </w:rPr>
      </w:pPr>
      <w:r>
        <w:rPr>
          <w:rFonts w:ascii="Arial" w:cs="Arial" w:eastAsia="Arial" w:hAnsi="Arial"/>
          <w:sz w:val="17"/>
          <w:szCs w:val="17"/>
          <w:color w:val="auto"/>
        </w:rPr>
        <w:t>In addition, we have a highly diversified customer base comprising many of the largest global biopharmaceutical companies, as well as high-growth small and mid-sized biopharmaceutical companies. For the Successor year ended December 31, 2015, we generated 55.7%, 29.3% and 15.0% of our net service revenue from small biopharmaceutical companies, mid-sized biopharmaceutical companies and large pharmaceutical companies, respectively. For the Successor six months ended June 30, 2016 and the Successor year ended December 31, 2015, our largest customer accounted for 6.3% and 6.9% of our net service revenue, respectively, and our top 10 customers represented 38.2% and 39.9% of our net service revenue, respectively.</w:t>
      </w:r>
    </w:p>
    <w:p>
      <w:pPr>
        <w:spacing w:after="0" w:line="123" w:lineRule="exact"/>
        <w:rPr>
          <w:sz w:val="20"/>
          <w:szCs w:val="20"/>
          <w:color w:val="auto"/>
        </w:rPr>
      </w:pPr>
    </w:p>
    <w:p>
      <w:pPr>
        <w:ind w:left="200" w:right="60"/>
        <w:spacing w:after="0" w:line="232" w:lineRule="auto"/>
        <w:rPr>
          <w:sz w:val="20"/>
          <w:szCs w:val="20"/>
          <w:color w:val="auto"/>
        </w:rPr>
      </w:pPr>
      <w:r>
        <w:rPr>
          <w:rFonts w:ascii="Arial" w:cs="Arial" w:eastAsia="Arial" w:hAnsi="Arial"/>
          <w:sz w:val="17"/>
          <w:szCs w:val="17"/>
          <w:b w:val="1"/>
          <w:bCs w:val="1"/>
          <w:i w:val="1"/>
          <w:iCs w:val="1"/>
          <w:color w:val="auto"/>
        </w:rPr>
        <w:t>Partner of Choice for Biopharmaceutical Customers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our extensive operating history and therapeutic experience, we believe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These biopharmaceutical customers, sometimes new to the clinical development process, seek to partner with us based on our differentiated approach and expertise to execute trials in a timely and efficient manner. We believe we are viewed as a strategic and trusted partner by these customers given our full-service approach, disciplined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240" w:top="449" w:right="3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23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0275" cy="523430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operating model and significant therapeutic expertise. As a result, our customers often grant us significant autonomy in executing clinical trials for their most valued assets.</w:t>
      </w:r>
    </w:p>
    <w:p>
      <w:pPr>
        <w:spacing w:after="0" w:line="121" w:lineRule="exact"/>
        <w:rPr>
          <w:sz w:val="20"/>
          <w:szCs w:val="20"/>
          <w:color w:val="auto"/>
        </w:rPr>
      </w:pPr>
    </w:p>
    <w:p>
      <w:pPr>
        <w:ind w:left="200" w:right="20"/>
        <w:spacing w:after="0" w:line="254" w:lineRule="auto"/>
        <w:rPr>
          <w:sz w:val="20"/>
          <w:szCs w:val="20"/>
          <w:color w:val="auto"/>
        </w:rPr>
      </w:pPr>
      <w:r>
        <w:rPr>
          <w:rFonts w:ascii="Arial" w:cs="Arial" w:eastAsia="Arial" w:hAnsi="Arial"/>
          <w:sz w:val="16"/>
          <w:szCs w:val="16"/>
          <w:b w:val="1"/>
          <w:bCs w:val="1"/>
          <w:i w:val="1"/>
          <w:iCs w:val="1"/>
          <w:color w:val="auto"/>
        </w:rPr>
        <w:t>Global Platform with Scalable Infrastructure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are one of the leading CROs with the scale and therapeutic expertise necessary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effectively conduct global clinical trials. We began our disciplined international expansion in 2004 and have since increased the breadth and depth of our international footprint significantly, with approximately 45% of our clinical operations employees located outside of North America as of June 30, 2016. We now offer our services through a highly skilled staff of approximately 2,300 employees across 35 countries as of June 30, 2016.</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Strong Financial Performance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proven track record of strong organic growth and achieved significant revenue and Adjusted EBITDA</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growth and robust Free Cash Flow over the past several years. For the Successor year ended December 31, 2015, we achieved net service revenue</w:t>
      </w:r>
    </w:p>
    <w:p>
      <w:pPr>
        <w:ind w:left="200"/>
        <w:spacing w:after="0" w:line="225" w:lineRule="auto"/>
        <w:rPr>
          <w:sz w:val="20"/>
          <w:szCs w:val="20"/>
          <w:color w:val="auto"/>
        </w:rPr>
      </w:pPr>
      <w:r>
        <w:rPr>
          <w:rFonts w:ascii="Arial" w:cs="Arial" w:eastAsia="Arial" w:hAnsi="Arial"/>
          <w:sz w:val="17"/>
          <w:szCs w:val="17"/>
          <w:color w:val="auto"/>
        </w:rPr>
        <w:t>of $320.1 million and Adjusted EBITDA of $101.2 million, which represent a CAGR of 21.7% and 26.2%, respectively, since 2012. Our net (loss)</w:t>
      </w:r>
    </w:p>
    <w:p>
      <w:pPr>
        <w:ind w:left="200"/>
        <w:spacing w:after="0"/>
        <w:rPr>
          <w:sz w:val="20"/>
          <w:szCs w:val="20"/>
          <w:color w:val="auto"/>
        </w:rPr>
      </w:pPr>
      <w:r>
        <w:rPr>
          <w:rFonts w:ascii="Arial" w:cs="Arial" w:eastAsia="Arial" w:hAnsi="Arial"/>
          <w:sz w:val="16"/>
          <w:szCs w:val="16"/>
          <w:color w:val="auto"/>
        </w:rPr>
        <w:t>income for the Successor year ended December 31, 2015, the Successor nine month period ended December 31, 2014, the Predecessor three month</w:t>
      </w:r>
    </w:p>
    <w:p>
      <w:pPr>
        <w:ind w:left="200"/>
        <w:spacing w:after="0"/>
        <w:rPr>
          <w:sz w:val="20"/>
          <w:szCs w:val="20"/>
          <w:color w:val="auto"/>
        </w:rPr>
      </w:pPr>
      <w:r>
        <w:rPr>
          <w:rFonts w:ascii="Arial" w:cs="Arial" w:eastAsia="Arial" w:hAnsi="Arial"/>
          <w:sz w:val="16"/>
          <w:szCs w:val="16"/>
          <w:color w:val="auto"/>
        </w:rPr>
        <w:t>period ended March 31, 2014 and the Predecessor year ended December 31, 2013 was $(8.7) million, $(14.3) million, $(1.2) million and $24.8 million,</w:t>
      </w:r>
    </w:p>
    <w:p>
      <w:pPr>
        <w:ind w:left="200"/>
        <w:spacing w:after="0"/>
        <w:rPr>
          <w:sz w:val="20"/>
          <w:szCs w:val="20"/>
          <w:color w:val="auto"/>
        </w:rPr>
      </w:pPr>
      <w:r>
        <w:rPr>
          <w:rFonts w:ascii="Arial" w:cs="Arial" w:eastAsia="Arial" w:hAnsi="Arial"/>
          <w:sz w:val="16"/>
          <w:szCs w:val="16"/>
          <w:color w:val="auto"/>
        </w:rPr>
        <w:t>respectively, partially as a result of non-cash amortization expense associated with identified intangible assets acquired as part of the Transaction. For</w:t>
      </w:r>
    </w:p>
    <w:p>
      <w:pPr>
        <w:ind w:left="200"/>
        <w:spacing w:after="0"/>
        <w:rPr>
          <w:sz w:val="20"/>
          <w:szCs w:val="20"/>
          <w:color w:val="auto"/>
        </w:rPr>
      </w:pPr>
      <w:r>
        <w:rPr>
          <w:rFonts w:ascii="Arial" w:cs="Arial" w:eastAsia="Arial" w:hAnsi="Arial"/>
          <w:sz w:val="16"/>
          <w:szCs w:val="16"/>
          <w:color w:val="auto"/>
        </w:rPr>
        <w:t>the Successor year ended December 31, 2015, our Adjusted EBITDA margin was 31.6%. Additionally, we have consistently demonstrated an ability to</w:t>
      </w:r>
    </w:p>
    <w:p>
      <w:pPr>
        <w:ind w:left="200"/>
        <w:spacing w:after="0"/>
        <w:rPr>
          <w:sz w:val="20"/>
          <w:szCs w:val="20"/>
          <w:color w:val="auto"/>
        </w:rPr>
      </w:pPr>
      <w:r>
        <w:rPr>
          <w:rFonts w:ascii="Arial" w:cs="Arial" w:eastAsia="Arial" w:hAnsi="Arial"/>
          <w:sz w:val="16"/>
          <w:szCs w:val="16"/>
          <w:color w:val="auto"/>
        </w:rPr>
        <w:t>convert Adjusted EBITDA into Free Cash Flow. Our annual Free Cash Flow conversion, defined as Free Cash Flow divided by Adjusted EBITDA, has</w:t>
      </w:r>
    </w:p>
    <w:p>
      <w:pPr>
        <w:ind w:left="200"/>
        <w:spacing w:after="0"/>
        <w:rPr>
          <w:sz w:val="20"/>
          <w:szCs w:val="20"/>
          <w:color w:val="auto"/>
        </w:rPr>
      </w:pPr>
      <w:r>
        <w:rPr>
          <w:rFonts w:ascii="Arial" w:cs="Arial" w:eastAsia="Arial" w:hAnsi="Arial"/>
          <w:sz w:val="16"/>
          <w:szCs w:val="16"/>
          <w:color w:val="auto"/>
        </w:rPr>
        <w:t>averaged 81.7% since 2012. Net cash provided by operating activities for the Successor year ended December 31, 2015, the Successor nine month</w:t>
      </w:r>
    </w:p>
    <w:p>
      <w:pPr>
        <w:ind w:left="200"/>
        <w:spacing w:after="0"/>
        <w:rPr>
          <w:sz w:val="20"/>
          <w:szCs w:val="20"/>
          <w:color w:val="auto"/>
        </w:rPr>
      </w:pPr>
      <w:r>
        <w:rPr>
          <w:rFonts w:ascii="Arial" w:cs="Arial" w:eastAsia="Arial" w:hAnsi="Arial"/>
          <w:sz w:val="16"/>
          <w:szCs w:val="16"/>
          <w:color w:val="auto"/>
        </w:rPr>
        <w:t>period ended December 31, 2014, the Predecessor three month period ended March 31, 2014 and the Predecessor year ended December 31, 2013</w:t>
      </w:r>
    </w:p>
    <w:p>
      <w:pPr>
        <w:ind w:left="200"/>
        <w:spacing w:after="0"/>
        <w:rPr>
          <w:sz w:val="20"/>
          <w:szCs w:val="20"/>
          <w:color w:val="auto"/>
        </w:rPr>
      </w:pPr>
      <w:r>
        <w:rPr>
          <w:rFonts w:ascii="Arial" w:cs="Arial" w:eastAsia="Arial" w:hAnsi="Arial"/>
          <w:sz w:val="16"/>
          <w:szCs w:val="16"/>
          <w:color w:val="auto"/>
        </w:rPr>
        <w:t>was $84.1 million, $62.5 million, $12.8 million and $98.1 million, respectively. For a reconciliation of Adjusted EBITDA, a non-GAAP measure, to net</w:t>
      </w:r>
    </w:p>
    <w:p>
      <w:pPr>
        <w:ind w:left="200"/>
        <w:spacing w:after="0"/>
        <w:rPr>
          <w:sz w:val="20"/>
          <w:szCs w:val="20"/>
          <w:color w:val="auto"/>
        </w:rPr>
      </w:pPr>
      <w:r>
        <w:rPr>
          <w:rFonts w:ascii="Arial" w:cs="Arial" w:eastAsia="Arial" w:hAnsi="Arial"/>
          <w:sz w:val="16"/>
          <w:szCs w:val="16"/>
          <w:color w:val="auto"/>
        </w:rPr>
        <w:t>(loss) income, and for a reconciliation of Free Cash Flow, also a non-GAAP measure, to net cash provided by operating activities, see “—Summary</w:t>
      </w:r>
    </w:p>
    <w:p>
      <w:pPr>
        <w:ind w:left="200"/>
        <w:spacing w:after="0" w:line="225" w:lineRule="auto"/>
        <w:rPr>
          <w:sz w:val="20"/>
          <w:szCs w:val="20"/>
          <w:color w:val="auto"/>
        </w:rPr>
      </w:pPr>
      <w:r>
        <w:rPr>
          <w:rFonts w:ascii="Arial" w:cs="Arial" w:eastAsia="Arial" w:hAnsi="Arial"/>
          <w:sz w:val="17"/>
          <w:szCs w:val="17"/>
          <w:color w:val="auto"/>
        </w:rPr>
        <w:t>Historical Consolidated Financial and Other Data.” Additionally, as of June 30, 2016 and December 31, 2015, we had total long-term debt, net of</w:t>
      </w:r>
    </w:p>
    <w:p>
      <w:pPr>
        <w:ind w:left="200"/>
        <w:spacing w:after="0"/>
        <w:rPr>
          <w:sz w:val="20"/>
          <w:szCs w:val="20"/>
          <w:color w:val="auto"/>
        </w:rPr>
      </w:pPr>
      <w:r>
        <w:rPr>
          <w:rFonts w:ascii="Arial" w:cs="Arial" w:eastAsia="Arial" w:hAnsi="Arial"/>
          <w:sz w:val="16"/>
          <w:szCs w:val="16"/>
          <w:color w:val="auto"/>
        </w:rPr>
        <w:t>$364.0 million and $377.9 million outstanding, respectively. We intend to use the net proceeds of this offering to repay a portion of this indebtedness.</w:t>
      </w:r>
    </w:p>
    <w:p>
      <w:pPr>
        <w:ind w:left="200"/>
        <w:spacing w:after="0"/>
        <w:rPr>
          <w:sz w:val="20"/>
          <w:szCs w:val="20"/>
          <w:color w:val="auto"/>
        </w:rPr>
      </w:pPr>
      <w:r>
        <w:rPr>
          <w:rFonts w:ascii="Arial" w:cs="Arial" w:eastAsia="Arial" w:hAnsi="Arial"/>
          <w:sz w:val="17"/>
          <w:szCs w:val="17"/>
          <w:color w:val="auto"/>
        </w:rPr>
        <w:t>See “Use of Proceeds.”</w:t>
      </w:r>
    </w:p>
    <w:p>
      <w:pPr>
        <w:spacing w:after="0" w:line="125" w:lineRule="exact"/>
        <w:rPr>
          <w:sz w:val="20"/>
          <w:szCs w:val="20"/>
          <w:color w:val="auto"/>
        </w:rPr>
      </w:pPr>
    </w:p>
    <w:p>
      <w:pPr>
        <w:ind w:left="200"/>
        <w:spacing w:after="0" w:line="231" w:lineRule="auto"/>
        <w:rPr>
          <w:sz w:val="20"/>
          <w:szCs w:val="20"/>
          <w:color w:val="auto"/>
        </w:rPr>
      </w:pPr>
      <w:r>
        <w:rPr>
          <w:rFonts w:ascii="Arial" w:cs="Arial" w:eastAsia="Arial" w:hAnsi="Arial"/>
          <w:sz w:val="17"/>
          <w:szCs w:val="17"/>
          <w:b w:val="1"/>
          <w:bCs w:val="1"/>
          <w:i w:val="1"/>
          <w:iCs w:val="1"/>
          <w:color w:val="auto"/>
        </w:rPr>
        <w:t xml:space="preserve">Highly Regarded, Experienced and Committed Management Team. </w:t>
      </w:r>
      <w:r>
        <w:rPr>
          <w:rFonts w:ascii="Arial" w:cs="Arial" w:eastAsia="Arial" w:hAnsi="Arial"/>
          <w:sz w:val="17"/>
          <w:szCs w:val="17"/>
          <w:color w:val="auto"/>
        </w:rPr>
        <w:t>We are led by a dedicated and experienced senior management team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Growth Strategy</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Key elements of our growth strategy include:</w:t>
      </w:r>
    </w:p>
    <w:p>
      <w:pPr>
        <w:spacing w:after="0" w:line="73" w:lineRule="exact"/>
        <w:rPr>
          <w:sz w:val="20"/>
          <w:szCs w:val="20"/>
          <w:color w:val="auto"/>
        </w:rPr>
      </w:pPr>
    </w:p>
    <w:p>
      <w:pPr>
        <w:ind w:left="200" w:right="20"/>
        <w:spacing w:after="0" w:line="231" w:lineRule="auto"/>
        <w:rPr>
          <w:sz w:val="20"/>
          <w:szCs w:val="20"/>
          <w:color w:val="auto"/>
        </w:rPr>
      </w:pPr>
      <w:r>
        <w:rPr>
          <w:rFonts w:ascii="Arial" w:cs="Arial" w:eastAsia="Arial" w:hAnsi="Arial"/>
          <w:sz w:val="17"/>
          <w:szCs w:val="17"/>
          <w:b w:val="1"/>
          <w:bCs w:val="1"/>
          <w:i w:val="1"/>
          <w:iCs w:val="1"/>
          <w:color w:val="auto"/>
        </w:rPr>
        <w:t>Continued Focus on Organic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strong organic growth has been the result of consistently reinvesting our positive cash flow to support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240" w:top="449" w:right="4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4618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0275" cy="4618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line="254" w:lineRule="auto"/>
        <w:rPr>
          <w:sz w:val="20"/>
          <w:szCs w:val="20"/>
          <w:color w:val="auto"/>
        </w:rPr>
      </w:pPr>
      <w:r>
        <w:rPr>
          <w:rFonts w:ascii="Arial" w:cs="Arial" w:eastAsia="Arial" w:hAnsi="Arial"/>
          <w:sz w:val="16"/>
          <w:szCs w:val="16"/>
          <w:b w:val="1"/>
          <w:bCs w:val="1"/>
          <w:i w:val="1"/>
          <w:iCs w:val="1"/>
          <w:color w:val="auto"/>
        </w:rPr>
        <w:t>Continue to Sustain Industry-Leading Margins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last 15 years, we have maintained average Adjusted EBITDA margins of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 We intend to continue to maintain industry-leading margins (compared to our public competitors) while 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w:t>
      </w:r>
    </w:p>
    <w:p>
      <w:pPr>
        <w:spacing w:after="0" w:line="112" w:lineRule="exact"/>
        <w:rPr>
          <w:sz w:val="20"/>
          <w:szCs w:val="20"/>
          <w:color w:val="auto"/>
        </w:rPr>
      </w:pPr>
    </w:p>
    <w:p>
      <w:pPr>
        <w:ind w:left="200" w:right="60"/>
        <w:spacing w:after="0" w:line="230" w:lineRule="auto"/>
        <w:rPr>
          <w:sz w:val="20"/>
          <w:szCs w:val="20"/>
          <w:color w:val="auto"/>
        </w:rPr>
      </w:pPr>
      <w:r>
        <w:rPr>
          <w:rFonts w:ascii="Arial" w:cs="Arial" w:eastAsia="Arial" w:hAnsi="Arial"/>
          <w:sz w:val="17"/>
          <w:szCs w:val="17"/>
          <w:b w:val="1"/>
          <w:bCs w:val="1"/>
          <w:i w:val="1"/>
          <w:iCs w:val="1"/>
          <w:color w:val="auto"/>
        </w:rPr>
        <w:t>Leverage Our Experience and Reputation in the Attractive, High-Growth Clinical Development Market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value the knowledge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expertise we have developed from a long history of successfully executing clinical trials.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125" w:lineRule="exact"/>
        <w:rPr>
          <w:sz w:val="20"/>
          <w:szCs w:val="20"/>
          <w:color w:val="auto"/>
        </w:rPr>
      </w:pPr>
    </w:p>
    <w:p>
      <w:pPr>
        <w:ind w:left="200" w:right="40"/>
        <w:spacing w:after="0" w:line="230" w:lineRule="auto"/>
        <w:rPr>
          <w:sz w:val="20"/>
          <w:szCs w:val="20"/>
          <w:color w:val="auto"/>
        </w:rPr>
      </w:pPr>
      <w:r>
        <w:rPr>
          <w:rFonts w:ascii="Arial" w:cs="Arial" w:eastAsia="Arial" w:hAnsi="Arial"/>
          <w:sz w:val="17"/>
          <w:szCs w:val="17"/>
          <w:b w:val="1"/>
          <w:bCs w:val="1"/>
          <w:i w:val="1"/>
          <w:iCs w:val="1"/>
          <w:color w:val="auto"/>
        </w:rPr>
        <w:t>Deepen Existing and Develop New Relationships with Our Core Customer Segment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look to continue to deepen our long-standing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 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w:t>
      </w:r>
    </w:p>
    <w:p>
      <w:pPr>
        <w:spacing w:after="0" w:line="121"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b w:val="1"/>
          <w:bCs w:val="1"/>
          <w:i w:val="1"/>
          <w:iCs w:val="1"/>
          <w:color w:val="auto"/>
        </w:rPr>
        <w:t>Pursue Selective and Complementary Bolt-On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augment our organic growth with targeted acquisitions to expand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capabilities and service offerings that are complementary to our full-service model.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21" w:lineRule="exact"/>
        <w:rPr>
          <w:sz w:val="20"/>
          <w:szCs w:val="20"/>
          <w:color w:val="auto"/>
        </w:rPr>
      </w:pPr>
    </w:p>
    <w:p>
      <w:pPr>
        <w:ind w:left="200"/>
        <w:spacing w:after="0" w:line="231" w:lineRule="auto"/>
        <w:rPr>
          <w:sz w:val="20"/>
          <w:szCs w:val="20"/>
          <w:color w:val="auto"/>
        </w:rPr>
      </w:pPr>
      <w:r>
        <w:rPr>
          <w:rFonts w:ascii="Arial" w:cs="Arial" w:eastAsia="Arial" w:hAnsi="Arial"/>
          <w:sz w:val="17"/>
          <w:szCs w:val="17"/>
          <w:b w:val="1"/>
          <w:bCs w:val="1"/>
          <w:i w:val="1"/>
          <w:iCs w:val="1"/>
          <w:color w:val="auto"/>
        </w:rPr>
        <w:t>Position Ourselves to Increase Our Presence Among Large Pharmaceutical Companies as These Customers Adopt and Appreciate the Full-Service Approach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the growing pressures large pharmaceutical companies are facing, these companies seek solutions beyond simply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240" w:top="449" w:right="3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53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0275" cy="55340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83" w:lineRule="exact"/>
        <w:rPr>
          <w:sz w:val="20"/>
          <w:szCs w:val="20"/>
          <w:color w:val="auto"/>
        </w:rPr>
      </w:pPr>
    </w:p>
    <w:p>
      <w:pPr>
        <w:ind w:left="200" w:right="80"/>
        <w:spacing w:after="0" w:line="230" w:lineRule="auto"/>
        <w:rPr>
          <w:sz w:val="20"/>
          <w:szCs w:val="20"/>
          <w:color w:val="auto"/>
        </w:rPr>
      </w:pPr>
      <w:r>
        <w:rPr>
          <w:rFonts w:ascii="Arial" w:cs="Arial" w:eastAsia="Arial" w:hAnsi="Arial"/>
          <w:sz w:val="17"/>
          <w:szCs w:val="17"/>
          <w:color w:val="auto"/>
        </w:rPr>
        <w:t>As a company with less than $1.0 billion in revenues during our last fiscal year, we qualify as an “emerging growth company” as defined in the Jumpstart Our Business Startups Act of 2012,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04" w:lineRule="exact"/>
        <w:rPr>
          <w:sz w:val="20"/>
          <w:szCs w:val="20"/>
          <w:color w:val="auto"/>
        </w:rPr>
      </w:pPr>
    </w:p>
    <w:p>
      <w:pPr>
        <w:ind w:left="960" w:hanging="439"/>
        <w:spacing w:after="0"/>
        <w:tabs>
          <w:tab w:leader="none" w:pos="96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exemption from the auditor attestation requirement on the effectiveness of our system of internal control over financial reporting;</w:t>
      </w:r>
    </w:p>
    <w:p>
      <w:pPr>
        <w:spacing w:after="0" w:line="22" w:lineRule="exact"/>
        <w:rPr>
          <w:rFonts w:ascii="Arial" w:cs="Arial" w:eastAsia="Arial" w:hAnsi="Arial"/>
          <w:sz w:val="24"/>
          <w:szCs w:val="24"/>
          <w:color w:val="auto"/>
          <w:vertAlign w:val="superscript"/>
        </w:rPr>
      </w:pPr>
    </w:p>
    <w:p>
      <w:pPr>
        <w:ind w:left="960" w:hanging="439"/>
        <w:spacing w:after="0" w:line="181" w:lineRule="auto"/>
        <w:tabs>
          <w:tab w:leader="none" w:pos="96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exemption from the adoption of new or revised financial accounting standards until they would apply to private companies;</w:t>
      </w:r>
    </w:p>
    <w:p>
      <w:pPr>
        <w:spacing w:after="0" w:line="23" w:lineRule="exact"/>
        <w:rPr>
          <w:rFonts w:ascii="Arial" w:cs="Arial" w:eastAsia="Arial" w:hAnsi="Arial"/>
          <w:sz w:val="23"/>
          <w:szCs w:val="23"/>
          <w:color w:val="auto"/>
          <w:vertAlign w:val="superscript"/>
        </w:rPr>
      </w:pPr>
    </w:p>
    <w:p>
      <w:pPr>
        <w:jc w:val="both"/>
        <w:ind w:left="960" w:right="200" w:hanging="439"/>
        <w:spacing w:after="0" w:line="203" w:lineRule="auto"/>
        <w:tabs>
          <w:tab w:leader="none" w:pos="96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5" w:lineRule="exact"/>
        <w:rPr>
          <w:rFonts w:ascii="Arial" w:cs="Arial" w:eastAsia="Arial" w:hAnsi="Arial"/>
          <w:sz w:val="24"/>
          <w:szCs w:val="24"/>
          <w:color w:val="auto"/>
          <w:vertAlign w:val="superscript"/>
        </w:rPr>
      </w:pPr>
    </w:p>
    <w:p>
      <w:pPr>
        <w:ind w:left="960" w:right="320" w:hanging="439"/>
        <w:spacing w:after="0" w:line="195" w:lineRule="auto"/>
        <w:tabs>
          <w:tab w:leader="none" w:pos="96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an exemption from the requirement to seek non-binding advisory votes on executive compensation and golden parachute arrangements; and</w:t>
      </w:r>
    </w:p>
    <w:p>
      <w:pPr>
        <w:ind w:left="960" w:hanging="439"/>
        <w:spacing w:after="0" w:line="193" w:lineRule="auto"/>
        <w:tabs>
          <w:tab w:leader="none" w:pos="96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reduced disclosure about executive compensation arrangements.</w:t>
      </w:r>
    </w:p>
    <w:p>
      <w:pPr>
        <w:spacing w:after="0" w:line="141" w:lineRule="exact"/>
        <w:rPr>
          <w:sz w:val="20"/>
          <w:szCs w:val="20"/>
          <w:color w:val="auto"/>
        </w:rPr>
      </w:pPr>
    </w:p>
    <w:p>
      <w:pPr>
        <w:ind w:left="200"/>
        <w:spacing w:after="0" w:line="243"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 (2)(B) of the Securities Act of 1933, as amended, or the Securities Act, for complying with new and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39" w:lineRule="exact"/>
        <w:rPr>
          <w:sz w:val="20"/>
          <w:szCs w:val="20"/>
          <w:color w:val="auto"/>
        </w:rPr>
      </w:pPr>
    </w:p>
    <w:p>
      <w:pPr>
        <w:ind w:left="200" w:right="160"/>
        <w:spacing w:after="0" w:line="246" w:lineRule="auto"/>
        <w:rPr>
          <w:sz w:val="20"/>
          <w:szCs w:val="20"/>
          <w:color w:val="auto"/>
        </w:rPr>
      </w:pPr>
      <w:r>
        <w:rPr>
          <w:rFonts w:ascii="Arial" w:cs="Arial" w:eastAsia="Arial" w:hAnsi="Arial"/>
          <w:sz w:val="16"/>
          <w:szCs w:val="16"/>
          <w:color w:val="auto"/>
        </w:rPr>
        <w:t>We will remain an emerging growth company for five years unless, prior to that time, we (i) have more than $1.0 billion in annual revenues, (ii) have a market value for our common stock held by non-affiliates of more than $700 million as of the last day of our second fiscal quarter of the fiscal year when a determination is made whether we are deemed to be a “large accelerated filer,” as defined in Rule 12b-2 promulgated under the Securities Exchange Act of 1934, as amended, or the Exchange Act, or (iii) issue more than $1.0 billion of non-convertible debt over a three-year period.</w:t>
      </w:r>
    </w:p>
    <w:p>
      <w:pPr>
        <w:spacing w:after="0" w:line="136" w:lineRule="exact"/>
        <w:rPr>
          <w:sz w:val="20"/>
          <w:szCs w:val="20"/>
          <w:color w:val="auto"/>
        </w:rPr>
      </w:pPr>
    </w:p>
    <w:p>
      <w:pPr>
        <w:ind w:left="200" w:right="140"/>
        <w:spacing w:after="0" w:line="229" w:lineRule="auto"/>
        <w:rPr>
          <w:sz w:val="20"/>
          <w:szCs w:val="20"/>
          <w:color w:val="auto"/>
        </w:rPr>
      </w:pPr>
      <w:r>
        <w:rPr>
          <w:rFonts w:ascii="Arial" w:cs="Arial" w:eastAsia="Arial" w:hAnsi="Arial"/>
          <w:sz w:val="17"/>
          <w:szCs w:val="17"/>
          <w:color w:val="auto"/>
        </w:rPr>
        <w:t>We have elected to take advantage of some of the reduced disclosure obligations listed above in this prospectus, and may elect to take advantage of other reduced reporting requirements in future filings. As a result, the information that we provide to our shareholders may be different than you might receive from other public reporting companies in which you hold equity interests. In addition, it is possible that some investors will find our common stock less attractive as a result of our elections, which may cause a less active trading market for our common stock and more volatility in our stock price.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Risks Associated with Our Business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Investing in our common stock involves a number of risks, including the following:</w:t>
      </w:r>
    </w:p>
    <w:p>
      <w:pPr>
        <w:spacing w:after="0" w:line="184" w:lineRule="exact"/>
        <w:rPr>
          <w:sz w:val="20"/>
          <w:szCs w:val="20"/>
          <w:color w:val="auto"/>
        </w:rPr>
      </w:pPr>
    </w:p>
    <w:p>
      <w:pPr>
        <w:ind w:left="960" w:right="160" w:hanging="439"/>
        <w:spacing w:after="0" w:line="195" w:lineRule="auto"/>
        <w:tabs>
          <w:tab w:leader="none" w:pos="9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The potential loss, delay or non-renewal of our contracts, or the non-payment by our customers for services that we have performed, could adversely affect our results.</w:t>
      </w:r>
    </w:p>
    <w:p>
      <w:pPr>
        <w:ind w:left="960" w:hanging="439"/>
        <w:spacing w:after="0" w:line="193" w:lineRule="auto"/>
        <w:tabs>
          <w:tab w:leader="none" w:pos="9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Our backlog may not convert to net service revenue at our historical conversion rates.</w:t>
      </w:r>
    </w:p>
    <w:p>
      <w:pPr>
        <w:spacing w:after="0" w:line="23" w:lineRule="exact"/>
        <w:rPr>
          <w:rFonts w:ascii="Arial" w:cs="Arial" w:eastAsia="Arial" w:hAnsi="Arial"/>
          <w:sz w:val="24"/>
          <w:szCs w:val="24"/>
          <w:color w:val="auto"/>
          <w:vertAlign w:val="superscript"/>
        </w:rPr>
      </w:pPr>
    </w:p>
    <w:p>
      <w:pPr>
        <w:ind w:left="960" w:right="240" w:hanging="439"/>
        <w:spacing w:after="0" w:line="195" w:lineRule="auto"/>
        <w:tabs>
          <w:tab w:leader="none" w:pos="9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Our operating results have historically fluctuated between fiscal quarters and years and may continue to fluctuate in the future, which may adversely affect the market price of our stock after this offering.</w:t>
      </w:r>
    </w:p>
    <w:p>
      <w:pPr>
        <w:ind w:left="960" w:hanging="439"/>
        <w:spacing w:after="0" w:line="193" w:lineRule="auto"/>
        <w:tabs>
          <w:tab w:leader="none" w:pos="9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Our operating margins could decrease due to increased pricing pressure or other pressures.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240" w:top="449" w:right="3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509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0275" cy="55092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960" w:right="120" w:hanging="439"/>
        <w:spacing w:after="0" w:line="195" w:lineRule="auto"/>
        <w:tabs>
          <w:tab w:leader="none" w:pos="9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22" w:lineRule="exact"/>
        <w:rPr>
          <w:rFonts w:ascii="Arial" w:cs="Arial" w:eastAsia="Arial" w:hAnsi="Arial"/>
          <w:sz w:val="24"/>
          <w:szCs w:val="24"/>
          <w:color w:val="auto"/>
          <w:vertAlign w:val="superscript"/>
        </w:rPr>
      </w:pPr>
    </w:p>
    <w:p>
      <w:pPr>
        <w:ind w:left="960" w:right="180" w:hanging="439"/>
        <w:spacing w:after="0" w:line="195" w:lineRule="auto"/>
        <w:tabs>
          <w:tab w:leader="none" w:pos="9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Outsourcing trends in the biopharmaceutical industry and changes in aggregate expenditures and R&amp;D budgets could adversely affect our operating results and growth rate.</w:t>
      </w:r>
    </w:p>
    <w:p>
      <w:pPr>
        <w:ind w:left="960" w:hanging="439"/>
        <w:spacing w:after="0" w:line="193" w:lineRule="auto"/>
        <w:tabs>
          <w:tab w:leader="none" w:pos="9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We face intense competition in many areas of our business and, if we do not compete effectively, our business may be harmed.</w:t>
      </w:r>
    </w:p>
    <w:p>
      <w:pPr>
        <w:spacing w:after="0" w:line="23" w:lineRule="exact"/>
        <w:rPr>
          <w:rFonts w:ascii="Arial" w:cs="Arial" w:eastAsia="Arial" w:hAnsi="Arial"/>
          <w:sz w:val="24"/>
          <w:szCs w:val="24"/>
          <w:color w:val="auto"/>
          <w:vertAlign w:val="superscript"/>
        </w:rPr>
      </w:pPr>
    </w:p>
    <w:p>
      <w:pPr>
        <w:ind w:left="960" w:right="100" w:hanging="439"/>
        <w:spacing w:after="0" w:line="195" w:lineRule="auto"/>
        <w:tabs>
          <w:tab w:leader="none" w:pos="9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Our indebtedness could adversely affect our financial condition and prevent us from fulfilling our debt obligations and may otherwise restrict our activities.</w:t>
      </w:r>
    </w:p>
    <w:p>
      <w:pPr>
        <w:spacing w:after="0" w:line="22" w:lineRule="exact"/>
        <w:rPr>
          <w:rFonts w:ascii="Arial" w:cs="Arial" w:eastAsia="Arial" w:hAnsi="Arial"/>
          <w:sz w:val="24"/>
          <w:szCs w:val="24"/>
          <w:color w:val="auto"/>
          <w:vertAlign w:val="superscript"/>
        </w:rPr>
      </w:pPr>
    </w:p>
    <w:p>
      <w:pPr>
        <w:ind w:left="960" w:hanging="439"/>
        <w:spacing w:after="0" w:line="208" w:lineRule="auto"/>
        <w:tabs>
          <w:tab w:leader="none" w:pos="9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Cinven (defined below) and Dr. August J. Troendle, our Chief Executive Officer and founder, will collectively own a substantial majority of our outstanding common stock after this offering, and they will have control over decisions that require the approval of shareholders, which could limit your ability to influence the outcome of matters submitted to shareholders for a vote. In addition, their interests may be different from or conflict with yours.</w:t>
      </w:r>
    </w:p>
    <w:p>
      <w:pPr>
        <w:spacing w:after="0" w:line="25" w:lineRule="exact"/>
        <w:rPr>
          <w:rFonts w:ascii="Arial" w:cs="Arial" w:eastAsia="Arial" w:hAnsi="Arial"/>
          <w:sz w:val="24"/>
          <w:szCs w:val="24"/>
          <w:color w:val="auto"/>
          <w:vertAlign w:val="superscript"/>
        </w:rPr>
      </w:pPr>
    </w:p>
    <w:p>
      <w:pPr>
        <w:jc w:val="both"/>
        <w:ind w:left="960" w:right="160" w:hanging="439"/>
        <w:spacing w:after="0" w:line="203" w:lineRule="auto"/>
        <w:tabs>
          <w:tab w:leader="none" w:pos="9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Upon the listing of our shares on the NASDAQ Global Select Market, or NASDAQ, we will be a “controlled company” within the meaning of the NASDAQ rules and, as a result, will qualify for, and intend to rely on, exemptions from certain corporate governance requirements. You will not have the same protections afforded to shareholders of companies that are subject to such requirements.</w:t>
      </w:r>
    </w:p>
    <w:p>
      <w:pPr>
        <w:spacing w:after="0" w:line="143" w:lineRule="exact"/>
        <w:rPr>
          <w:sz w:val="20"/>
          <w:szCs w:val="20"/>
          <w:color w:val="auto"/>
        </w:rPr>
      </w:pPr>
    </w:p>
    <w:p>
      <w:pPr>
        <w:ind w:left="200"/>
        <w:spacing w:after="0" w:line="230" w:lineRule="auto"/>
        <w:rPr>
          <w:sz w:val="20"/>
          <w:szCs w:val="20"/>
          <w:color w:val="auto"/>
        </w:rPr>
      </w:pPr>
      <w:r>
        <w:rPr>
          <w:rFonts w:ascii="Arial" w:cs="Arial" w:eastAsia="Arial" w:hAnsi="Arial"/>
          <w:sz w:val="17"/>
          <w:szCs w:val="17"/>
          <w:color w:val="auto"/>
        </w:rPr>
        <w:t>These and other risks are more fully described in the section entitled “Risk Factors” below, which you should carefully read and consider before making a decision to invest in our common stock. If any of these risks actually occur, our business, financial condition, results of operations, cash flows or reputation would likely be materially adversely affected. In such case, the trading price of our common stock would likely decline, and you could lose all or part of your investment.</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Transaction</w:t>
      </w:r>
    </w:p>
    <w:p>
      <w:pPr>
        <w:spacing w:after="0" w:line="96" w:lineRule="exact"/>
        <w:rPr>
          <w:sz w:val="20"/>
          <w:szCs w:val="20"/>
          <w:color w:val="auto"/>
        </w:rPr>
      </w:pPr>
    </w:p>
    <w:p>
      <w:pPr>
        <w:ind w:left="200"/>
        <w:spacing w:after="0" w:line="228" w:lineRule="auto"/>
        <w:rPr>
          <w:sz w:val="20"/>
          <w:szCs w:val="20"/>
          <w:color w:val="auto"/>
        </w:rPr>
      </w:pPr>
      <w:r>
        <w:rPr>
          <w:rFonts w:ascii="Arial" w:cs="Arial" w:eastAsia="Arial" w:hAnsi="Arial"/>
          <w:sz w:val="17"/>
          <w:szCs w:val="17"/>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For an overview of our ownership structure following this offering, see “—Our Structure.”</w:t>
      </w:r>
    </w:p>
    <w:p>
      <w:pPr>
        <w:spacing w:after="0" w:line="143" w:lineRule="exact"/>
        <w:rPr>
          <w:sz w:val="20"/>
          <w:szCs w:val="20"/>
          <w:color w:val="auto"/>
        </w:rPr>
      </w:pPr>
    </w:p>
    <w:p>
      <w:pPr>
        <w:ind w:left="200" w:right="140"/>
        <w:spacing w:after="0" w:line="231" w:lineRule="auto"/>
        <w:rPr>
          <w:sz w:val="20"/>
          <w:szCs w:val="20"/>
          <w:color w:val="auto"/>
        </w:rPr>
      </w:pPr>
      <w:r>
        <w:rPr>
          <w:rFonts w:ascii="Arial" w:cs="Arial" w:eastAsia="Arial" w:hAnsi="Arial"/>
          <w:sz w:val="17"/>
          <w:szCs w:val="17"/>
          <w:color w:val="auto"/>
        </w:rPr>
        <w:t>Prior to the Transaction, CCMP Capital, or CCMP, a private equity firm, held 80% of our equity interests and the noncontrolling interests were held by certain current and former members of management, along with former members of the board of directors of Medpace, Inc., our wholly owned subsidiary.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Private Equity Sponsor</w:t>
      </w:r>
    </w:p>
    <w:p>
      <w:pPr>
        <w:spacing w:after="0" w:line="83" w:lineRule="exact"/>
        <w:rPr>
          <w:sz w:val="20"/>
          <w:szCs w:val="20"/>
          <w:color w:val="auto"/>
        </w:rPr>
      </w:pPr>
    </w:p>
    <w:p>
      <w:pPr>
        <w:ind w:left="200"/>
        <w:spacing w:after="0" w:line="228" w:lineRule="auto"/>
        <w:rPr>
          <w:sz w:val="20"/>
          <w:szCs w:val="20"/>
          <w:color w:val="auto"/>
        </w:rPr>
      </w:pPr>
      <w:r>
        <w:rPr>
          <w:rFonts w:ascii="Arial" w:cs="Arial" w:eastAsia="Arial" w:hAnsi="Arial"/>
          <w:sz w:val="17"/>
          <w:szCs w:val="17"/>
          <w:color w:val="auto"/>
        </w:rPr>
        <w:t>The Cinven group is a leading private equity firm, founded in 1977, with offices in Guernsey, London, Frankfurt, Paris, Madrid, Milan, Luxembourg, Hong Kong and New York. The group focuses on investments across six core sectors: Healthcare, Financial Services, Business Services, Consumer, Industrials and Technology and Media and Telecommunications. Its funds acquire high-quality companies and work with them to help them grow and develop. The Cinven group is a responsible investor, seeking to build long-term value through sustainable growth in the portfolio companies of its funds with consideration for their employees, suppliers, local communities, the environment and society. Since 1977, the Cinven group has completed transactions valued at in excess of €85 billion.</w:t>
      </w:r>
    </w:p>
    <w:p>
      <w:pPr>
        <w:spacing w:after="0" w:line="156" w:lineRule="exact"/>
        <w:rPr>
          <w:sz w:val="20"/>
          <w:szCs w:val="20"/>
          <w:color w:val="auto"/>
        </w:rPr>
      </w:pPr>
    </w:p>
    <w:p>
      <w:pPr>
        <w:ind w:left="200" w:right="280"/>
        <w:spacing w:after="0" w:line="235" w:lineRule="auto"/>
        <w:rPr>
          <w:sz w:val="20"/>
          <w:szCs w:val="20"/>
          <w:color w:val="auto"/>
        </w:rPr>
      </w:pPr>
      <w:r>
        <w:rPr>
          <w:rFonts w:ascii="Arial" w:cs="Arial" w:eastAsia="Arial" w:hAnsi="Arial"/>
          <w:sz w:val="17"/>
          <w:szCs w:val="17"/>
          <w:color w:val="auto"/>
        </w:rPr>
        <w:t>Upon the completion of this offering, Cinven will own approximately % of the outstanding shares of our common stock (or % if the underwriters exercise their option to purchase additional shares in full).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240" w:top="449" w:right="4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490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0275" cy="64903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0"/>
        <w:spacing w:after="0" w:line="230" w:lineRule="auto"/>
        <w:rPr>
          <w:sz w:val="20"/>
          <w:szCs w:val="20"/>
          <w:color w:val="auto"/>
        </w:rPr>
      </w:pPr>
      <w:r>
        <w:rPr>
          <w:rFonts w:ascii="Arial" w:cs="Arial" w:eastAsia="Arial" w:hAnsi="Arial"/>
          <w:sz w:val="17"/>
          <w:szCs w:val="17"/>
          <w:color w:val="auto"/>
        </w:rPr>
        <w:t>Accordingly, Cinven will be able to exert a significant degree of influence or actual control over our management and affairs. See “Risk Factors—Risks Relating to Our Common Stock and This Offering—Cinven and our Chief Executive Officer and founder will collectively own a substantial majority of our outstanding common stock following this offering and their interests may be different from or conflict with those of our other shareholders” and “Principal Shareholders.”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Structure</w:t>
      </w:r>
    </w:p>
    <w:p>
      <w:pPr>
        <w:spacing w:after="0" w:line="83" w:lineRule="exact"/>
        <w:rPr>
          <w:sz w:val="20"/>
          <w:szCs w:val="20"/>
          <w:color w:val="auto"/>
        </w:rPr>
      </w:pPr>
    </w:p>
    <w:p>
      <w:pPr>
        <w:ind w:left="200" w:right="260"/>
        <w:spacing w:after="0" w:line="235" w:lineRule="auto"/>
        <w:rPr>
          <w:sz w:val="20"/>
          <w:szCs w:val="20"/>
          <w:color w:val="auto"/>
        </w:rPr>
      </w:pPr>
      <w:r>
        <w:rPr>
          <w:rFonts w:ascii="Arial" w:cs="Arial" w:eastAsia="Arial" w:hAnsi="Arial"/>
          <w:sz w:val="17"/>
          <w:szCs w:val="17"/>
          <w:color w:val="auto"/>
        </w:rPr>
        <w:t>The diagram below reflects a simplified overview of our organizational structure following this offering (including the application of the net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hanging="280"/>
        <w:spacing w:after="0" w:line="200" w:lineRule="auto"/>
        <w:tabs>
          <w:tab w:leader="none" w:pos="500" w:val="left"/>
        </w:tabs>
        <w:numPr>
          <w:ilvl w:val="0"/>
          <w:numId w:val="5"/>
        </w:numPr>
        <w:rPr>
          <w:rFonts w:ascii="Arial" w:cs="Arial" w:eastAsia="Arial" w:hAnsi="Arial"/>
          <w:sz w:val="23"/>
          <w:szCs w:val="23"/>
          <w:color w:val="auto"/>
          <w:vertAlign w:val="superscript"/>
        </w:rPr>
      </w:pPr>
      <w:r>
        <w:rPr>
          <w:rFonts w:ascii="Arial" w:cs="Arial" w:eastAsia="Arial" w:hAnsi="Arial"/>
          <w:sz w:val="13"/>
          <w:szCs w:val="13"/>
          <w:color w:val="auto"/>
        </w:rPr>
        <w:t>In conjunction with the Transaction, we entered into a new credit agreement, which provided for a $530.0 million term loan, or the Senior Secured Term Loan Facility, and a $60.0 million revolving credit facility, or the Senior Secured Revolving Credit Facility, and, together with the Senior Secured Term Loan Facility, the Senior Secured Credit Facilities. As of June 30, 2016, as described under “Use of Proceeds,” on an as adjusted basis after giving effect to this offering and the use of proceeds therefrom, we would</w:t>
      </w:r>
    </w:p>
    <w:p>
      <w:pPr>
        <w:spacing w:after="0" w:line="1" w:lineRule="exact"/>
        <w:rPr>
          <w:rFonts w:ascii="Arial" w:cs="Arial" w:eastAsia="Arial" w:hAnsi="Arial"/>
          <w:sz w:val="23"/>
          <w:szCs w:val="23"/>
          <w:color w:val="auto"/>
          <w:vertAlign w:val="superscript"/>
        </w:rPr>
      </w:pPr>
    </w:p>
    <w:p>
      <w:pPr>
        <w:ind w:left="500"/>
        <w:spacing w:after="0" w:line="239" w:lineRule="auto"/>
        <w:rPr>
          <w:rFonts w:ascii="Arial" w:cs="Arial" w:eastAsia="Arial" w:hAnsi="Arial"/>
          <w:sz w:val="23"/>
          <w:szCs w:val="23"/>
          <w:color w:val="auto"/>
          <w:vertAlign w:val="superscript"/>
        </w:rPr>
      </w:pPr>
      <w:r>
        <w:rPr>
          <w:rFonts w:ascii="Arial" w:cs="Arial" w:eastAsia="Arial" w:hAnsi="Arial"/>
          <w:sz w:val="14"/>
          <w:szCs w:val="14"/>
          <w:color w:val="auto"/>
        </w:rPr>
        <w:t>have had approximately $ million of outstanding indebtedness under our Senior Secured Term Loan Facility and no borrowings outstanding under our Senior Secured Revolving Credit Facility. For additional information about our Senior Secured Credit Facilities, see “Management’s Discussion and Analysis of Financial Condition and Results of Operations—Liquidity and Capital Resources—Indebtedness.”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0"/>
          </w:cols>
          <w:pgMar w:left="240" w:top="449" w:right="4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1010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0275" cy="10102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Corporate Information</w:t>
      </w:r>
    </w:p>
    <w:p>
      <w:pPr>
        <w:spacing w:after="0" w:line="83" w:lineRule="exact"/>
        <w:rPr>
          <w:sz w:val="20"/>
          <w:szCs w:val="20"/>
          <w:color w:val="auto"/>
        </w:rPr>
      </w:pPr>
    </w:p>
    <w:p>
      <w:pPr>
        <w:ind w:left="200"/>
        <w:spacing w:after="0" w:line="230" w:lineRule="auto"/>
        <w:rPr>
          <w:sz w:val="20"/>
          <w:szCs w:val="20"/>
          <w:color w:val="auto"/>
        </w:rPr>
      </w:pPr>
      <w:r>
        <w:rPr>
          <w:rFonts w:ascii="Arial" w:cs="Arial" w:eastAsia="Arial" w:hAnsi="Arial"/>
          <w:sz w:val="17"/>
          <w:szCs w:val="17"/>
          <w:color w:val="auto"/>
        </w:rPr>
        <w:t>We are a Delaware corporation and were incorporated on February 18, 2014. Our principal executive offices are located at 5375 Medpace Way, Cincinnati, Ohio 45227, and our telephone number is (513) 579-9911. Our corporate website address is www.medpace.com. Our website and the information contained in, or that can be accessed through, our website is not deemed to be incorporated by reference in, and is not considered part of, this prospectus. You should not rely on any such information in making your decision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240" w:top="449" w:right="4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716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0275" cy="5716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OFFERING</w:t>
      </w:r>
    </w:p>
    <w:p>
      <w:pPr>
        <w:spacing w:after="0" w:line="371"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41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520" w:type="dxa"/>
            <w:vAlign w:val="bottom"/>
          </w:tcPr>
          <w:p>
            <w:pPr>
              <w:ind w:left="880"/>
              <w:spacing w:after="0"/>
              <w:rPr>
                <w:sz w:val="20"/>
                <w:szCs w:val="20"/>
                <w:color w:val="auto"/>
              </w:rPr>
            </w:pPr>
            <w:r>
              <w:rPr>
                <w:rFonts w:ascii="Arial" w:cs="Arial" w:eastAsia="Arial" w:hAnsi="Arial"/>
                <w:sz w:val="17"/>
                <w:szCs w:val="17"/>
                <w:color w:val="auto"/>
              </w:rPr>
              <w:t>shares.</w:t>
            </w: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76"/>
        </w:trPr>
        <w:tc>
          <w:tcPr>
            <w:tcW w:w="4100" w:type="dxa"/>
            <w:vAlign w:val="bottom"/>
          </w:tcPr>
          <w:p>
            <w:pPr>
              <w:spacing w:after="0"/>
              <w:rPr>
                <w:sz w:val="20"/>
                <w:szCs w:val="20"/>
                <w:color w:val="auto"/>
              </w:rPr>
            </w:pPr>
            <w:r>
              <w:rPr>
                <w:rFonts w:ascii="Arial" w:cs="Arial" w:eastAsia="Arial" w:hAnsi="Arial"/>
                <w:sz w:val="17"/>
                <w:szCs w:val="17"/>
                <w:color w:val="auto"/>
                <w:w w:val="99"/>
              </w:rPr>
              <w:t>Option to purchase additional shares of common stock</w:t>
            </w:r>
          </w:p>
        </w:tc>
        <w:tc>
          <w:tcPr>
            <w:tcW w:w="4940" w:type="dxa"/>
            <w:vAlign w:val="bottom"/>
            <w:gridSpan w:val="3"/>
          </w:tcPr>
          <w:p>
            <w:pPr>
              <w:ind w:left="100"/>
              <w:spacing w:after="0"/>
              <w:rPr>
                <w:sz w:val="20"/>
                <w:szCs w:val="20"/>
                <w:color w:val="auto"/>
              </w:rPr>
            </w:pPr>
            <w:r>
              <w:rPr>
                <w:rFonts w:ascii="Arial" w:cs="Arial" w:eastAsia="Arial" w:hAnsi="Arial"/>
                <w:sz w:val="17"/>
                <w:szCs w:val="17"/>
                <w:color w:val="auto"/>
                <w:w w:val="99"/>
              </w:rPr>
              <w:t>The underwriters have the option to purchase up to an additional</w:t>
            </w:r>
          </w:p>
        </w:tc>
        <w:tc>
          <w:tcPr>
            <w:tcW w:w="1980" w:type="dxa"/>
            <w:vAlign w:val="bottom"/>
          </w:tcPr>
          <w:p>
            <w:pPr>
              <w:ind w:left="720"/>
              <w:spacing w:after="0"/>
              <w:rPr>
                <w:sz w:val="20"/>
                <w:szCs w:val="20"/>
                <w:color w:val="auto"/>
              </w:rPr>
            </w:pPr>
            <w:r>
              <w:rPr>
                <w:rFonts w:ascii="Arial" w:cs="Arial" w:eastAsia="Arial" w:hAnsi="Arial"/>
                <w:sz w:val="17"/>
                <w:szCs w:val="17"/>
                <w:color w:val="auto"/>
              </w:rPr>
              <w:t>shares of</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w w:val="98"/>
              </w:rPr>
              <w:t>common stock from us. The underwriters can exercise this option at any time within 30 days</w:t>
            </w:r>
          </w:p>
        </w:tc>
      </w:tr>
      <w:tr>
        <w:trPr>
          <w:trHeight w:val="200"/>
        </w:trPr>
        <w:tc>
          <w:tcPr>
            <w:tcW w:w="4100" w:type="dxa"/>
            <w:vAlign w:val="bottom"/>
          </w:tcPr>
          <w:p>
            <w:pPr>
              <w:spacing w:after="0"/>
              <w:rPr>
                <w:sz w:val="17"/>
                <w:szCs w:val="17"/>
                <w:color w:val="auto"/>
              </w:rPr>
            </w:pPr>
          </w:p>
        </w:tc>
        <w:tc>
          <w:tcPr>
            <w:tcW w:w="3140" w:type="dxa"/>
            <w:vAlign w:val="bottom"/>
            <w:gridSpan w:val="2"/>
          </w:tcPr>
          <w:p>
            <w:pPr>
              <w:ind w:left="100"/>
              <w:spacing w:after="0"/>
              <w:rPr>
                <w:sz w:val="20"/>
                <w:szCs w:val="20"/>
                <w:color w:val="auto"/>
              </w:rPr>
            </w:pPr>
            <w:r>
              <w:rPr>
                <w:rFonts w:ascii="Arial" w:cs="Arial" w:eastAsia="Arial" w:hAnsi="Arial"/>
                <w:sz w:val="17"/>
                <w:szCs w:val="17"/>
                <w:color w:val="auto"/>
              </w:rPr>
              <w:t>from the date of this prospectus.</w:t>
            </w:r>
          </w:p>
        </w:tc>
        <w:tc>
          <w:tcPr>
            <w:tcW w:w="18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63"/>
        </w:trPr>
        <w:tc>
          <w:tcPr>
            <w:tcW w:w="41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1520" w:type="dxa"/>
            <w:vAlign w:val="bottom"/>
          </w:tcPr>
          <w:p>
            <w:pPr>
              <w:ind w:left="880"/>
              <w:spacing w:after="0"/>
              <w:rPr>
                <w:sz w:val="20"/>
                <w:szCs w:val="20"/>
                <w:color w:val="auto"/>
              </w:rPr>
            </w:pPr>
            <w:r>
              <w:rPr>
                <w:rFonts w:ascii="Arial" w:cs="Arial" w:eastAsia="Arial" w:hAnsi="Arial"/>
                <w:sz w:val="17"/>
                <w:szCs w:val="17"/>
                <w:color w:val="auto"/>
              </w:rPr>
              <w:t>shares (</w:t>
            </w:r>
          </w:p>
        </w:tc>
        <w:tc>
          <w:tcPr>
            <w:tcW w:w="5400" w:type="dxa"/>
            <w:vAlign w:val="bottom"/>
            <w:gridSpan w:val="3"/>
          </w:tcPr>
          <w:p>
            <w:pPr>
              <w:ind w:left="740"/>
              <w:spacing w:after="0"/>
              <w:rPr>
                <w:sz w:val="20"/>
                <w:szCs w:val="20"/>
                <w:color w:val="auto"/>
              </w:rPr>
            </w:pPr>
            <w:r>
              <w:rPr>
                <w:rFonts w:ascii="Arial" w:cs="Arial" w:eastAsia="Arial" w:hAnsi="Arial"/>
                <w:sz w:val="17"/>
                <w:szCs w:val="17"/>
                <w:color w:val="auto"/>
              </w:rPr>
              <w:t>shares if the underwriters’ exercise their option to purchase</w:t>
            </w:r>
          </w:p>
        </w:tc>
      </w:tr>
      <w:tr>
        <w:trPr>
          <w:trHeight w:val="200"/>
        </w:trPr>
        <w:tc>
          <w:tcPr>
            <w:tcW w:w="4100" w:type="dxa"/>
            <w:vAlign w:val="bottom"/>
          </w:tcPr>
          <w:p>
            <w:pPr>
              <w:spacing w:after="0"/>
              <w:rPr>
                <w:sz w:val="17"/>
                <w:szCs w:val="17"/>
                <w:color w:val="auto"/>
              </w:rPr>
            </w:pPr>
          </w:p>
        </w:tc>
        <w:tc>
          <w:tcPr>
            <w:tcW w:w="3140" w:type="dxa"/>
            <w:vAlign w:val="bottom"/>
            <w:gridSpan w:val="2"/>
          </w:tcPr>
          <w:p>
            <w:pPr>
              <w:ind w:left="100"/>
              <w:spacing w:after="0"/>
              <w:rPr>
                <w:sz w:val="20"/>
                <w:szCs w:val="20"/>
                <w:color w:val="auto"/>
              </w:rPr>
            </w:pPr>
            <w:r>
              <w:rPr>
                <w:rFonts w:ascii="Arial" w:cs="Arial" w:eastAsia="Arial" w:hAnsi="Arial"/>
                <w:sz w:val="17"/>
                <w:szCs w:val="17"/>
                <w:color w:val="auto"/>
              </w:rPr>
              <w:t>additional shares in full).</w:t>
            </w:r>
          </w:p>
        </w:tc>
        <w:tc>
          <w:tcPr>
            <w:tcW w:w="18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63"/>
        </w:trPr>
        <w:tc>
          <w:tcPr>
            <w:tcW w:w="4100" w:type="dxa"/>
            <w:vAlign w:val="bottom"/>
          </w:tcPr>
          <w:p>
            <w:pPr>
              <w:spacing w:after="0"/>
              <w:rPr>
                <w:sz w:val="20"/>
                <w:szCs w:val="20"/>
                <w:color w:val="auto"/>
              </w:rPr>
            </w:pPr>
            <w:r>
              <w:rPr>
                <w:rFonts w:ascii="Arial" w:cs="Arial" w:eastAsia="Arial" w:hAnsi="Arial"/>
                <w:sz w:val="17"/>
                <w:szCs w:val="17"/>
                <w:color w:val="auto"/>
              </w:rPr>
              <w:t>Use of proceeds</w:t>
            </w:r>
          </w:p>
        </w:tc>
        <w:tc>
          <w:tcPr>
            <w:tcW w:w="4940" w:type="dxa"/>
            <w:vAlign w:val="bottom"/>
            <w:gridSpan w:val="3"/>
          </w:tcPr>
          <w:p>
            <w:pPr>
              <w:ind w:left="100"/>
              <w:spacing w:after="0"/>
              <w:rPr>
                <w:sz w:val="20"/>
                <w:szCs w:val="20"/>
                <w:color w:val="auto"/>
              </w:rPr>
            </w:pPr>
            <w:r>
              <w:rPr>
                <w:rFonts w:ascii="Arial" w:cs="Arial" w:eastAsia="Arial" w:hAnsi="Arial"/>
                <w:sz w:val="17"/>
                <w:szCs w:val="17"/>
                <w:color w:val="auto"/>
              </w:rPr>
              <w:t>We estimate that the net proceeds to us from our sale of</w:t>
            </w:r>
          </w:p>
        </w:tc>
        <w:tc>
          <w:tcPr>
            <w:tcW w:w="1980" w:type="dxa"/>
            <w:vAlign w:val="bottom"/>
          </w:tcPr>
          <w:p>
            <w:pPr>
              <w:ind w:left="100"/>
              <w:spacing w:after="0"/>
              <w:rPr>
                <w:sz w:val="20"/>
                <w:szCs w:val="20"/>
                <w:color w:val="auto"/>
              </w:rPr>
            </w:pPr>
            <w:r>
              <w:rPr>
                <w:rFonts w:ascii="Arial" w:cs="Arial" w:eastAsia="Arial" w:hAnsi="Arial"/>
                <w:sz w:val="17"/>
                <w:szCs w:val="17"/>
                <w:color w:val="auto"/>
              </w:rPr>
              <w:t>shares of common stock</w:t>
            </w:r>
          </w:p>
        </w:tc>
      </w:tr>
      <w:tr>
        <w:trPr>
          <w:trHeight w:val="183"/>
        </w:trPr>
        <w:tc>
          <w:tcPr>
            <w:tcW w:w="4100" w:type="dxa"/>
            <w:vAlign w:val="bottom"/>
          </w:tcPr>
          <w:p>
            <w:pPr>
              <w:spacing w:after="0"/>
              <w:rPr>
                <w:sz w:val="15"/>
                <w:szCs w:val="15"/>
                <w:color w:val="auto"/>
              </w:rPr>
            </w:pPr>
          </w:p>
        </w:tc>
        <w:tc>
          <w:tcPr>
            <w:tcW w:w="3140" w:type="dxa"/>
            <w:vAlign w:val="bottom"/>
            <w:gridSpan w:val="2"/>
          </w:tcPr>
          <w:p>
            <w:pPr>
              <w:ind w:left="100"/>
              <w:spacing w:after="0" w:line="184" w:lineRule="exact"/>
              <w:rPr>
                <w:sz w:val="20"/>
                <w:szCs w:val="20"/>
                <w:color w:val="auto"/>
              </w:rPr>
            </w:pPr>
            <w:r>
              <w:rPr>
                <w:rFonts w:ascii="Arial" w:cs="Arial" w:eastAsia="Arial" w:hAnsi="Arial"/>
                <w:sz w:val="17"/>
                <w:szCs w:val="17"/>
                <w:color w:val="auto"/>
              </w:rPr>
              <w:t>in this offering will be approximately $</w:t>
            </w:r>
          </w:p>
        </w:tc>
        <w:tc>
          <w:tcPr>
            <w:tcW w:w="3780" w:type="dxa"/>
            <w:vAlign w:val="bottom"/>
            <w:gridSpan w:val="2"/>
          </w:tcPr>
          <w:p>
            <w:pPr>
              <w:ind w:left="500"/>
              <w:spacing w:after="0" w:line="184" w:lineRule="exact"/>
              <w:rPr>
                <w:sz w:val="20"/>
                <w:szCs w:val="20"/>
                <w:color w:val="auto"/>
              </w:rPr>
            </w:pPr>
            <w:r>
              <w:rPr>
                <w:rFonts w:ascii="Arial" w:cs="Arial" w:eastAsia="Arial" w:hAnsi="Arial"/>
                <w:sz w:val="17"/>
                <w:szCs w:val="17"/>
                <w:color w:val="auto"/>
              </w:rPr>
              <w:t>million, assuming an initial public offering</w:t>
            </w:r>
          </w:p>
        </w:tc>
      </w:tr>
      <w:tr>
        <w:trPr>
          <w:trHeight w:val="183"/>
        </w:trPr>
        <w:tc>
          <w:tcPr>
            <w:tcW w:w="4100" w:type="dxa"/>
            <w:vAlign w:val="bottom"/>
          </w:tcPr>
          <w:p>
            <w:pPr>
              <w:spacing w:after="0"/>
              <w:rPr>
                <w:sz w:val="15"/>
                <w:szCs w:val="15"/>
                <w:color w:val="auto"/>
              </w:rPr>
            </w:pPr>
          </w:p>
        </w:tc>
        <w:tc>
          <w:tcPr>
            <w:tcW w:w="1520" w:type="dxa"/>
            <w:vAlign w:val="bottom"/>
          </w:tcPr>
          <w:p>
            <w:pPr>
              <w:ind w:left="100"/>
              <w:spacing w:after="0" w:line="184" w:lineRule="exact"/>
              <w:rPr>
                <w:sz w:val="20"/>
                <w:szCs w:val="20"/>
                <w:color w:val="auto"/>
              </w:rPr>
            </w:pPr>
            <w:r>
              <w:rPr>
                <w:rFonts w:ascii="Arial" w:cs="Arial" w:eastAsia="Arial" w:hAnsi="Arial"/>
                <w:sz w:val="17"/>
                <w:szCs w:val="17"/>
                <w:color w:val="auto"/>
              </w:rPr>
              <w:t>price of $</w:t>
            </w:r>
          </w:p>
        </w:tc>
        <w:tc>
          <w:tcPr>
            <w:tcW w:w="5400" w:type="dxa"/>
            <w:vAlign w:val="bottom"/>
            <w:gridSpan w:val="3"/>
          </w:tcPr>
          <w:p>
            <w:pPr>
              <w:ind w:left="40"/>
              <w:spacing w:after="0" w:line="184" w:lineRule="exact"/>
              <w:rPr>
                <w:sz w:val="20"/>
                <w:szCs w:val="20"/>
                <w:color w:val="auto"/>
              </w:rPr>
            </w:pPr>
            <w:r>
              <w:rPr>
                <w:rFonts w:ascii="Arial" w:cs="Arial" w:eastAsia="Arial" w:hAnsi="Arial"/>
                <w:sz w:val="17"/>
                <w:szCs w:val="17"/>
                <w:color w:val="auto"/>
                <w:w w:val="97"/>
              </w:rPr>
              <w:t>per share (the midpoint of the price range listed on the cover page of this</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rPr>
              <w:t>prospectus), and after deducting estimated underwriting discounts and commissions and</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w w:val="98"/>
              </w:rPr>
              <w:t>estimated expenses payable by us in connection with this offering. We intend to use the net</w:t>
            </w:r>
          </w:p>
        </w:tc>
      </w:tr>
      <w:tr>
        <w:trPr>
          <w:trHeight w:val="183"/>
        </w:trPr>
        <w:tc>
          <w:tcPr>
            <w:tcW w:w="4100" w:type="dxa"/>
            <w:vAlign w:val="bottom"/>
          </w:tcPr>
          <w:p>
            <w:pPr>
              <w:spacing w:after="0"/>
              <w:rPr>
                <w:sz w:val="15"/>
                <w:szCs w:val="15"/>
                <w:color w:val="auto"/>
              </w:rPr>
            </w:pPr>
          </w:p>
        </w:tc>
        <w:tc>
          <w:tcPr>
            <w:tcW w:w="3140" w:type="dxa"/>
            <w:vAlign w:val="bottom"/>
            <w:gridSpan w:val="2"/>
          </w:tcPr>
          <w:p>
            <w:pPr>
              <w:ind w:left="100"/>
              <w:spacing w:after="0" w:line="184" w:lineRule="exact"/>
              <w:rPr>
                <w:sz w:val="20"/>
                <w:szCs w:val="20"/>
                <w:color w:val="auto"/>
              </w:rPr>
            </w:pPr>
            <w:r>
              <w:rPr>
                <w:rFonts w:ascii="Arial" w:cs="Arial" w:eastAsia="Arial" w:hAnsi="Arial"/>
                <w:sz w:val="17"/>
                <w:szCs w:val="17"/>
                <w:color w:val="auto"/>
              </w:rPr>
              <w:t>proceeds of this offering to repay $</w:t>
            </w:r>
          </w:p>
        </w:tc>
        <w:tc>
          <w:tcPr>
            <w:tcW w:w="3780" w:type="dxa"/>
            <w:vAlign w:val="bottom"/>
            <w:gridSpan w:val="2"/>
          </w:tcPr>
          <w:p>
            <w:pPr>
              <w:ind w:left="280"/>
              <w:spacing w:after="0" w:line="184" w:lineRule="exact"/>
              <w:rPr>
                <w:sz w:val="20"/>
                <w:szCs w:val="20"/>
                <w:color w:val="auto"/>
              </w:rPr>
            </w:pPr>
            <w:r>
              <w:rPr>
                <w:rFonts w:ascii="Arial" w:cs="Arial" w:eastAsia="Arial" w:hAnsi="Arial"/>
                <w:sz w:val="17"/>
                <w:szCs w:val="17"/>
                <w:color w:val="auto"/>
              </w:rPr>
              <w:t>million in aggregate principal amount of</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rPr>
              <w:t>outstanding borrowings under our Senior Secured Term Loan Facility. In the event that the</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rPr>
              <w:t>underwriters exercise their option to purchase additional shares, we intend to use the net</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w w:val="98"/>
              </w:rPr>
              <w:t>proceeds from the sale of such shares to repay additional borrowings outstanding under our</w:t>
            </w:r>
          </w:p>
        </w:tc>
      </w:tr>
      <w:tr>
        <w:trPr>
          <w:trHeight w:val="200"/>
        </w:trPr>
        <w:tc>
          <w:tcPr>
            <w:tcW w:w="4100" w:type="dxa"/>
            <w:vAlign w:val="bottom"/>
          </w:tcPr>
          <w:p>
            <w:pPr>
              <w:spacing w:after="0"/>
              <w:rPr>
                <w:sz w:val="17"/>
                <w:szCs w:val="17"/>
                <w:color w:val="auto"/>
              </w:rPr>
            </w:pPr>
          </w:p>
        </w:tc>
        <w:tc>
          <w:tcPr>
            <w:tcW w:w="4940" w:type="dxa"/>
            <w:vAlign w:val="bottom"/>
            <w:gridSpan w:val="3"/>
          </w:tcPr>
          <w:p>
            <w:pPr>
              <w:ind w:left="100"/>
              <w:spacing w:after="0"/>
              <w:rPr>
                <w:sz w:val="20"/>
                <w:szCs w:val="20"/>
                <w:color w:val="auto"/>
              </w:rPr>
            </w:pPr>
            <w:r>
              <w:rPr>
                <w:rFonts w:ascii="Arial" w:cs="Arial" w:eastAsia="Arial" w:hAnsi="Arial"/>
                <w:sz w:val="17"/>
                <w:szCs w:val="17"/>
                <w:color w:val="auto"/>
              </w:rPr>
              <w:t>Senior Secured Term Loan Facility. See “Use of Proceeds.”</w:t>
            </w:r>
          </w:p>
        </w:tc>
        <w:tc>
          <w:tcPr>
            <w:tcW w:w="1980" w:type="dxa"/>
            <w:vAlign w:val="bottom"/>
          </w:tcPr>
          <w:p>
            <w:pPr>
              <w:spacing w:after="0"/>
              <w:rPr>
                <w:sz w:val="17"/>
                <w:szCs w:val="17"/>
                <w:color w:val="auto"/>
              </w:rPr>
            </w:pPr>
          </w:p>
        </w:tc>
      </w:tr>
      <w:tr>
        <w:trPr>
          <w:trHeight w:val="363"/>
        </w:trPr>
        <w:tc>
          <w:tcPr>
            <w:tcW w:w="4100" w:type="dxa"/>
            <w:vAlign w:val="bottom"/>
          </w:tcPr>
          <w:p>
            <w:pPr>
              <w:spacing w:after="0"/>
              <w:rPr>
                <w:sz w:val="20"/>
                <w:szCs w:val="20"/>
                <w:color w:val="auto"/>
              </w:rPr>
            </w:pPr>
            <w:r>
              <w:rPr>
                <w:rFonts w:ascii="Arial" w:cs="Arial" w:eastAsia="Arial" w:hAnsi="Arial"/>
                <w:sz w:val="17"/>
                <w:szCs w:val="17"/>
                <w:color w:val="auto"/>
              </w:rPr>
              <w:t>Dividend policy</w:t>
            </w:r>
          </w:p>
        </w:tc>
        <w:tc>
          <w:tcPr>
            <w:tcW w:w="6920" w:type="dxa"/>
            <w:vAlign w:val="bottom"/>
            <w:gridSpan w:val="4"/>
          </w:tcPr>
          <w:p>
            <w:pPr>
              <w:ind w:left="100"/>
              <w:spacing w:after="0"/>
              <w:rPr>
                <w:sz w:val="20"/>
                <w:szCs w:val="20"/>
                <w:color w:val="auto"/>
              </w:rPr>
            </w:pPr>
            <w:r>
              <w:rPr>
                <w:rFonts w:ascii="Arial" w:cs="Arial" w:eastAsia="Arial" w:hAnsi="Arial"/>
                <w:sz w:val="17"/>
                <w:szCs w:val="17"/>
                <w:color w:val="auto"/>
                <w:w w:val="96"/>
              </w:rPr>
              <w:t>We have no current plans to pay any cash dividends on our common stock in the foreseeable</w:t>
            </w:r>
          </w:p>
        </w:tc>
      </w:tr>
      <w:tr>
        <w:trPr>
          <w:trHeight w:val="200"/>
        </w:trPr>
        <w:tc>
          <w:tcPr>
            <w:tcW w:w="4100" w:type="dxa"/>
            <w:vAlign w:val="bottom"/>
          </w:tcPr>
          <w:p>
            <w:pPr>
              <w:spacing w:after="0"/>
              <w:rPr>
                <w:sz w:val="17"/>
                <w:szCs w:val="17"/>
                <w:color w:val="auto"/>
              </w:rPr>
            </w:pPr>
          </w:p>
        </w:tc>
        <w:tc>
          <w:tcPr>
            <w:tcW w:w="6920" w:type="dxa"/>
            <w:vAlign w:val="bottom"/>
            <w:gridSpan w:val="4"/>
          </w:tcPr>
          <w:p>
            <w:pPr>
              <w:ind w:left="100"/>
              <w:spacing w:after="0"/>
              <w:rPr>
                <w:sz w:val="20"/>
                <w:szCs w:val="20"/>
                <w:color w:val="auto"/>
              </w:rPr>
            </w:pPr>
            <w:r>
              <w:rPr>
                <w:rFonts w:ascii="Arial" w:cs="Arial" w:eastAsia="Arial" w:hAnsi="Arial"/>
                <w:sz w:val="17"/>
                <w:szCs w:val="17"/>
                <w:color w:val="auto"/>
              </w:rPr>
              <w:t>future; however, we may change this policy in the future. See “Dividend Policy.”</w:t>
            </w:r>
          </w:p>
        </w:tc>
      </w:tr>
      <w:tr>
        <w:trPr>
          <w:trHeight w:val="363"/>
        </w:trPr>
        <w:tc>
          <w:tcPr>
            <w:tcW w:w="4100" w:type="dxa"/>
            <w:vAlign w:val="bottom"/>
          </w:tcPr>
          <w:p>
            <w:pPr>
              <w:spacing w:after="0"/>
              <w:rPr>
                <w:sz w:val="20"/>
                <w:szCs w:val="20"/>
                <w:color w:val="auto"/>
              </w:rPr>
            </w:pPr>
            <w:r>
              <w:rPr>
                <w:rFonts w:ascii="Arial" w:cs="Arial" w:eastAsia="Arial" w:hAnsi="Arial"/>
                <w:sz w:val="17"/>
                <w:szCs w:val="17"/>
                <w:color w:val="auto"/>
              </w:rPr>
              <w:t>Risk factors</w:t>
            </w:r>
          </w:p>
        </w:tc>
        <w:tc>
          <w:tcPr>
            <w:tcW w:w="6920" w:type="dxa"/>
            <w:vAlign w:val="bottom"/>
            <w:gridSpan w:val="4"/>
          </w:tcPr>
          <w:p>
            <w:pPr>
              <w:ind w:left="100"/>
              <w:spacing w:after="0"/>
              <w:rPr>
                <w:sz w:val="20"/>
                <w:szCs w:val="20"/>
                <w:color w:val="auto"/>
              </w:rPr>
            </w:pPr>
            <w:r>
              <w:rPr>
                <w:rFonts w:ascii="Arial" w:cs="Arial" w:eastAsia="Arial" w:hAnsi="Arial"/>
                <w:sz w:val="17"/>
                <w:szCs w:val="17"/>
                <w:color w:val="auto"/>
                <w:w w:val="99"/>
              </w:rPr>
              <w:t>Investing in our common stock involves a high degree of risk. See “Risk Factors” beginning</w:t>
            </w:r>
          </w:p>
        </w:tc>
      </w:tr>
      <w:tr>
        <w:trPr>
          <w:trHeight w:val="183"/>
        </w:trPr>
        <w:tc>
          <w:tcPr>
            <w:tcW w:w="4100" w:type="dxa"/>
            <w:vAlign w:val="bottom"/>
          </w:tcPr>
          <w:p>
            <w:pPr>
              <w:spacing w:after="0"/>
              <w:rPr>
                <w:sz w:val="15"/>
                <w:szCs w:val="15"/>
                <w:color w:val="auto"/>
              </w:rPr>
            </w:pPr>
          </w:p>
        </w:tc>
        <w:tc>
          <w:tcPr>
            <w:tcW w:w="6920" w:type="dxa"/>
            <w:vAlign w:val="bottom"/>
            <w:gridSpan w:val="4"/>
          </w:tcPr>
          <w:p>
            <w:pPr>
              <w:ind w:left="100"/>
              <w:spacing w:after="0" w:line="184" w:lineRule="exact"/>
              <w:rPr>
                <w:sz w:val="20"/>
                <w:szCs w:val="20"/>
                <w:color w:val="auto"/>
              </w:rPr>
            </w:pPr>
            <w:r>
              <w:rPr>
                <w:rFonts w:ascii="Arial" w:cs="Arial" w:eastAsia="Arial" w:hAnsi="Arial"/>
                <w:sz w:val="17"/>
                <w:szCs w:val="17"/>
                <w:color w:val="auto"/>
                <w:w w:val="97"/>
              </w:rPr>
              <w:t>on page 20 of this prospectus for a discussion of factors you should consider carefully before</w:t>
            </w:r>
          </w:p>
        </w:tc>
      </w:tr>
      <w:tr>
        <w:trPr>
          <w:trHeight w:val="200"/>
        </w:trPr>
        <w:tc>
          <w:tcPr>
            <w:tcW w:w="4100" w:type="dxa"/>
            <w:vAlign w:val="bottom"/>
          </w:tcPr>
          <w:p>
            <w:pPr>
              <w:spacing w:after="0"/>
              <w:rPr>
                <w:sz w:val="17"/>
                <w:szCs w:val="17"/>
                <w:color w:val="auto"/>
              </w:rPr>
            </w:pPr>
          </w:p>
        </w:tc>
        <w:tc>
          <w:tcPr>
            <w:tcW w:w="3140" w:type="dxa"/>
            <w:vAlign w:val="bottom"/>
            <w:gridSpan w:val="2"/>
          </w:tcPr>
          <w:p>
            <w:pPr>
              <w:ind w:left="100"/>
              <w:spacing w:after="0"/>
              <w:rPr>
                <w:sz w:val="20"/>
                <w:szCs w:val="20"/>
                <w:color w:val="auto"/>
              </w:rPr>
            </w:pPr>
            <w:r>
              <w:rPr>
                <w:rFonts w:ascii="Arial" w:cs="Arial" w:eastAsia="Arial" w:hAnsi="Arial"/>
                <w:sz w:val="17"/>
                <w:szCs w:val="17"/>
                <w:color w:val="auto"/>
              </w:rPr>
              <w:t>investing in our common stock.</w:t>
            </w:r>
          </w:p>
        </w:tc>
        <w:tc>
          <w:tcPr>
            <w:tcW w:w="18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80"/>
        </w:trPr>
        <w:tc>
          <w:tcPr>
            <w:tcW w:w="4100" w:type="dxa"/>
            <w:vAlign w:val="bottom"/>
          </w:tcPr>
          <w:p>
            <w:pPr>
              <w:spacing w:after="0"/>
              <w:rPr>
                <w:sz w:val="20"/>
                <w:szCs w:val="20"/>
                <w:color w:val="auto"/>
              </w:rPr>
            </w:pPr>
            <w:r>
              <w:rPr>
                <w:rFonts w:ascii="Arial" w:cs="Arial" w:eastAsia="Arial" w:hAnsi="Arial"/>
                <w:sz w:val="17"/>
                <w:szCs w:val="17"/>
                <w:color w:val="auto"/>
              </w:rPr>
              <w:t>Listing</w:t>
            </w:r>
          </w:p>
        </w:tc>
        <w:tc>
          <w:tcPr>
            <w:tcW w:w="6920" w:type="dxa"/>
            <w:vAlign w:val="bottom"/>
            <w:gridSpan w:val="4"/>
          </w:tcPr>
          <w:p>
            <w:pPr>
              <w:ind w:left="100"/>
              <w:spacing w:after="0"/>
              <w:rPr>
                <w:sz w:val="20"/>
                <w:szCs w:val="20"/>
                <w:color w:val="auto"/>
              </w:rPr>
            </w:pPr>
            <w:r>
              <w:rPr>
                <w:rFonts w:ascii="Arial" w:cs="Arial" w:eastAsia="Arial" w:hAnsi="Arial"/>
                <w:sz w:val="17"/>
                <w:szCs w:val="17"/>
                <w:color w:val="auto"/>
              </w:rPr>
              <w:t>We have applied to list our common stock on NASDAQ under the symbol “MEDP.”</w:t>
            </w:r>
          </w:p>
        </w:tc>
      </w:tr>
    </w:tbl>
    <w:p>
      <w:pPr>
        <w:spacing w:after="0" w:line="154"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Except as otherwise indicated, the number of shares of common stock to be outstanding after this offering is based on 32,642,113 shares outstanding as of June 30, 2016 and excludes:</w:t>
      </w:r>
    </w:p>
    <w:p>
      <w:pPr>
        <w:spacing w:after="0" w:line="180" w:lineRule="exact"/>
        <w:rPr>
          <w:sz w:val="20"/>
          <w:szCs w:val="20"/>
          <w:color w:val="auto"/>
        </w:rPr>
      </w:pPr>
    </w:p>
    <w:p>
      <w:pPr>
        <w:ind w:left="960" w:right="40" w:hanging="439"/>
        <w:spacing w:after="0" w:line="195" w:lineRule="auto"/>
        <w:tabs>
          <w:tab w:leader="none" w:pos="9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1,779,637 shares of common stock issuable upon exercise of stock options outstanding as of June 30, 2016 at a weighted average exercise price of $15.48 per share; and</w:t>
      </w:r>
    </w:p>
    <w:p>
      <w:pPr>
        <w:spacing w:after="0" w:line="22" w:lineRule="exact"/>
        <w:rPr>
          <w:rFonts w:ascii="Arial" w:cs="Arial" w:eastAsia="Arial" w:hAnsi="Arial"/>
          <w:sz w:val="24"/>
          <w:szCs w:val="24"/>
          <w:color w:val="auto"/>
          <w:vertAlign w:val="superscript"/>
        </w:rPr>
      </w:pPr>
    </w:p>
    <w:p>
      <w:pPr>
        <w:ind w:left="960" w:hanging="439"/>
        <w:spacing w:after="0" w:line="203" w:lineRule="auto"/>
        <w:tabs>
          <w:tab w:leader="none" w:pos="9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an additional 6,000,000 shares of common stock reserved for future issuance under our 2016 Incentive Award Plan, or the Plan, including pursuant to equity awards to be granted in connection with this offering, as described in “Executive and Director Compensation—Narrative to Summary Compensation Table—Offering Grants to Employees under the 2016 Incentive Award Plan.”</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00" w:lineRule="exact"/>
        <w:rPr>
          <w:sz w:val="20"/>
          <w:szCs w:val="20"/>
          <w:color w:val="auto"/>
        </w:rPr>
      </w:pPr>
    </w:p>
    <w:p>
      <w:pPr>
        <w:ind w:left="520"/>
        <w:spacing w:after="0"/>
        <w:tabs>
          <w:tab w:leader="none" w:pos="940" w:val="left"/>
          <w:tab w:leader="none" w:pos="4880" w:val="left"/>
        </w:tabs>
        <w:rPr>
          <w:sz w:val="20"/>
          <w:szCs w:val="20"/>
          <w:color w:val="auto"/>
        </w:rPr>
      </w:pPr>
      <w:r>
        <w:rPr>
          <w:rFonts w:ascii="Arial" w:cs="Arial" w:eastAsia="Arial" w:hAnsi="Arial"/>
          <w:sz w:val="24"/>
          <w:szCs w:val="24"/>
          <w:color w:val="auto"/>
          <w:vertAlign w:val="superscript"/>
        </w:rPr>
        <w:t>n</w:t>
      </w:r>
      <w:r>
        <w:rPr>
          <w:sz w:val="20"/>
          <w:szCs w:val="20"/>
          <w:color w:val="auto"/>
        </w:rPr>
        <w:tab/>
      </w:r>
      <w:r>
        <w:rPr>
          <w:rFonts w:ascii="Arial" w:cs="Arial" w:eastAsia="Arial" w:hAnsi="Arial"/>
          <w:sz w:val="17"/>
          <w:szCs w:val="17"/>
          <w:color w:val="auto"/>
        </w:rPr>
        <w:t>assumes the initial public offering price of $</w:t>
      </w:r>
      <w:r>
        <w:rPr>
          <w:sz w:val="20"/>
          <w:szCs w:val="20"/>
          <w:color w:val="auto"/>
        </w:rPr>
        <w:tab/>
      </w:r>
      <w:r>
        <w:rPr>
          <w:rFonts w:ascii="Arial" w:cs="Arial" w:eastAsia="Arial" w:hAnsi="Arial"/>
          <w:sz w:val="16"/>
          <w:szCs w:val="16"/>
          <w:color w:val="auto"/>
        </w:rPr>
        <w:t>per share (the midpoint of the price range listed on the cover page of this prospectus);</w:t>
      </w:r>
    </w:p>
    <w:p>
      <w:pPr>
        <w:ind w:left="960" w:hanging="439"/>
        <w:spacing w:after="0" w:line="200" w:lineRule="auto"/>
        <w:tabs>
          <w:tab w:leader="none" w:pos="9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assumes no exercise of the underwriters’ option to purchase additional shares of our common stock;</w:t>
      </w:r>
    </w:p>
    <w:p>
      <w:pPr>
        <w:spacing w:after="0" w:line="200" w:lineRule="exact"/>
        <w:rPr>
          <w:rFonts w:ascii="Arial" w:cs="Arial" w:eastAsia="Arial" w:hAnsi="Arial"/>
          <w:sz w:val="24"/>
          <w:szCs w:val="24"/>
          <w:color w:val="auto"/>
          <w:vertAlign w:val="superscript"/>
        </w:rPr>
      </w:pPr>
    </w:p>
    <w:p>
      <w:pPr>
        <w:spacing w:after="0" w:line="200" w:lineRule="exact"/>
        <w:rPr>
          <w:rFonts w:ascii="Arial" w:cs="Arial" w:eastAsia="Arial" w:hAnsi="Arial"/>
          <w:sz w:val="24"/>
          <w:szCs w:val="24"/>
          <w:color w:val="auto"/>
          <w:vertAlign w:val="superscript"/>
        </w:rPr>
      </w:pPr>
    </w:p>
    <w:p>
      <w:pPr>
        <w:spacing w:after="0" w:line="364"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6"/>
          <w:szCs w:val="16"/>
          <w:color w:val="auto"/>
        </w:rPr>
        <w:t>11</w:t>
      </w:r>
    </w:p>
    <w:p>
      <w:pPr>
        <w:sectPr>
          <w:pgSz w:w="11900" w:h="16838" w:orient="portrait"/>
          <w:cols w:equalWidth="0" w:num="1">
            <w:col w:w="11240"/>
          </w:cols>
          <w:pgMar w:left="240" w:top="449" w:right="4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18503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275" cy="18503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960" w:right="60" w:hanging="439"/>
        <w:spacing w:after="0" w:line="195" w:lineRule="auto"/>
        <w:tabs>
          <w:tab w:leader="none" w:pos="9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assumes the filing of our amended and restated certificate of incorporation and the adoption of our amended and restated bylaws, which will be in effect prior to the consummation of this offering; and</w:t>
      </w:r>
    </w:p>
    <w:p>
      <w:pPr>
        <w:spacing w:after="0" w:line="22" w:lineRule="exact"/>
        <w:rPr>
          <w:rFonts w:ascii="Arial" w:cs="Arial" w:eastAsia="Arial" w:hAnsi="Arial"/>
          <w:sz w:val="24"/>
          <w:szCs w:val="24"/>
          <w:color w:val="auto"/>
          <w:vertAlign w:val="superscript"/>
        </w:rPr>
      </w:pPr>
    </w:p>
    <w:p>
      <w:pPr>
        <w:ind w:left="960" w:right="80" w:hanging="439"/>
        <w:spacing w:after="0" w:line="195" w:lineRule="auto"/>
        <w:tabs>
          <w:tab w:leader="none" w:pos="9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with respect to the Successor periods presented, reflects a 1-for-1.35 reverse stock split of our common stock, which we effectuated on July 25, 2016.</w:t>
      </w:r>
    </w:p>
    <w:p>
      <w:pPr>
        <w:spacing w:after="0" w:line="193" w:lineRule="exact"/>
        <w:rPr>
          <w:sz w:val="20"/>
          <w:szCs w:val="20"/>
          <w:color w:val="auto"/>
        </w:rPr>
      </w:pPr>
    </w:p>
    <w:p>
      <w:pPr>
        <w:ind w:left="200"/>
        <w:spacing w:after="0" w:line="228"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 Any allocation of shares in the offering to Dr. Troendle shareholder will be made at our direction. The underwriters will receive the same underwriting discount on any shares purchased by Dr. Troendle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49" w:right="3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467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0275" cy="5467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HISTORICAL CONSOLIDATED FINANCIAL AND OTHER DATA</w:t>
      </w:r>
    </w:p>
    <w:p>
      <w:pPr>
        <w:spacing w:after="0" w:line="332" w:lineRule="exact"/>
        <w:rPr>
          <w:sz w:val="20"/>
          <w:szCs w:val="20"/>
          <w:color w:val="auto"/>
        </w:rPr>
      </w:pPr>
    </w:p>
    <w:p>
      <w:pPr>
        <w:ind w:left="200" w:right="40"/>
        <w:spacing w:after="0" w:line="227" w:lineRule="auto"/>
        <w:rPr>
          <w:sz w:val="20"/>
          <w:szCs w:val="20"/>
          <w:color w:val="auto"/>
        </w:rPr>
      </w:pPr>
      <w:r>
        <w:rPr>
          <w:rFonts w:ascii="Arial" w:cs="Arial" w:eastAsia="Arial" w:hAnsi="Arial"/>
          <w:sz w:val="17"/>
          <w:szCs w:val="17"/>
          <w:color w:val="auto"/>
        </w:rPr>
        <w:t>The following tables set forth our summary consolidated financial and other data for the periods ending on and as of the dates indicated. We derived the consolidated statements of operations data for the years ended December 31, 2013 (Predecessor) and December 31, 2015 (Successor) from our audited consolidated financial statements and the related notes thereto included elsewhere in this prospectus. We derived the consolidated statements of operations data for the Predecessor three month period ended March 31, 2014 and the Successor nine month period ended December 31, 2014 from our audited consolidated financial statements and the related notes thereto included elsewhere in this prospectus. We derived the condensed consolidated statements of operations data for the Successor six months ended June 30, 2015 and June 30, 2016 and the condensed consolidated balance sheet data as of June 30, 2016 from our unaudited condensed consolidated financial statements included elsewhere in this prospectus. We have prepared the unaudited condensed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w:t>
      </w:r>
    </w:p>
    <w:p>
      <w:pPr>
        <w:spacing w:after="0" w:line="142" w:lineRule="exact"/>
        <w:rPr>
          <w:sz w:val="20"/>
          <w:szCs w:val="20"/>
          <w:color w:val="auto"/>
        </w:rPr>
      </w:pPr>
    </w:p>
    <w:p>
      <w:pPr>
        <w:ind w:left="200" w:right="220"/>
        <w:spacing w:after="0" w:line="231" w:lineRule="auto"/>
        <w:rPr>
          <w:sz w:val="20"/>
          <w:szCs w:val="20"/>
          <w:color w:val="auto"/>
        </w:rPr>
      </w:pPr>
      <w:r>
        <w:rPr>
          <w:rFonts w:ascii="Arial" w:cs="Arial" w:eastAsia="Arial" w:hAnsi="Arial"/>
          <w:sz w:val="17"/>
          <w:szCs w:val="17"/>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period and Successor period.</w:t>
      </w:r>
    </w:p>
    <w:p>
      <w:pPr>
        <w:spacing w:after="0" w:line="143" w:lineRule="exact"/>
        <w:rPr>
          <w:sz w:val="20"/>
          <w:szCs w:val="20"/>
          <w:color w:val="auto"/>
        </w:rPr>
      </w:pPr>
    </w:p>
    <w:p>
      <w:pPr>
        <w:ind w:left="200" w:right="80"/>
        <w:spacing w:after="0" w:line="230" w:lineRule="auto"/>
        <w:rPr>
          <w:sz w:val="20"/>
          <w:szCs w:val="20"/>
          <w:color w:val="auto"/>
        </w:rPr>
      </w:pPr>
      <w:r>
        <w:rPr>
          <w:rFonts w:ascii="Arial" w:cs="Arial" w:eastAsia="Arial" w:hAnsi="Arial"/>
          <w:sz w:val="17"/>
          <w:szCs w:val="17"/>
          <w:color w:val="auto"/>
        </w:rPr>
        <w:t>The results for any interim period are not necessarily indicative of the results that may be expected for a full year. Additionally, our historical results are not necessarily indicative of future results. You should read the information set forth below together with “Selected Historical Consolidated Financial and Other Data,” “Management’s Discussion and Analysis of Financial Condition and Results of Operations,” “Capitalization” and our consolidated financial statements and the related notes thereto included elsewhere in this prospectus.</w:t>
      </w:r>
    </w:p>
    <w:p>
      <w:pPr>
        <w:spacing w:after="0" w:line="200" w:lineRule="exact"/>
        <w:rPr>
          <w:sz w:val="20"/>
          <w:szCs w:val="20"/>
          <w:color w:val="auto"/>
        </w:rPr>
      </w:pP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NINE MONTH</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THREE MONTH</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PERIOD FROM</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PERIOD FROM</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SIX</w:t>
            </w:r>
          </w:p>
        </w:tc>
        <w:tc>
          <w:tcPr>
            <w:tcW w:w="14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SIX</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0"/>
              <w:spacing w:after="0" w:line="157" w:lineRule="exact"/>
              <w:rPr>
                <w:sz w:val="20"/>
                <w:szCs w:val="20"/>
                <w:color w:val="auto"/>
              </w:rPr>
            </w:pPr>
            <w:r>
              <w:rPr>
                <w:rFonts w:ascii="Arial" w:cs="Arial" w:eastAsia="Arial" w:hAnsi="Arial"/>
                <w:sz w:val="14"/>
                <w:szCs w:val="14"/>
                <w:b w:val="1"/>
                <w:bCs w:val="1"/>
                <w:color w:val="auto"/>
              </w:rPr>
              <w:t>APRIL 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JANUARY 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MONTHS</w:t>
            </w:r>
          </w:p>
        </w:tc>
        <w:tc>
          <w:tcPr>
            <w:tcW w:w="14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MONTHS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0"/>
              <w:spacing w:after="0" w:line="157"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0"/>
              <w:spacing w:after="0" w:line="157"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3"/>
                <w:szCs w:val="13"/>
                <w:color w:val="auto"/>
              </w:rPr>
            </w:pP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THROUGH</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THROUGH</w:t>
            </w:r>
          </w:p>
        </w:tc>
        <w:tc>
          <w:tcPr>
            <w:tcW w:w="160" w:type="dxa"/>
            <w:vAlign w:val="bottom"/>
          </w:tcPr>
          <w:p>
            <w:pPr>
              <w:spacing w:after="0"/>
              <w:rPr>
                <w:sz w:val="13"/>
                <w:szCs w:val="13"/>
                <w:color w:val="auto"/>
              </w:rPr>
            </w:pPr>
          </w:p>
        </w:tc>
        <w:tc>
          <w:tcPr>
            <w:tcW w:w="110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YEAR ENDED</w:t>
            </w:r>
          </w:p>
        </w:tc>
      </w:tr>
      <w:tr>
        <w:trPr>
          <w:trHeight w:val="157"/>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JUNE 30,</w:t>
            </w:r>
          </w:p>
        </w:tc>
        <w:tc>
          <w:tcPr>
            <w:tcW w:w="14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JUNE 30,</w:t>
            </w:r>
          </w:p>
        </w:tc>
        <w:tc>
          <w:tcPr>
            <w:tcW w:w="1180" w:type="dxa"/>
            <w:vAlign w:val="bottom"/>
            <w:gridSpan w:val="3"/>
          </w:tcPr>
          <w:p>
            <w:pPr>
              <w:jc w:val="center"/>
              <w:ind w:left="5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140" w:type="dxa"/>
            <w:vAlign w:val="bottom"/>
            <w:gridSpan w:val="3"/>
          </w:tcPr>
          <w:p>
            <w:pPr>
              <w:jc w:val="center"/>
              <w:ind w:left="30"/>
              <w:spacing w:after="0" w:line="157"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MARCH 31,</w:t>
            </w:r>
          </w:p>
        </w:tc>
        <w:tc>
          <w:tcPr>
            <w:tcW w:w="1260" w:type="dxa"/>
            <w:vAlign w:val="bottom"/>
            <w:gridSpan w:val="4"/>
          </w:tcPr>
          <w:p>
            <w:pPr>
              <w:jc w:val="center"/>
              <w:ind w:left="10"/>
              <w:spacing w:after="0" w:line="157" w:lineRule="exact"/>
              <w:rPr>
                <w:sz w:val="20"/>
                <w:szCs w:val="20"/>
                <w:color w:val="auto"/>
              </w:rPr>
            </w:pPr>
            <w:r>
              <w:rPr>
                <w:rFonts w:ascii="Arial" w:cs="Arial" w:eastAsia="Arial" w:hAnsi="Arial"/>
                <w:sz w:val="14"/>
                <w:szCs w:val="14"/>
                <w:b w:val="1"/>
                <w:bCs w:val="1"/>
                <w:color w:val="auto"/>
                <w:w w:val="98"/>
              </w:rPr>
              <w:t>DECEMBER 31,</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gridSpan w:val="2"/>
          </w:tcPr>
          <w:p>
            <w:pPr>
              <w:jc w:val="center"/>
              <w:ind w:left="610"/>
              <w:spacing w:after="0"/>
              <w:rPr>
                <w:sz w:val="20"/>
                <w:szCs w:val="20"/>
                <w:color w:val="auto"/>
              </w:rPr>
            </w:pPr>
            <w:r>
              <w:rPr>
                <w:rFonts w:ascii="Arial" w:cs="Arial" w:eastAsia="Arial" w:hAnsi="Arial"/>
                <w:sz w:val="14"/>
                <w:szCs w:val="14"/>
                <w:b w:val="1"/>
                <w:bCs w:val="1"/>
                <w:color w:val="auto"/>
              </w:rPr>
              <w:t>2016</w:t>
            </w:r>
          </w:p>
        </w:tc>
        <w:tc>
          <w:tcPr>
            <w:tcW w:w="760" w:type="dxa"/>
            <w:vAlign w:val="bottom"/>
            <w:gridSpan w:val="2"/>
          </w:tcPr>
          <w:p>
            <w:pPr>
              <w:jc w:val="center"/>
              <w:ind w:left="5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7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0"/>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50"/>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2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Consolidated Statements of Operations Data:</w:t>
            </w:r>
          </w:p>
        </w:tc>
        <w:tc>
          <w:tcPr>
            <w:tcW w:w="7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7"/>
        </w:trPr>
        <w:tc>
          <w:tcPr>
            <w:tcW w:w="4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Service revenue, net</w:t>
            </w:r>
          </w:p>
        </w:tc>
        <w:tc>
          <w:tcPr>
            <w:tcW w:w="13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$ 180,433</w:t>
            </w:r>
          </w:p>
        </w:tc>
        <w:tc>
          <w:tcPr>
            <w:tcW w:w="7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$ 152,782</w:t>
            </w:r>
          </w:p>
        </w:tc>
        <w:tc>
          <w:tcPr>
            <w:tcW w:w="36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320,101</w:t>
            </w:r>
          </w:p>
        </w:tc>
        <w:tc>
          <w:tcPr>
            <w:tcW w:w="2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219,791</w:t>
            </w:r>
          </w:p>
        </w:tc>
        <w:tc>
          <w:tcPr>
            <w:tcW w:w="120" w:type="dxa"/>
            <w:vAlign w:val="bottom"/>
            <w:tcBorders>
              <w:right w:val="single" w:sz="8" w:color="auto"/>
            </w:tcBorders>
          </w:tcPr>
          <w:p>
            <w:pPr>
              <w:spacing w:after="0"/>
              <w:rPr>
                <w:sz w:val="13"/>
                <w:szCs w:val="13"/>
                <w:color w:val="auto"/>
              </w:rPr>
            </w:pPr>
          </w:p>
        </w:tc>
        <w:tc>
          <w:tcPr>
            <w:tcW w:w="1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70,250</w:t>
            </w:r>
          </w:p>
        </w:tc>
        <w:tc>
          <w:tcPr>
            <w:tcW w:w="380" w:type="dxa"/>
            <w:vAlign w:val="bottom"/>
            <w:gridSpan w:val="2"/>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244,270</w:t>
            </w: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Reimbursed out-of-pocket revenue</w:t>
            </w:r>
          </w:p>
        </w:tc>
        <w:tc>
          <w:tcPr>
            <w:tcW w:w="7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25,107</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18,105</w:t>
            </w:r>
          </w:p>
        </w:tc>
        <w:tc>
          <w:tcPr>
            <w:tcW w:w="1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38,958</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28,708</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7,679</w:t>
            </w: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28,620</w:t>
            </w:r>
          </w:p>
        </w:tc>
        <w:tc>
          <w:tcPr>
            <w:tcW w:w="80" w:type="dxa"/>
            <w:vAlign w:val="bottom"/>
            <w:shd w:val="clear" w:color="auto" w:fill="CCEEFF"/>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205,540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170,887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359,059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248,499</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77,929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272,890</w:t>
            </w:r>
          </w:p>
        </w:tc>
        <w:tc>
          <w:tcPr>
            <w:tcW w:w="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Operating expenses:</w:t>
            </w:r>
          </w:p>
        </w:tc>
        <w:tc>
          <w:tcPr>
            <w:tcW w:w="7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tcPr>
          <w:p>
            <w:pPr>
              <w:ind w:left="240"/>
              <w:spacing w:after="0" w:line="157" w:lineRule="exact"/>
              <w:rPr>
                <w:sz w:val="20"/>
                <w:szCs w:val="20"/>
                <w:color w:val="auto"/>
              </w:rPr>
            </w:pPr>
            <w:r>
              <w:rPr>
                <w:rFonts w:ascii="Arial" w:cs="Arial" w:eastAsia="Arial" w:hAnsi="Arial"/>
                <w:sz w:val="14"/>
                <w:szCs w:val="14"/>
                <w:color w:val="auto"/>
              </w:rPr>
              <w:t>Direct costs, excluding depreciation and amortization</w:t>
            </w:r>
          </w:p>
        </w:tc>
        <w:tc>
          <w:tcPr>
            <w:tcW w:w="13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96,215</w:t>
            </w:r>
          </w:p>
        </w:tc>
        <w:tc>
          <w:tcPr>
            <w:tcW w:w="7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77,725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163,707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117,550</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38,759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119,779</w:t>
            </w: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Reimbursed out-of-pocket expenses</w:t>
            </w:r>
          </w:p>
        </w:tc>
        <w:tc>
          <w:tcPr>
            <w:tcW w:w="13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25,107</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18,105</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38,958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28,708</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7,679</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28,620</w:t>
            </w:r>
          </w:p>
        </w:tc>
        <w:tc>
          <w:tcPr>
            <w:tcW w:w="8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tcPr>
          <w:p>
            <w:pPr>
              <w:ind w:left="240"/>
              <w:spacing w:after="0" w:line="157" w:lineRule="exact"/>
              <w:rPr>
                <w:sz w:val="20"/>
                <w:szCs w:val="20"/>
                <w:color w:val="auto"/>
              </w:rPr>
            </w:pPr>
            <w:r>
              <w:rPr>
                <w:rFonts w:ascii="Arial" w:cs="Arial" w:eastAsia="Arial" w:hAnsi="Arial"/>
                <w:sz w:val="14"/>
                <w:szCs w:val="14"/>
                <w:color w:val="auto"/>
              </w:rPr>
              <w:t>Selling, general and administrative</w:t>
            </w:r>
          </w:p>
        </w:tc>
        <w:tc>
          <w:tcPr>
            <w:tcW w:w="13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28,333</w:t>
            </w:r>
          </w:p>
        </w:tc>
        <w:tc>
          <w:tcPr>
            <w:tcW w:w="7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23,448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56,998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29,465</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10,203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35,109</w:t>
            </w: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Acquisition and integration</w:t>
            </w:r>
          </w:p>
        </w:tc>
        <w:tc>
          <w:tcPr>
            <w:tcW w:w="7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9,297</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12,420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4200" w:type="dxa"/>
            <w:vAlign w:val="bottom"/>
          </w:tcPr>
          <w:p>
            <w:pPr>
              <w:ind w:left="240"/>
              <w:spacing w:after="0" w:line="157" w:lineRule="exact"/>
              <w:rPr>
                <w:sz w:val="20"/>
                <w:szCs w:val="20"/>
                <w:color w:val="auto"/>
              </w:rPr>
            </w:pPr>
            <w:r>
              <w:rPr>
                <w:rFonts w:ascii="Arial" w:cs="Arial" w:eastAsia="Arial" w:hAnsi="Arial"/>
                <w:sz w:val="14"/>
                <w:szCs w:val="14"/>
                <w:color w:val="auto"/>
              </w:rPr>
              <w:t>Impairment of goodwill</w:t>
            </w:r>
          </w:p>
        </w:tc>
        <w:tc>
          <w:tcPr>
            <w:tcW w:w="7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9,313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Depreciation</w:t>
            </w:r>
          </w:p>
        </w:tc>
        <w:tc>
          <w:tcPr>
            <w:tcW w:w="13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3,566</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3,110</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6,379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4,610</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1,832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6,665</w:t>
            </w:r>
          </w:p>
        </w:tc>
        <w:tc>
          <w:tcPr>
            <w:tcW w:w="80" w:type="dxa"/>
            <w:vAlign w:val="bottom"/>
            <w:shd w:val="clear" w:color="auto" w:fill="CCEEFF"/>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4200" w:type="dxa"/>
            <w:vAlign w:val="bottom"/>
          </w:tcPr>
          <w:p>
            <w:pPr>
              <w:ind w:left="240"/>
              <w:spacing w:after="0" w:line="157" w:lineRule="exact"/>
              <w:rPr>
                <w:sz w:val="20"/>
                <w:szCs w:val="20"/>
                <w:color w:val="auto"/>
              </w:rPr>
            </w:pPr>
            <w:r>
              <w:rPr>
                <w:rFonts w:ascii="Arial" w:cs="Arial" w:eastAsia="Arial" w:hAnsi="Arial"/>
                <w:sz w:val="14"/>
                <w:szCs w:val="14"/>
                <w:color w:val="auto"/>
              </w:rPr>
              <w:t>Amortization</w:t>
            </w:r>
          </w:p>
        </w:tc>
        <w:tc>
          <w:tcPr>
            <w:tcW w:w="70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25,336</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34,243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63,142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56,422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5,199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23,854</w:t>
            </w:r>
          </w:p>
        </w:tc>
        <w:tc>
          <w:tcPr>
            <w:tcW w:w="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ind w:left="480"/>
              <w:spacing w:after="0" w:line="157" w:lineRule="exact"/>
              <w:rPr>
                <w:sz w:val="20"/>
                <w:szCs w:val="20"/>
                <w:color w:val="auto"/>
              </w:rPr>
            </w:pPr>
            <w:r>
              <w:rPr>
                <w:rFonts w:ascii="Arial" w:cs="Arial" w:eastAsia="Arial" w:hAnsi="Arial"/>
                <w:sz w:val="14"/>
                <w:szCs w:val="14"/>
                <w:color w:val="auto"/>
              </w:rPr>
              <w:t>Total operating expenses</w:t>
            </w:r>
          </w:p>
        </w:tc>
        <w:tc>
          <w:tcPr>
            <w:tcW w:w="13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178,557</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156,631</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338,497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246,052</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76,092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214,027</w:t>
            </w:r>
          </w:p>
        </w:tc>
        <w:tc>
          <w:tcPr>
            <w:tcW w:w="80" w:type="dxa"/>
            <w:vAlign w:val="bottom"/>
            <w:shd w:val="clear" w:color="auto" w:fill="CCEEFF"/>
          </w:tcPr>
          <w:p>
            <w:pPr>
              <w:spacing w:after="0"/>
              <w:rPr>
                <w:sz w:val="13"/>
                <w:szCs w:val="13"/>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240" w:top="449" w:right="3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80" w:type="dxa"/>
            <w:vAlign w:val="bottom"/>
            <w:tcBorders>
              <w:top w:val="single" w:sz="8" w:color="auto"/>
              <w:left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5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NINE MONTH</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top w:val="single" w:sz="8" w:color="auto"/>
            </w:tcBorders>
            <w:gridSpan w:val="3"/>
          </w:tcPr>
          <w:p>
            <w:pPr>
              <w:ind w:left="20"/>
              <w:spacing w:after="0" w:line="139" w:lineRule="exact"/>
              <w:rPr>
                <w:sz w:val="20"/>
                <w:szCs w:val="20"/>
                <w:color w:val="auto"/>
              </w:rPr>
            </w:pPr>
            <w:r>
              <w:rPr>
                <w:rFonts w:ascii="Arial" w:cs="Arial" w:eastAsia="Arial" w:hAnsi="Arial"/>
                <w:sz w:val="14"/>
                <w:szCs w:val="14"/>
                <w:b w:val="1"/>
                <w:bCs w:val="1"/>
                <w:color w:val="auto"/>
              </w:rPr>
              <w:t>THREE MONTH</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3"/>
                <w:szCs w:val="13"/>
                <w:color w:val="auto"/>
              </w:rPr>
            </w:pPr>
          </w:p>
        </w:tc>
        <w:tc>
          <w:tcPr>
            <w:tcW w:w="114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7"/>
              </w:rPr>
              <w:t>SIX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130"/>
              <w:spacing w:after="0" w:line="157" w:lineRule="exact"/>
              <w:rPr>
                <w:sz w:val="20"/>
                <w:szCs w:val="20"/>
                <w:color w:val="auto"/>
              </w:rPr>
            </w:pPr>
            <w:r>
              <w:rPr>
                <w:rFonts w:ascii="Arial" w:cs="Arial" w:eastAsia="Arial" w:hAnsi="Arial"/>
                <w:sz w:val="14"/>
                <w:szCs w:val="14"/>
                <w:b w:val="1"/>
                <w:bCs w:val="1"/>
                <w:color w:val="auto"/>
              </w:rPr>
              <w:t>SIX</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JANUARY 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3"/>
                <w:szCs w:val="13"/>
                <w:color w:val="auto"/>
              </w:rPr>
            </w:pPr>
          </w:p>
        </w:tc>
        <w:tc>
          <w:tcPr>
            <w:tcW w:w="7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0"/>
              <w:spacing w:after="0" w:line="157"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0"/>
              <w:spacing w:after="0" w:line="157"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ENDED</w:t>
            </w:r>
          </w:p>
        </w:tc>
        <w:tc>
          <w:tcPr>
            <w:tcW w:w="60" w:type="dxa"/>
            <w:vAlign w:val="bottom"/>
          </w:tcPr>
          <w:p>
            <w:pPr>
              <w:spacing w:after="0"/>
              <w:rPr>
                <w:sz w:val="13"/>
                <w:szCs w:val="13"/>
                <w:color w:val="auto"/>
              </w:rPr>
            </w:pPr>
          </w:p>
        </w:tc>
        <w:tc>
          <w:tcPr>
            <w:tcW w:w="700" w:type="dxa"/>
            <w:vAlign w:val="bottom"/>
            <w:gridSpan w:val="3"/>
          </w:tcPr>
          <w:p>
            <w:pPr>
              <w:jc w:val="center"/>
              <w:ind w:right="30"/>
              <w:spacing w:after="0" w:line="157" w:lineRule="exact"/>
              <w:rPr>
                <w:sz w:val="20"/>
                <w:szCs w:val="20"/>
                <w:color w:val="auto"/>
              </w:rPr>
            </w:pPr>
            <w:r>
              <w:rPr>
                <w:rFonts w:ascii="Arial" w:cs="Arial" w:eastAsia="Arial" w:hAnsi="Arial"/>
                <w:sz w:val="14"/>
                <w:szCs w:val="14"/>
                <w:b w:val="1"/>
                <w:bCs w:val="1"/>
                <w:color w:val="auto"/>
                <w:w w:val="97"/>
              </w:rPr>
              <w:t>ENDED</w:t>
            </w:r>
          </w:p>
        </w:tc>
        <w:tc>
          <w:tcPr>
            <w:tcW w:w="60" w:type="dxa"/>
            <w:vAlign w:val="bottom"/>
          </w:tcPr>
          <w:p>
            <w:pPr>
              <w:spacing w:after="0"/>
              <w:rPr>
                <w:sz w:val="13"/>
                <w:szCs w:val="13"/>
                <w:color w:val="auto"/>
              </w:rPr>
            </w:pPr>
          </w:p>
        </w:tc>
        <w:tc>
          <w:tcPr>
            <w:tcW w:w="1120" w:type="dxa"/>
            <w:vAlign w:val="bottom"/>
            <w:gridSpan w:val="3"/>
          </w:tcPr>
          <w:p>
            <w:pPr>
              <w:jc w:val="right"/>
              <w:ind w:right="140"/>
              <w:spacing w:after="0" w:line="157"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THROUGH</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THROUGH</w:t>
            </w:r>
          </w:p>
        </w:tc>
        <w:tc>
          <w:tcPr>
            <w:tcW w:w="60" w:type="dxa"/>
            <w:vAlign w:val="bottom"/>
          </w:tcPr>
          <w:p>
            <w:pPr>
              <w:spacing w:after="0"/>
              <w:rPr>
                <w:sz w:val="13"/>
                <w:szCs w:val="13"/>
                <w:color w:val="auto"/>
              </w:rPr>
            </w:pPr>
          </w:p>
        </w:tc>
        <w:tc>
          <w:tcPr>
            <w:tcW w:w="1120" w:type="dxa"/>
            <w:vAlign w:val="bottom"/>
            <w:gridSpan w:val="3"/>
          </w:tcPr>
          <w:p>
            <w:pPr>
              <w:jc w:val="right"/>
              <w:ind w:right="140"/>
              <w:spacing w:after="0" w:line="157" w:lineRule="exact"/>
              <w:rPr>
                <w:sz w:val="20"/>
                <w:szCs w:val="20"/>
                <w:color w:val="auto"/>
              </w:rPr>
            </w:pPr>
            <w:r>
              <w:rPr>
                <w:rFonts w:ascii="Arial" w:cs="Arial" w:eastAsia="Arial" w:hAnsi="Arial"/>
                <w:sz w:val="14"/>
                <w:szCs w:val="14"/>
                <w:b w:val="1"/>
                <w:bCs w:val="1"/>
                <w:color w:val="auto"/>
              </w:rPr>
              <w:t>YEAR ENDED</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7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w:t>
            </w:r>
          </w:p>
        </w:tc>
        <w:tc>
          <w:tcPr>
            <w:tcW w:w="1180" w:type="dxa"/>
            <w:vAlign w:val="bottom"/>
            <w:gridSpan w:val="4"/>
          </w:tcPr>
          <w:p>
            <w:pPr>
              <w:ind w:left="60"/>
              <w:spacing w:after="0" w:line="157" w:lineRule="exact"/>
              <w:rPr>
                <w:sz w:val="20"/>
                <w:szCs w:val="20"/>
                <w:color w:val="auto"/>
              </w:rPr>
            </w:pPr>
            <w:r>
              <w:rPr>
                <w:rFonts w:ascii="Arial" w:cs="Arial" w:eastAsia="Arial" w:hAnsi="Arial"/>
                <w:sz w:val="14"/>
                <w:szCs w:val="14"/>
                <w:b w:val="1"/>
                <w:bCs w:val="1"/>
                <w:color w:val="auto"/>
              </w:rPr>
              <w:t>DECEMBER 31,</w:t>
            </w:r>
          </w:p>
        </w:tc>
        <w:tc>
          <w:tcPr>
            <w:tcW w:w="1200" w:type="dxa"/>
            <w:vAlign w:val="bottom"/>
            <w:tcBorders>
              <w:right w:val="single" w:sz="8" w:color="auto"/>
            </w:tcBorders>
            <w:gridSpan w:val="4"/>
          </w:tcPr>
          <w:p>
            <w:pPr>
              <w:ind w:left="40"/>
              <w:spacing w:after="0" w:line="15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MARCH 31,</w:t>
            </w:r>
          </w:p>
        </w:tc>
        <w:tc>
          <w:tcPr>
            <w:tcW w:w="1180" w:type="dxa"/>
            <w:vAlign w:val="bottom"/>
            <w:gridSpan w:val="4"/>
          </w:tcPr>
          <w:p>
            <w:pPr>
              <w:ind w:left="60"/>
              <w:spacing w:after="0" w:line="157"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Borders>
              <w:left w:val="single" w:sz="8" w:color="auto"/>
            </w:tcBorders>
          </w:tcPr>
          <w:p>
            <w:pPr>
              <w:spacing w:after="0"/>
              <w:rPr>
                <w:sz w:val="14"/>
                <w:szCs w:val="1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8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26,983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14,256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20,562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2,447</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1,837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58,863</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45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Other (expense) income, net: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Miscellaneous (expense) income, net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(941)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(978)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(1,133)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1,213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(1,718)</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ind w:left="240"/>
              <w:spacing w:after="0" w:line="157" w:lineRule="exact"/>
              <w:rPr>
                <w:sz w:val="20"/>
                <w:szCs w:val="20"/>
                <w:color w:val="auto"/>
              </w:rPr>
            </w:pPr>
            <w:r>
              <w:rPr>
                <w:rFonts w:ascii="Arial" w:cs="Arial" w:eastAsia="Arial" w:hAnsi="Arial"/>
                <w:sz w:val="14"/>
                <w:szCs w:val="14"/>
                <w:color w:val="auto"/>
              </w:rPr>
              <w:t>Interest expense, net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(11,894)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(13,975)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(27,259)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(23,185)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(3,272)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(18,000)</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480"/>
              <w:spacing w:after="0" w:line="157" w:lineRule="exact"/>
              <w:rPr>
                <w:sz w:val="20"/>
                <w:szCs w:val="20"/>
                <w:color w:val="auto"/>
              </w:rPr>
            </w:pPr>
            <w:r>
              <w:rPr>
                <w:rFonts w:ascii="Arial" w:cs="Arial" w:eastAsia="Arial" w:hAnsi="Arial"/>
                <w:sz w:val="14"/>
                <w:szCs w:val="14"/>
                <w:color w:val="auto"/>
              </w:rPr>
              <w:t>Total other expense, net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(12,835)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(14,953)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(28,392)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(23,486)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(2,059)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(19,718)</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tcBorders>
              <w:left w:val="single" w:sz="8" w:color="auto"/>
            </w:tcBorders>
          </w:tcPr>
          <w:p>
            <w:pPr>
              <w:spacing w:after="0"/>
              <w:rPr>
                <w:sz w:val="14"/>
                <w:szCs w:val="1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14,148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(697)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(7,830)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(21,039)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(222)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39,145</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tax provision (benefit)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5,738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(733)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(6,703)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14,301</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tcBorders>
              <w:left w:val="single" w:sz="8" w:color="auto"/>
            </w:tcBorders>
          </w:tcPr>
          <w:p>
            <w:pPr>
              <w:spacing w:after="0"/>
              <w:rPr>
                <w:sz w:val="14"/>
                <w:szCs w:val="1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8,410</w:t>
            </w:r>
          </w:p>
        </w:tc>
        <w:tc>
          <w:tcPr>
            <w:tcW w:w="10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(8,673)</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(14,336)</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(1,236)</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24,844</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per share attributable to common shareholders: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ind w:left="240"/>
              <w:spacing w:after="0" w:line="157" w:lineRule="exact"/>
              <w:rPr>
                <w:sz w:val="20"/>
                <w:szCs w:val="20"/>
                <w:color w:val="auto"/>
              </w:rPr>
            </w:pPr>
            <w:r>
              <w:rPr>
                <w:rFonts w:ascii="Arial" w:cs="Arial" w:eastAsia="Arial" w:hAnsi="Arial"/>
                <w:sz w:val="14"/>
                <w:szCs w:val="14"/>
                <w:color w:val="auto"/>
              </w:rPr>
              <w:t>Basic</w:t>
            </w:r>
          </w:p>
        </w:tc>
        <w:tc>
          <w:tcPr>
            <w:tcW w:w="40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0.26</w:t>
            </w:r>
          </w:p>
        </w:tc>
        <w:tc>
          <w:tcPr>
            <w:tcW w:w="100" w:type="dxa"/>
            <w:vAlign w:val="bottom"/>
          </w:tcPr>
          <w:p>
            <w:pPr>
              <w:spacing w:after="0"/>
              <w:rPr>
                <w:sz w:val="13"/>
                <w:szCs w:val="13"/>
                <w:color w:val="auto"/>
              </w:rPr>
            </w:pPr>
          </w:p>
        </w:tc>
        <w:tc>
          <w:tcPr>
            <w:tcW w:w="1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3"/>
                <w:szCs w:val="13"/>
                <w:color w:val="auto"/>
              </w:rPr>
            </w:pPr>
          </w:p>
        </w:tc>
        <w:tc>
          <w:tcPr>
            <w:tcW w:w="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(0.28)</w:t>
            </w:r>
          </w:p>
        </w:tc>
        <w:tc>
          <w:tcPr>
            <w:tcW w:w="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(0.46)</w:t>
            </w:r>
          </w:p>
        </w:tc>
        <w:tc>
          <w:tcPr>
            <w:tcW w:w="1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(0.05)</w:t>
            </w:r>
          </w:p>
        </w:tc>
        <w:tc>
          <w:tcPr>
            <w:tcW w:w="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0.99</w:t>
            </w: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Diluted</w:t>
            </w:r>
          </w:p>
        </w:tc>
        <w:tc>
          <w:tcPr>
            <w:tcW w:w="40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(0.28)</w:t>
            </w:r>
          </w:p>
        </w:tc>
        <w:tc>
          <w:tcPr>
            <w:tcW w:w="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(0.46)</w:t>
            </w:r>
          </w:p>
        </w:tc>
        <w:tc>
          <w:tcPr>
            <w:tcW w:w="1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(0.05)</w:t>
            </w:r>
          </w:p>
        </w:tc>
        <w:tc>
          <w:tcPr>
            <w:tcW w:w="28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0.95</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45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Weighted average common shares outstanding:</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32,631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31,527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31,346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30,869</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25,047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25,204</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ind w:left="240"/>
              <w:spacing w:after="0" w:line="157" w:lineRule="exact"/>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32,631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31,591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31,346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30,869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25,047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26,150</w:t>
            </w: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Unaudited Pro Forma Data:</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line="157" w:lineRule="exact"/>
              <w:rPr>
                <w:sz w:val="20"/>
                <w:szCs w:val="20"/>
                <w:color w:val="auto"/>
              </w:rPr>
            </w:pPr>
            <w:r>
              <w:rPr>
                <w:rFonts w:ascii="Arial" w:cs="Arial" w:eastAsia="Arial" w:hAnsi="Arial"/>
                <w:sz w:val="11"/>
                <w:szCs w:val="11"/>
                <w:color w:val="auto"/>
              </w:rPr>
              <w:t xml:space="preserve">Pro forma as adjusted net income (loss) per common share </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ind w:left="240"/>
              <w:spacing w:after="0" w:line="157" w:lineRule="exact"/>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Pro forma as adjusted weighted average number of common shares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240"/>
              <w:spacing w:after="0" w:line="160" w:lineRule="exact"/>
              <w:rPr>
                <w:sz w:val="20"/>
                <w:szCs w:val="20"/>
                <w:color w:val="auto"/>
              </w:rPr>
            </w:pPr>
            <w:r>
              <w:rPr>
                <w:rFonts w:ascii="Arial" w:cs="Arial" w:eastAsia="Arial" w:hAnsi="Arial"/>
                <w:sz w:val="11"/>
                <w:szCs w:val="11"/>
                <w:color w:val="auto"/>
              </w:rPr>
              <w:t xml:space="preserve">outstanding </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ind w:left="240"/>
              <w:spacing w:after="0" w:line="157" w:lineRule="exact"/>
              <w:rPr>
                <w:sz w:val="20"/>
                <w:szCs w:val="20"/>
                <w:color w:val="auto"/>
              </w:rPr>
            </w:pPr>
            <w:r>
              <w:rPr>
                <w:rFonts w:ascii="Arial" w:cs="Arial" w:eastAsia="Arial" w:hAnsi="Arial"/>
                <w:sz w:val="14"/>
                <w:szCs w:val="14"/>
                <w:color w:val="auto"/>
              </w:rPr>
              <w:t>Basic</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 Data: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cash provided by operating activities</w:t>
            </w:r>
          </w:p>
        </w:tc>
        <w:tc>
          <w:tcPr>
            <w:tcW w:w="40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19,982</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26,271</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84,117</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62,539</w:t>
            </w: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12,807</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98,142</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45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(5,653)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(2,658)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(6,432)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(907,640)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(827)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(4,472)</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cash (used in) provided by financing activities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(15,678)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(65,702)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(116,489)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900,171</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(17,968)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(95,851)</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180" w:type="dxa"/>
            <w:vAlign w:val="bottom"/>
            <w:tcBorders>
              <w:left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0"/>
          </w:cols>
          <w:pgMar w:left="240" w:top="449" w:right="1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5587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0275" cy="555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8"/>
          </w:tcPr>
          <w:p>
            <w:pPr>
              <w:ind w:left="34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NINE MONTH</w:t>
            </w:r>
          </w:p>
        </w:tc>
        <w:tc>
          <w:tcPr>
            <w:tcW w:w="3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gridSpan w:val="5"/>
          </w:tcPr>
          <w:p>
            <w:pPr>
              <w:jc w:val="center"/>
              <w:ind w:right="240"/>
              <w:spacing w:after="0" w:line="139" w:lineRule="exact"/>
              <w:rPr>
                <w:sz w:val="20"/>
                <w:szCs w:val="20"/>
                <w:color w:val="auto"/>
              </w:rPr>
            </w:pPr>
            <w:r>
              <w:rPr>
                <w:rFonts w:ascii="Arial" w:cs="Arial" w:eastAsia="Arial" w:hAnsi="Arial"/>
                <w:sz w:val="14"/>
                <w:szCs w:val="14"/>
                <w:b w:val="1"/>
                <w:bCs w:val="1"/>
                <w:color w:val="auto"/>
                <w:w w:val="99"/>
              </w:rPr>
              <w:t>THREE MONTH</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PERIOD FROM</w:t>
            </w:r>
          </w:p>
        </w:tc>
        <w:tc>
          <w:tcPr>
            <w:tcW w:w="3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5"/>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SIX</w:t>
            </w:r>
          </w:p>
        </w:tc>
        <w:tc>
          <w:tcPr>
            <w:tcW w:w="4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SIX</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APRIL 1,</w:t>
            </w:r>
          </w:p>
        </w:tc>
        <w:tc>
          <w:tcPr>
            <w:tcW w:w="3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5"/>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JANUARY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MONTHS</w:t>
            </w:r>
          </w:p>
        </w:tc>
        <w:tc>
          <w:tcPr>
            <w:tcW w:w="4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MONTHS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gridSpan w:val="3"/>
          </w:tcPr>
          <w:p>
            <w:pPr>
              <w:jc w:val="center"/>
              <w:ind w:left="107"/>
              <w:spacing w:after="0" w:line="157"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right w:val="single" w:sz="8" w:color="auto"/>
            </w:tcBorders>
          </w:tcPr>
          <w:p>
            <w:pPr>
              <w:spacing w:after="0"/>
              <w:rPr>
                <w:sz w:val="13"/>
                <w:szCs w:val="13"/>
                <w:color w:val="auto"/>
              </w:rPr>
            </w:pPr>
          </w:p>
        </w:tc>
        <w:tc>
          <w:tcPr>
            <w:tcW w:w="1320" w:type="dxa"/>
            <w:vAlign w:val="bottom"/>
            <w:gridSpan w:val="4"/>
          </w:tcPr>
          <w:p>
            <w:pPr>
              <w:jc w:val="center"/>
              <w:ind w:left="286"/>
              <w:spacing w:after="0" w:line="157"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3"/>
                <w:szCs w:val="13"/>
                <w:color w:val="auto"/>
              </w:rPr>
            </w:pP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THROUGH</w:t>
            </w:r>
          </w:p>
        </w:tc>
        <w:tc>
          <w:tcPr>
            <w:tcW w:w="3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5"/>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THROUGH</w:t>
            </w:r>
          </w:p>
        </w:tc>
        <w:tc>
          <w:tcPr>
            <w:tcW w:w="200" w:type="dxa"/>
            <w:vAlign w:val="bottom"/>
          </w:tcPr>
          <w:p>
            <w:pPr>
              <w:spacing w:after="0"/>
              <w:rPr>
                <w:sz w:val="13"/>
                <w:szCs w:val="13"/>
                <w:color w:val="auto"/>
              </w:rPr>
            </w:pPr>
          </w:p>
        </w:tc>
        <w:tc>
          <w:tcPr>
            <w:tcW w:w="1140" w:type="dxa"/>
            <w:vAlign w:val="bottom"/>
            <w:gridSpan w:val="4"/>
          </w:tcPr>
          <w:p>
            <w:pPr>
              <w:jc w:val="center"/>
              <w:ind w:right="10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JUNE 30,</w:t>
            </w:r>
          </w:p>
        </w:tc>
        <w:tc>
          <w:tcPr>
            <w:tcW w:w="1480" w:type="dxa"/>
            <w:vAlign w:val="bottom"/>
            <w:gridSpan w:val="3"/>
          </w:tcPr>
          <w:p>
            <w:pPr>
              <w:jc w:val="center"/>
              <w:ind w:left="364"/>
              <w:spacing w:after="0" w:line="157"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center"/>
              <w:ind w:left="107"/>
              <w:spacing w:after="0" w:line="157" w:lineRule="exact"/>
              <w:rPr>
                <w:sz w:val="20"/>
                <w:szCs w:val="20"/>
                <w:color w:val="auto"/>
              </w:rPr>
            </w:pPr>
            <w:r>
              <w:rPr>
                <w:rFonts w:ascii="Arial" w:cs="Arial" w:eastAsia="Arial" w:hAnsi="Arial"/>
                <w:sz w:val="14"/>
                <w:szCs w:val="14"/>
                <w:b w:val="1"/>
                <w:bCs w:val="1"/>
                <w:color w:val="auto"/>
              </w:rPr>
              <w:t>DECEMBER 31,</w:t>
            </w:r>
          </w:p>
        </w:tc>
        <w:tc>
          <w:tcPr>
            <w:tcW w:w="3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5"/>
          </w:tcPr>
          <w:p>
            <w:pPr>
              <w:jc w:val="center"/>
              <w:ind w:right="220"/>
              <w:spacing w:after="0" w:line="157" w:lineRule="exact"/>
              <w:rPr>
                <w:sz w:val="20"/>
                <w:szCs w:val="20"/>
                <w:color w:val="auto"/>
              </w:rPr>
            </w:pPr>
            <w:r>
              <w:rPr>
                <w:rFonts w:ascii="Arial" w:cs="Arial" w:eastAsia="Arial" w:hAnsi="Arial"/>
                <w:sz w:val="14"/>
                <w:szCs w:val="14"/>
                <w:b w:val="1"/>
                <w:bCs w:val="1"/>
                <w:color w:val="auto"/>
              </w:rPr>
              <w:t>MARCH 31,</w:t>
            </w:r>
          </w:p>
        </w:tc>
        <w:tc>
          <w:tcPr>
            <w:tcW w:w="1340" w:type="dxa"/>
            <w:vAlign w:val="bottom"/>
            <w:gridSpan w:val="5"/>
          </w:tcPr>
          <w:p>
            <w:pPr>
              <w:jc w:val="center"/>
              <w:ind w:left="24"/>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6"/>
              </w:rPr>
              <w:t>2016</w:t>
            </w:r>
          </w:p>
        </w:tc>
        <w:tc>
          <w:tcPr>
            <w:tcW w:w="114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2015</w:t>
            </w:r>
          </w:p>
        </w:tc>
        <w:tc>
          <w:tcPr>
            <w:tcW w:w="1220" w:type="dxa"/>
            <w:vAlign w:val="bottom"/>
            <w:gridSpan w:val="3"/>
          </w:tcPr>
          <w:p>
            <w:pPr>
              <w:jc w:val="center"/>
              <w:ind w:left="10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right w:val="single" w:sz="8" w:color="auto"/>
            </w:tcBorders>
          </w:tcPr>
          <w:p>
            <w:pPr>
              <w:spacing w:after="0"/>
              <w:rPr>
                <w:sz w:val="14"/>
                <w:szCs w:val="14"/>
                <w:color w:val="auto"/>
              </w:rPr>
            </w:pPr>
          </w:p>
        </w:tc>
        <w:tc>
          <w:tcPr>
            <w:tcW w:w="1320" w:type="dxa"/>
            <w:vAlign w:val="bottom"/>
            <w:gridSpan w:val="4"/>
          </w:tcPr>
          <w:p>
            <w:pPr>
              <w:jc w:val="center"/>
              <w:ind w:left="286"/>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0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Other Financial Data:</w:t>
            </w: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14"/>
                <w:szCs w:val="14"/>
                <w:color w:val="auto"/>
              </w:rPr>
              <w:t>(2)</w:t>
            </w:r>
          </w:p>
        </w:tc>
        <w:tc>
          <w:tcPr>
            <w:tcW w:w="9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$ 54,944</w:t>
            </w:r>
          </w:p>
        </w:tc>
        <w:tc>
          <w:tcPr>
            <w:tcW w:w="11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$ 50,631</w:t>
            </w:r>
          </w:p>
        </w:tc>
        <w:tc>
          <w:tcPr>
            <w:tcW w:w="660" w:type="dxa"/>
            <w:vAlign w:val="bottom"/>
            <w:gridSpan w:val="2"/>
          </w:tcPr>
          <w:p>
            <w:pPr>
              <w:jc w:val="right"/>
              <w:ind w:right="70"/>
              <w:spacing w:after="0" w:line="184"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88,950</w:t>
            </w:r>
          </w:p>
        </w:tc>
        <w:tc>
          <w:tcPr>
            <w:tcW w:w="600" w:type="dxa"/>
            <w:vAlign w:val="bottom"/>
            <w:gridSpan w:val="2"/>
          </w:tcPr>
          <w:p>
            <w:pPr>
              <w:jc w:val="right"/>
              <w:ind w:right="250"/>
              <w:spacing w:after="0" w:line="184"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rPr>
              <w:t>63,178</w:t>
            </w:r>
          </w:p>
        </w:tc>
        <w:tc>
          <w:tcPr>
            <w:tcW w:w="300" w:type="dxa"/>
            <w:vAlign w:val="bottom"/>
            <w:tcBorders>
              <w:right w:val="single" w:sz="8" w:color="auto"/>
            </w:tcBorders>
          </w:tcPr>
          <w:p>
            <w:pPr>
              <w:spacing w:after="0"/>
              <w:rPr>
                <w:sz w:val="15"/>
                <w:szCs w:val="15"/>
                <w:color w:val="auto"/>
              </w:rPr>
            </w:pPr>
          </w:p>
        </w:tc>
        <w:tc>
          <w:tcPr>
            <w:tcW w:w="600" w:type="dxa"/>
            <w:vAlign w:val="bottom"/>
            <w:gridSpan w:val="2"/>
          </w:tcPr>
          <w:p>
            <w:pPr>
              <w:jc w:val="right"/>
              <w:ind w:right="110"/>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6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10,081</w:t>
            </w:r>
          </w:p>
        </w:tc>
        <w:tc>
          <w:tcPr>
            <w:tcW w:w="220" w:type="dxa"/>
            <w:vAlign w:val="bottom"/>
          </w:tcPr>
          <w:p>
            <w:pPr>
              <w:spacing w:after="0"/>
              <w:rPr>
                <w:sz w:val="15"/>
                <w:szCs w:val="15"/>
                <w:color w:val="auto"/>
              </w:rPr>
            </w:pPr>
          </w:p>
        </w:tc>
        <w:tc>
          <w:tcPr>
            <w:tcW w:w="3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87,664</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56,427</w:t>
            </w:r>
          </w:p>
        </w:tc>
        <w:tc>
          <w:tcPr>
            <w:tcW w:w="11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48,385</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101,216</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70,450</w:t>
            </w:r>
          </w:p>
        </w:tc>
        <w:tc>
          <w:tcPr>
            <w:tcW w:w="3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21,710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85,409</w:t>
            </w: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14"/>
                <w:szCs w:val="14"/>
                <w:color w:val="auto"/>
              </w:rPr>
              <w:t>(2)</w:t>
            </w:r>
          </w:p>
        </w:tc>
        <w:tc>
          <w:tcPr>
            <w:tcW w:w="9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26,271</w:t>
            </w:r>
          </w:p>
        </w:tc>
        <w:tc>
          <w:tcPr>
            <w:tcW w:w="11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21,147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40,445</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rPr>
              <w:t>26,685</w:t>
            </w:r>
          </w:p>
        </w:tc>
        <w:tc>
          <w:tcPr>
            <w:tcW w:w="3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9,715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41,407</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13,545</w:t>
            </w:r>
          </w:p>
        </w:tc>
        <w:tc>
          <w:tcPr>
            <w:tcW w:w="11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23,030</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76,360</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57,030</w:t>
            </w:r>
          </w:p>
        </w:tc>
        <w:tc>
          <w:tcPr>
            <w:tcW w:w="3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11,552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93,581</w:t>
            </w: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 xml:space="preserve">Backlog (at period end) </w:t>
            </w:r>
            <w:r>
              <w:rPr>
                <w:rFonts w:ascii="Arial" w:cs="Arial" w:eastAsia="Arial" w:hAnsi="Arial"/>
                <w:sz w:val="14"/>
                <w:szCs w:val="14"/>
                <w:color w:val="auto"/>
              </w:rPr>
              <w:t>(3)</w:t>
            </w:r>
          </w:p>
        </w:tc>
        <w:tc>
          <w:tcPr>
            <w:tcW w:w="9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465,738</w:t>
            </w:r>
          </w:p>
        </w:tc>
        <w:tc>
          <w:tcPr>
            <w:tcW w:w="11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400,627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429,659</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w w:val="97"/>
              </w:rPr>
              <w:t>394,023</w:t>
            </w:r>
          </w:p>
        </w:tc>
        <w:tc>
          <w:tcPr>
            <w:tcW w:w="3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386,047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359,341</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 xml:space="preserve">Net new business awards </w:t>
            </w:r>
            <w:r>
              <w:rPr>
                <w:rFonts w:ascii="Arial" w:cs="Arial" w:eastAsia="Arial" w:hAnsi="Arial"/>
                <w:sz w:val="14"/>
                <w:szCs w:val="14"/>
                <w:color w:val="auto"/>
              </w:rPr>
              <w:t>(4)</w:t>
            </w:r>
          </w:p>
        </w:tc>
        <w:tc>
          <w:tcPr>
            <w:tcW w:w="9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218,113</w:t>
            </w:r>
          </w:p>
        </w:tc>
        <w:tc>
          <w:tcPr>
            <w:tcW w:w="11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162,638</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359,538</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7"/>
              </w:rPr>
              <w:t>231,918</w:t>
            </w:r>
          </w:p>
        </w:tc>
        <w:tc>
          <w:tcPr>
            <w:tcW w:w="3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97,220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291,577</w:t>
            </w:r>
          </w:p>
        </w:tc>
        <w:tc>
          <w:tcPr>
            <w:tcW w:w="100" w:type="dxa"/>
            <w:vAlign w:val="bottom"/>
            <w:shd w:val="clear" w:color="auto" w:fill="CCEEFF"/>
          </w:tcPr>
          <w:p>
            <w:pPr>
              <w:spacing w:after="0"/>
              <w:rPr>
                <w:sz w:val="15"/>
                <w:szCs w:val="15"/>
                <w:color w:val="auto"/>
              </w:rPr>
            </w:pPr>
          </w:p>
        </w:tc>
      </w:tr>
      <w:tr>
        <w:trPr>
          <w:trHeight w:val="393"/>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AS ADJUSTED</w:t>
            </w: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360"/>
              <w:spacing w:after="0" w:line="157"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AS OF</w:t>
            </w:r>
          </w:p>
        </w:tc>
      </w:tr>
      <w:tr>
        <w:trPr>
          <w:trHeight w:val="152"/>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4"/>
          </w:tcPr>
          <w:p>
            <w:pPr>
              <w:jc w:val="center"/>
              <w:ind w:right="260"/>
              <w:spacing w:after="0" w:line="152" w:lineRule="exact"/>
              <w:rPr>
                <w:sz w:val="20"/>
                <w:szCs w:val="20"/>
                <w:color w:val="auto"/>
              </w:rPr>
            </w:pPr>
            <w:r>
              <w:rPr>
                <w:rFonts w:ascii="Arial" w:cs="Arial" w:eastAsia="Arial" w:hAnsi="Arial"/>
                <w:sz w:val="14"/>
                <w:szCs w:val="14"/>
                <w:b w:val="1"/>
                <w:bCs w:val="1"/>
                <w:color w:val="auto"/>
                <w:w w:val="98"/>
              </w:rPr>
              <w:t>JUNE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w w:val="98"/>
              </w:rPr>
              <w:t>JUNE 30,</w:t>
            </w:r>
          </w:p>
        </w:tc>
      </w:tr>
      <w:tr>
        <w:trPr>
          <w:trHeight w:val="174"/>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9"/>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left="62"/>
              <w:spacing w:after="0" w:line="174" w:lineRule="exact"/>
              <w:rPr>
                <w:sz w:val="20"/>
                <w:szCs w:val="20"/>
                <w:color w:val="auto"/>
              </w:rPr>
            </w:pPr>
            <w:r>
              <w:rPr>
                <w:rFonts w:ascii="Arial" w:cs="Arial" w:eastAsia="Arial" w:hAnsi="Arial"/>
                <w:sz w:val="12"/>
                <w:szCs w:val="12"/>
                <w:b w:val="1"/>
                <w:bCs w:val="1"/>
                <w:color w:val="auto"/>
              </w:rPr>
              <w:t xml:space="preserve">2016 </w:t>
            </w:r>
            <w:r>
              <w:rPr>
                <w:rFonts w:ascii="Arial" w:cs="Arial" w:eastAsia="Arial" w:hAnsi="Arial"/>
                <w:sz w:val="20"/>
                <w:szCs w:val="20"/>
                <w:b w:val="1"/>
                <w:bCs w:val="1"/>
                <w:color w:val="auto"/>
                <w:vertAlign w:val="superscript"/>
              </w:rPr>
              <w:t>(5)</w:t>
            </w:r>
          </w:p>
        </w:tc>
        <w:tc>
          <w:tcPr>
            <w:tcW w:w="10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30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Consolidated Balance Sheet Data:</w:t>
            </w: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Cash and cash equivalents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gridSpan w:val="4"/>
          </w:tcPr>
          <w:p>
            <w:pPr>
              <w:jc w:val="right"/>
              <w:spacing w:after="0" w:line="184"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rPr>
              <w:t>13,674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3,366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Accounts receivable and unbilled, net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rPr>
              <w:t>90,048</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Working capital</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(22,260)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w w:val="97"/>
              </w:rPr>
              <w:t>994,863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long-term debt, net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7"/>
              </w:rPr>
              <w:t>364,033</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line="184" w:lineRule="exact"/>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w w:val="97"/>
              </w:rPr>
              <w:t>572,227</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shareholders’ equity</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7"/>
              </w:rPr>
              <w:t>422,636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994,863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gridSpan w:val="10"/>
          </w:tcPr>
          <w:p>
            <w:pPr>
              <w:spacing w:after="0"/>
              <w:rPr>
                <w:sz w:val="16"/>
                <w:szCs w:val="16"/>
                <w:color w:val="auto"/>
              </w:rPr>
            </w:pPr>
          </w:p>
        </w:tc>
        <w:tc>
          <w:tcPr>
            <w:tcW w:w="3840" w:type="dxa"/>
            <w:vAlign w:val="bottom"/>
            <w:tcBorders>
              <w:bottom w:val="single" w:sz="8" w:color="auto"/>
            </w:tcBorders>
            <w:gridSpan w:val="13"/>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20" w:type="dxa"/>
            <w:vAlign w:val="bottom"/>
            <w:gridSpan w:val="10"/>
          </w:tcPr>
          <w:p>
            <w:pPr>
              <w:ind w:left="60"/>
              <w:spacing w:after="0" w:line="194" w:lineRule="exact"/>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 xml:space="preserve">  We present certain information on a pro forma as adjusted basis to give pro forma effect to the sale by us of</w:t>
            </w:r>
          </w:p>
        </w:tc>
        <w:tc>
          <w:tcPr>
            <w:tcW w:w="3840" w:type="dxa"/>
            <w:vAlign w:val="bottom"/>
            <w:gridSpan w:val="13"/>
          </w:tcPr>
          <w:p>
            <w:pPr>
              <w:jc w:val="center"/>
              <w:ind w:left="140"/>
              <w:spacing w:after="0"/>
              <w:rPr>
                <w:sz w:val="20"/>
                <w:szCs w:val="20"/>
                <w:color w:val="auto"/>
              </w:rPr>
            </w:pPr>
            <w:r>
              <w:rPr>
                <w:rFonts w:ascii="Arial" w:cs="Arial" w:eastAsia="Arial" w:hAnsi="Arial"/>
                <w:sz w:val="14"/>
                <w:szCs w:val="14"/>
                <w:color w:val="auto"/>
                <w:w w:val="99"/>
              </w:rPr>
              <w:t>shares of our common stock in this offering (assuming no</w:t>
            </w:r>
          </w:p>
        </w:tc>
      </w:tr>
      <w:tr>
        <w:trPr>
          <w:trHeight w:val="157"/>
        </w:trPr>
        <w:tc>
          <w:tcPr>
            <w:tcW w:w="20" w:type="dxa"/>
            <w:vAlign w:val="bottom"/>
          </w:tcPr>
          <w:p>
            <w:pPr>
              <w:spacing w:after="0"/>
              <w:rPr>
                <w:sz w:val="13"/>
                <w:szCs w:val="13"/>
                <w:color w:val="auto"/>
              </w:rPr>
            </w:pPr>
          </w:p>
        </w:tc>
        <w:tc>
          <w:tcPr>
            <w:tcW w:w="7220" w:type="dxa"/>
            <w:vAlign w:val="bottom"/>
            <w:gridSpan w:val="10"/>
          </w:tcPr>
          <w:p>
            <w:pPr>
              <w:ind w:left="300"/>
              <w:spacing w:after="0" w:line="157" w:lineRule="exact"/>
              <w:rPr>
                <w:sz w:val="20"/>
                <w:szCs w:val="20"/>
                <w:color w:val="auto"/>
              </w:rPr>
            </w:pPr>
            <w:r>
              <w:rPr>
                <w:rFonts w:ascii="Arial" w:cs="Arial" w:eastAsia="Arial" w:hAnsi="Arial"/>
                <w:sz w:val="14"/>
                <w:szCs w:val="14"/>
                <w:color w:val="auto"/>
                <w:w w:val="99"/>
              </w:rPr>
              <w:t>exercise of the underwriters’ option to purchase additional shares) at an assumed initial public offering price of $</w:t>
            </w:r>
          </w:p>
        </w:tc>
        <w:tc>
          <w:tcPr>
            <w:tcW w:w="3840" w:type="dxa"/>
            <w:vAlign w:val="bottom"/>
            <w:gridSpan w:val="13"/>
          </w:tcPr>
          <w:p>
            <w:pPr>
              <w:jc w:val="center"/>
              <w:ind w:left="100"/>
              <w:spacing w:after="0" w:line="157" w:lineRule="exact"/>
              <w:rPr>
                <w:sz w:val="20"/>
                <w:szCs w:val="20"/>
                <w:color w:val="auto"/>
              </w:rPr>
            </w:pPr>
            <w:r>
              <w:rPr>
                <w:rFonts w:ascii="Arial" w:cs="Arial" w:eastAsia="Arial" w:hAnsi="Arial"/>
                <w:sz w:val="14"/>
                <w:szCs w:val="14"/>
                <w:color w:val="auto"/>
                <w:w w:val="99"/>
              </w:rPr>
              <w:t>per share (the midpoint of the price range listed on the</w:t>
            </w:r>
          </w:p>
        </w:tc>
      </w:tr>
    </w:tbl>
    <w:p>
      <w:pPr>
        <w:ind w:left="500"/>
        <w:spacing w:after="0"/>
        <w:rPr>
          <w:sz w:val="20"/>
          <w:szCs w:val="20"/>
          <w:color w:val="auto"/>
        </w:rPr>
      </w:pPr>
      <w:r>
        <w:rPr>
          <w:rFonts w:ascii="Arial" w:cs="Arial" w:eastAsia="Arial" w:hAnsi="Arial"/>
          <w:sz w:val="14"/>
          <w:szCs w:val="14"/>
          <w:color w:val="auto"/>
        </w:rPr>
        <w:t>cover page of this prospectus) after deducting estimated underwriting discounts and commissions and estimated expenses payable by us in connection with this offering and</w:t>
      </w:r>
    </w:p>
    <w:p>
      <w:pPr>
        <w:spacing w:after="0" w:line="318" w:lineRule="exact"/>
        <w:rPr>
          <w:sz w:val="20"/>
          <w:szCs w:val="20"/>
          <w:color w:val="auto"/>
        </w:rPr>
      </w:pPr>
    </w:p>
    <w:p>
      <w:pPr>
        <w:ind w:left="500" w:right="260"/>
        <w:spacing w:after="0" w:line="245" w:lineRule="auto"/>
        <w:rPr>
          <w:sz w:val="20"/>
          <w:szCs w:val="20"/>
          <w:color w:val="auto"/>
        </w:rPr>
      </w:pPr>
      <w:r>
        <w:rPr>
          <w:rFonts w:ascii="Arial" w:cs="Arial" w:eastAsia="Arial" w:hAnsi="Arial"/>
          <w:sz w:val="14"/>
          <w:szCs w:val="14"/>
          <w:color w:val="auto"/>
        </w:rPr>
        <w:t>the application of the net proceeds to be received by us from this offering to repay $ million in aggregate principal amount of outstanding borrowings under our Senior Secured Term Loan Facility as described in “Use of Proceeds.”</w:t>
      </w:r>
    </w:p>
    <w:p>
      <w:pPr>
        <w:spacing w:after="0" w:line="86" w:lineRule="exact"/>
        <w:rPr>
          <w:sz w:val="20"/>
          <w:szCs w:val="20"/>
          <w:color w:val="auto"/>
        </w:rPr>
      </w:pPr>
    </w:p>
    <w:p>
      <w:pPr>
        <w:ind w:left="520"/>
        <w:spacing w:after="0"/>
        <w:tabs>
          <w:tab w:leader="none" w:pos="8380" w:val="left"/>
        </w:tabs>
        <w:rPr>
          <w:sz w:val="20"/>
          <w:szCs w:val="20"/>
          <w:color w:val="auto"/>
        </w:rPr>
      </w:pPr>
      <w:r>
        <w:rPr>
          <w:rFonts w:ascii="Arial" w:cs="Arial" w:eastAsia="Arial" w:hAnsi="Arial"/>
          <w:sz w:val="14"/>
          <w:szCs w:val="14"/>
          <w:color w:val="auto"/>
        </w:rPr>
        <w:t>Pro forma as adjusted net income (loss) reflects (i) the decrease in interest expense, net resulting from the repayment of $</w:t>
      </w:r>
      <w:r>
        <w:rPr>
          <w:sz w:val="20"/>
          <w:szCs w:val="20"/>
          <w:color w:val="auto"/>
        </w:rPr>
        <w:tab/>
      </w:r>
      <w:r>
        <w:rPr>
          <w:rFonts w:ascii="Arial" w:cs="Arial" w:eastAsia="Arial" w:hAnsi="Arial"/>
          <w:sz w:val="14"/>
          <w:szCs w:val="14"/>
          <w:color w:val="auto"/>
        </w:rPr>
        <w:t>million in aggregate principal amount of</w:t>
      </w:r>
    </w:p>
    <w:p>
      <w:pPr>
        <w:ind w:left="520"/>
        <w:spacing w:after="0" w:line="234" w:lineRule="auto"/>
        <w:rPr>
          <w:sz w:val="20"/>
          <w:szCs w:val="20"/>
          <w:color w:val="auto"/>
        </w:rPr>
      </w:pPr>
      <w:r>
        <w:rPr>
          <w:rFonts w:ascii="Arial" w:cs="Arial" w:eastAsia="Arial" w:hAnsi="Arial"/>
          <w:sz w:val="14"/>
          <w:szCs w:val="14"/>
          <w:color w:val="auto"/>
        </w:rPr>
        <w:t>outstanding borrowings under our Senior Secured Term Loan Facility with the net proceeds from this offering, as described in “Use of Proceeds,” and (ii) increases in income</w:t>
      </w:r>
    </w:p>
    <w:p>
      <w:pPr>
        <w:ind w:left="520" w:right="100"/>
        <w:spacing w:after="0" w:line="237" w:lineRule="auto"/>
        <w:rPr>
          <w:sz w:val="20"/>
          <w:szCs w:val="20"/>
          <w:color w:val="auto"/>
        </w:rPr>
      </w:pPr>
      <w:r>
        <w:rPr>
          <w:rFonts w:ascii="Arial" w:cs="Arial" w:eastAsia="Arial" w:hAnsi="Arial"/>
          <w:sz w:val="14"/>
          <w:szCs w:val="14"/>
          <w:color w:val="auto"/>
        </w:rPr>
        <w:t>tax expense due to higher income before income taxes resulting from a decrease in interest expense, net as a result of the repayment of $ million in aggregate principal amount of outstanding borrowings under our Senior Secured Term Loan Facility as described in (i) above as if each of these events had occurred on January 1, 2015. Pro forma as adjusted basic net income (loss) per common share consists of pro forma as adjusted net income (loss) divided by the pro forma as adjusted basic weighted average number of common shares outstanding. Pro forma as adjusted diluted net income (loss) per common share consists of pro forma as adjusted net income (loss) divided by the pro forma as adjusted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240" w:top="449" w:right="3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190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0275" cy="61906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20" w:right="180"/>
        <w:spacing w:after="0" w:line="245" w:lineRule="auto"/>
        <w:rPr>
          <w:sz w:val="20"/>
          <w:szCs w:val="20"/>
          <w:color w:val="auto"/>
        </w:rPr>
      </w:pPr>
      <w:r>
        <w:rPr>
          <w:rFonts w:ascii="Arial" w:cs="Arial" w:eastAsia="Arial" w:hAnsi="Arial"/>
          <w:sz w:val="14"/>
          <w:szCs w:val="14"/>
          <w:color w:val="auto"/>
        </w:rPr>
        <w:t>The table below provides a summary of net income (loss) used in the calculation of basic and diluted net income (loss) per common share on a pro forma as adjusted basis for the periods presented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SIX MONTHS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47"/>
              <w:spacing w:after="0" w:line="157"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3"/>
                <w:szCs w:val="13"/>
                <w:color w:val="auto"/>
              </w:rPr>
            </w:pPr>
          </w:p>
        </w:tc>
        <w:tc>
          <w:tcPr>
            <w:tcW w:w="11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7"/>
              <w:spacing w:after="0" w:line="157" w:lineRule="exact"/>
              <w:rPr>
                <w:sz w:val="20"/>
                <w:szCs w:val="20"/>
                <w:color w:val="auto"/>
              </w:rPr>
            </w:pPr>
            <w:r>
              <w:rPr>
                <w:rFonts w:ascii="Arial" w:cs="Arial" w:eastAsia="Arial" w:hAnsi="Arial"/>
                <w:sz w:val="14"/>
                <w:szCs w:val="14"/>
                <w:b w:val="1"/>
                <w:bCs w:val="1"/>
                <w:color w:val="auto"/>
                <w:w w:val="98"/>
              </w:rPr>
              <w:t>JUNE 30,</w:t>
            </w:r>
          </w:p>
        </w:tc>
        <w:tc>
          <w:tcPr>
            <w:tcW w:w="1940" w:type="dxa"/>
            <w:vAlign w:val="bottom"/>
            <w:gridSpan w:val="4"/>
          </w:tcPr>
          <w:p>
            <w:pPr>
              <w:ind w:left="800"/>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6"/>
              </w:rPr>
              <w:t>2016</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82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8,410</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(8,673)</w:t>
            </w: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240" w:type="dxa"/>
            <w:vAlign w:val="bottom"/>
          </w:tcPr>
          <w:p>
            <w:pPr>
              <w:spacing w:after="0" w:line="184" w:lineRule="exact"/>
              <w:rPr>
                <w:sz w:val="20"/>
                <w:szCs w:val="20"/>
                <w:color w:val="auto"/>
              </w:rPr>
            </w:pPr>
            <w:r>
              <w:rPr>
                <w:rFonts w:ascii="Arial" w:cs="Arial" w:eastAsia="Arial" w:hAnsi="Arial"/>
                <w:sz w:val="17"/>
                <w:szCs w:val="17"/>
                <w:color w:val="auto"/>
              </w:rPr>
              <w:t>Reduction of interest expense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Tax effect of the above adjustments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8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Pro forma as adjusted net income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6"/>
                <w:szCs w:val="16"/>
                <w:color w:val="auto"/>
              </w:rPr>
            </w:pPr>
          </w:p>
        </w:tc>
        <w:tc>
          <w:tcPr>
            <w:tcW w:w="104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8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 forma as adjusted weighted average number of common shares outstanding used in the calculation of pro forma as adjusted basic and diluted net income (loss) per</w:t>
      </w:r>
    </w:p>
    <w:p>
      <w:pPr>
        <w:ind w:left="520" w:right="340"/>
        <w:spacing w:after="0" w:line="245" w:lineRule="auto"/>
        <w:rPr>
          <w:sz w:val="20"/>
          <w:szCs w:val="20"/>
          <w:color w:val="auto"/>
        </w:rPr>
      </w:pPr>
      <w:r>
        <w:rPr>
          <w:rFonts w:ascii="Arial" w:cs="Arial" w:eastAsia="Arial" w:hAnsi="Arial"/>
          <w:sz w:val="14"/>
          <w:szCs w:val="14"/>
          <w:color w:val="auto"/>
        </w:rPr>
        <w:t>common share gives effect to the sale by us of shares of our common stock in this offering (assuming no exercise of the underwriters’ option to purchase additional shares) as if this event had occurred on January 1, 2015.</w:t>
      </w:r>
    </w:p>
    <w:p>
      <w:pPr>
        <w:spacing w:after="0" w:line="90" w:lineRule="exact"/>
        <w:rPr>
          <w:sz w:val="20"/>
          <w:szCs w:val="20"/>
          <w:color w:val="auto"/>
        </w:rPr>
      </w:pPr>
    </w:p>
    <w:p>
      <w:pPr>
        <w:ind w:left="520" w:right="460"/>
        <w:spacing w:after="0" w:line="245" w:lineRule="auto"/>
        <w:rPr>
          <w:sz w:val="20"/>
          <w:szCs w:val="20"/>
          <w:color w:val="auto"/>
        </w:rPr>
      </w:pPr>
      <w:r>
        <w:rPr>
          <w:rFonts w:ascii="Arial" w:cs="Arial" w:eastAsia="Arial" w:hAnsi="Arial"/>
          <w:sz w:val="14"/>
          <w:szCs w:val="14"/>
          <w:color w:val="auto"/>
        </w:rPr>
        <w:t>The table below provides a summary of the weighted average number of common shares outstanding used in the calculation of basic and diluted net income (loss) per common share on a pro forma as adjusted basis:</w:t>
      </w:r>
    </w:p>
    <w:p>
      <w:pPr>
        <w:spacing w:after="0" w:line="200" w:lineRule="exact"/>
        <w:rPr>
          <w:sz w:val="20"/>
          <w:szCs w:val="20"/>
          <w:color w:val="auto"/>
        </w:rPr>
      </w:pPr>
    </w:p>
    <w:p>
      <w:pPr>
        <w:spacing w:after="0" w:line="224" w:lineRule="exact"/>
        <w:rPr>
          <w:sz w:val="20"/>
          <w:szCs w:val="20"/>
          <w:color w:val="auto"/>
        </w:rPr>
      </w:pPr>
    </w:p>
    <w:tbl>
      <w:tblPr>
        <w:tblLayout w:type="fixed"/>
        <w:tblInd w:w="8720" w:type="dxa"/>
        <w:tblCellMar>
          <w:top w:w="0" w:type="dxa"/>
          <w:left w:w="0" w:type="dxa"/>
          <w:bottom w:w="0" w:type="dxa"/>
          <w:right w:w="0" w:type="dxa"/>
        </w:tblCellMar>
      </w:tblPr>
      <w:tr>
        <w:trPr>
          <w:trHeight w:val="161"/>
        </w:trPr>
        <w:tc>
          <w:tcPr>
            <w:tcW w:w="1200" w:type="dxa"/>
            <w:vAlign w:val="bottom"/>
          </w:tcPr>
          <w:p>
            <w:pPr>
              <w:jc w:val="center"/>
              <w:ind w:right="250"/>
              <w:spacing w:after="0"/>
              <w:rPr>
                <w:sz w:val="20"/>
                <w:szCs w:val="20"/>
                <w:color w:val="auto"/>
              </w:rPr>
            </w:pPr>
            <w:r>
              <w:rPr>
                <w:rFonts w:ascii="Arial" w:cs="Arial" w:eastAsia="Arial" w:hAnsi="Arial"/>
                <w:sz w:val="14"/>
                <w:szCs w:val="14"/>
                <w:b w:val="1"/>
                <w:bCs w:val="1"/>
                <w:color w:val="auto"/>
              </w:rPr>
              <w:t>SIX MONTHS</w:t>
            </w:r>
          </w:p>
        </w:tc>
        <w:tc>
          <w:tcPr>
            <w:tcW w:w="1340" w:type="dxa"/>
            <w:vAlign w:val="bottom"/>
          </w:tcPr>
          <w:p>
            <w:pPr>
              <w:spacing w:after="0"/>
              <w:rPr>
                <w:sz w:val="14"/>
                <w:szCs w:val="14"/>
                <w:color w:val="auto"/>
              </w:rPr>
            </w:pPr>
          </w:p>
        </w:tc>
      </w:tr>
      <w:tr>
        <w:trPr>
          <w:trHeight w:val="157"/>
        </w:trPr>
        <w:tc>
          <w:tcPr>
            <w:tcW w:w="1200" w:type="dxa"/>
            <w:vAlign w:val="bottom"/>
          </w:tcPr>
          <w:p>
            <w:pPr>
              <w:jc w:val="center"/>
              <w:ind w:right="290"/>
              <w:spacing w:after="0" w:line="157" w:lineRule="exact"/>
              <w:rPr>
                <w:sz w:val="20"/>
                <w:szCs w:val="20"/>
                <w:color w:val="auto"/>
              </w:rPr>
            </w:pPr>
            <w:r>
              <w:rPr>
                <w:rFonts w:ascii="Arial" w:cs="Arial" w:eastAsia="Arial" w:hAnsi="Arial"/>
                <w:sz w:val="14"/>
                <w:szCs w:val="14"/>
                <w:b w:val="1"/>
                <w:bCs w:val="1"/>
                <w:color w:val="auto"/>
                <w:w w:val="97"/>
              </w:rPr>
              <w:t>ENDED</w:t>
            </w:r>
          </w:p>
        </w:tc>
        <w:tc>
          <w:tcPr>
            <w:tcW w:w="1340" w:type="dxa"/>
            <w:vAlign w:val="bottom"/>
          </w:tcPr>
          <w:p>
            <w:pPr>
              <w:jc w:val="center"/>
              <w:ind w:left="23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1200" w:type="dxa"/>
            <w:vAlign w:val="bottom"/>
          </w:tcPr>
          <w:p>
            <w:pPr>
              <w:jc w:val="center"/>
              <w:ind w:right="250"/>
              <w:spacing w:after="0" w:line="157" w:lineRule="exact"/>
              <w:rPr>
                <w:sz w:val="20"/>
                <w:szCs w:val="20"/>
                <w:color w:val="auto"/>
              </w:rPr>
            </w:pPr>
            <w:r>
              <w:rPr>
                <w:rFonts w:ascii="Arial" w:cs="Arial" w:eastAsia="Arial" w:hAnsi="Arial"/>
                <w:sz w:val="14"/>
                <w:szCs w:val="14"/>
                <w:b w:val="1"/>
                <w:bCs w:val="1"/>
                <w:color w:val="auto"/>
                <w:w w:val="98"/>
              </w:rPr>
              <w:t>JUNE 30,</w:t>
            </w:r>
          </w:p>
        </w:tc>
        <w:tc>
          <w:tcPr>
            <w:tcW w:w="1340" w:type="dxa"/>
            <w:vAlign w:val="bottom"/>
          </w:tcPr>
          <w:p>
            <w:pPr>
              <w:jc w:val="center"/>
              <w:ind w:left="250"/>
              <w:spacing w:after="0" w:line="157" w:lineRule="exact"/>
              <w:rPr>
                <w:sz w:val="20"/>
                <w:szCs w:val="20"/>
                <w:color w:val="auto"/>
              </w:rPr>
            </w:pPr>
            <w:r>
              <w:rPr>
                <w:rFonts w:ascii="Arial" w:cs="Arial" w:eastAsia="Arial" w:hAnsi="Arial"/>
                <w:sz w:val="14"/>
                <w:szCs w:val="14"/>
                <w:b w:val="1"/>
                <w:bCs w:val="1"/>
                <w:color w:val="auto"/>
                <w:w w:val="98"/>
              </w:rPr>
              <w:t>DECEMBER 31,</w:t>
            </w:r>
          </w:p>
        </w:tc>
      </w:tr>
      <w:tr>
        <w:trPr>
          <w:trHeight w:val="163"/>
        </w:trPr>
        <w:tc>
          <w:tcPr>
            <w:tcW w:w="1200" w:type="dxa"/>
            <w:vAlign w:val="bottom"/>
          </w:tcPr>
          <w:p>
            <w:pPr>
              <w:jc w:val="center"/>
              <w:ind w:right="250"/>
              <w:spacing w:after="0"/>
              <w:rPr>
                <w:sz w:val="20"/>
                <w:szCs w:val="20"/>
                <w:color w:val="auto"/>
              </w:rPr>
            </w:pPr>
            <w:r>
              <w:rPr>
                <w:rFonts w:ascii="Arial" w:cs="Arial" w:eastAsia="Arial" w:hAnsi="Arial"/>
                <w:sz w:val="14"/>
                <w:szCs w:val="14"/>
                <w:b w:val="1"/>
                <w:bCs w:val="1"/>
                <w:color w:val="auto"/>
              </w:rPr>
              <w:t>2016</w:t>
            </w:r>
          </w:p>
        </w:tc>
        <w:tc>
          <w:tcPr>
            <w:tcW w:w="1340" w:type="dxa"/>
            <w:vAlign w:val="bottom"/>
          </w:tcPr>
          <w:p>
            <w:pPr>
              <w:jc w:val="center"/>
              <w:ind w:left="250"/>
              <w:spacing w:after="0"/>
              <w:rPr>
                <w:sz w:val="20"/>
                <w:szCs w:val="20"/>
                <w:color w:val="auto"/>
              </w:rPr>
            </w:pPr>
            <w:r>
              <w:rPr>
                <w:rFonts w:ascii="Arial" w:cs="Arial" w:eastAsia="Arial" w:hAnsi="Arial"/>
                <w:sz w:val="14"/>
                <w:szCs w:val="14"/>
                <w:b w:val="1"/>
                <w:bCs w:val="1"/>
                <w:color w:val="auto"/>
                <w:w w:val="96"/>
              </w:rPr>
              <w:t>2015</w:t>
            </w:r>
          </w:p>
        </w:tc>
      </w:tr>
    </w:tbl>
    <w:p>
      <w:pPr>
        <w:ind w:left="200"/>
        <w:spacing w:after="0" w:line="225" w:lineRule="auto"/>
        <w:rPr>
          <w:sz w:val="20"/>
          <w:szCs w:val="20"/>
          <w:color w:val="auto"/>
        </w:rPr>
      </w:pPr>
      <w:r>
        <w:rPr>
          <w:rFonts w:ascii="Arial" w:cs="Arial" w:eastAsia="Arial" w:hAnsi="Arial"/>
          <w:sz w:val="17"/>
          <w:szCs w:val="17"/>
          <w:color w:val="auto"/>
        </w:rPr>
        <w:t>Weighted average common shares outstanding—basic</w:t>
      </w:r>
    </w:p>
    <w:p>
      <w:pPr>
        <w:ind w:left="200"/>
        <w:spacing w:after="0"/>
        <w:rPr>
          <w:sz w:val="20"/>
          <w:szCs w:val="20"/>
          <w:color w:val="auto"/>
        </w:rPr>
      </w:pPr>
      <w:r>
        <w:rPr>
          <w:rFonts w:ascii="Arial" w:cs="Arial" w:eastAsia="Arial" w:hAnsi="Arial"/>
          <w:sz w:val="17"/>
          <w:szCs w:val="17"/>
          <w:color w:val="auto"/>
        </w:rPr>
        <w:t>Common shares sold in this offering</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 forma as adjusted weighted average common share outstanding—basic</w:t>
      </w:r>
    </w:p>
    <w:p>
      <w:pPr>
        <w:ind w:left="200"/>
        <w:spacing w:after="0"/>
        <w:rPr>
          <w:sz w:val="20"/>
          <w:szCs w:val="20"/>
          <w:color w:val="auto"/>
        </w:rPr>
      </w:pPr>
      <w:r>
        <w:rPr>
          <w:rFonts w:ascii="Arial" w:cs="Arial" w:eastAsia="Arial" w:hAnsi="Arial"/>
          <w:sz w:val="17"/>
          <w:szCs w:val="17"/>
          <w:color w:val="auto"/>
        </w:rPr>
        <w:t>Incremental shares from the assumed exercise of outstanding stock options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 forma as adjusted weighted average common shares outstanding—diluted</w:t>
      </w:r>
    </w:p>
    <w:p>
      <w:pPr>
        <w:spacing w:after="0" w:line="313" w:lineRule="exact"/>
        <w:rPr>
          <w:sz w:val="20"/>
          <w:szCs w:val="20"/>
          <w:color w:val="auto"/>
        </w:rPr>
      </w:pPr>
    </w:p>
    <w:p>
      <w:pPr>
        <w:ind w:left="500" w:hanging="242"/>
        <w:spacing w:after="0" w:line="214" w:lineRule="auto"/>
        <w:tabs>
          <w:tab w:leader="none" w:pos="50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We prepare our financial statements in conformity with U.S. GAAP. To supplement this information, we also use the following non-GAAP financial measures in this prospectus: EBITDA, Adjusted EBITDA, Adjusted Net Income and Free Cash Flow. EBITDA, Adjusted EBITDA, Adjusted Net Income and Free Cash Flow are measures used by management to assess operating performance. EBITDA, Adjusted EBITDA, Adjusted Net Income and Free Cash Flow are not presented in accordance with U.S. GAAP, are not measures of financial condition or profitability and should not be considered as an alternative to net income (loss) determined in accordance with U.S. GAAP or net cash provided by operating activities determined in accordance with U.S. GAAP, as applicable, or any other performance measure derived in accordance with U.S. GAAP and should not be construed as an inference that our future results will be unaffected by unusual non-recurring items. Management uses EBITDA, Adjusted EBITDA, Adjusted Net Income and Free Cash Flow or comparable metrics:</w:t>
      </w:r>
    </w:p>
    <w:p>
      <w:pPr>
        <w:spacing w:after="0" w:line="81" w:lineRule="exact"/>
        <w:rPr>
          <w:sz w:val="20"/>
          <w:szCs w:val="20"/>
          <w:color w:val="auto"/>
        </w:rPr>
      </w:pPr>
    </w:p>
    <w:p>
      <w:pPr>
        <w:ind w:left="960" w:hanging="439"/>
        <w:spacing w:after="0"/>
        <w:tabs>
          <w:tab w:leader="none" w:pos="96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as a measurement used in evaluating our operating performance on a consistent basis;</w:t>
      </w:r>
    </w:p>
    <w:p>
      <w:pPr>
        <w:spacing w:after="0" w:line="28" w:lineRule="exact"/>
        <w:rPr>
          <w:rFonts w:ascii="Arial" w:cs="Arial" w:eastAsia="Arial" w:hAnsi="Arial"/>
          <w:sz w:val="24"/>
          <w:szCs w:val="24"/>
          <w:color w:val="auto"/>
          <w:vertAlign w:val="superscript"/>
        </w:rPr>
      </w:pPr>
    </w:p>
    <w:p>
      <w:pPr>
        <w:ind w:left="960" w:hanging="439"/>
        <w:spacing w:after="0" w:line="184" w:lineRule="auto"/>
        <w:tabs>
          <w:tab w:leader="none" w:pos="96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as a consideration to assess incentive compensation for our employees;</w:t>
      </w:r>
    </w:p>
    <w:p>
      <w:pPr>
        <w:spacing w:after="0" w:line="28" w:lineRule="exact"/>
        <w:rPr>
          <w:rFonts w:ascii="Arial" w:cs="Arial" w:eastAsia="Arial" w:hAnsi="Arial"/>
          <w:sz w:val="19"/>
          <w:szCs w:val="19"/>
          <w:color w:val="auto"/>
          <w:vertAlign w:val="superscript"/>
        </w:rPr>
      </w:pPr>
    </w:p>
    <w:p>
      <w:pPr>
        <w:ind w:left="960" w:hanging="439"/>
        <w:spacing w:after="0" w:line="184" w:lineRule="auto"/>
        <w:tabs>
          <w:tab w:leader="none" w:pos="96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for planning purposes, including the preparation of our internal annual operating budget; and</w:t>
      </w:r>
    </w:p>
    <w:p>
      <w:pPr>
        <w:spacing w:after="0" w:line="28" w:lineRule="exact"/>
        <w:rPr>
          <w:rFonts w:ascii="Arial" w:cs="Arial" w:eastAsia="Arial" w:hAnsi="Arial"/>
          <w:sz w:val="19"/>
          <w:szCs w:val="19"/>
          <w:color w:val="auto"/>
          <w:vertAlign w:val="superscript"/>
        </w:rPr>
      </w:pPr>
    </w:p>
    <w:p>
      <w:pPr>
        <w:ind w:left="960" w:hanging="439"/>
        <w:spacing w:after="0" w:line="184" w:lineRule="auto"/>
        <w:tabs>
          <w:tab w:leader="none" w:pos="96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to evaluate the performance and effectiveness of our operational strategies.</w:t>
      </w:r>
    </w:p>
    <w:p>
      <w:pPr>
        <w:spacing w:after="0" w:line="147" w:lineRule="exact"/>
        <w:rPr>
          <w:sz w:val="20"/>
          <w:szCs w:val="20"/>
          <w:color w:val="auto"/>
        </w:rPr>
      </w:pPr>
    </w:p>
    <w:p>
      <w:pPr>
        <w:ind w:left="520" w:right="120"/>
        <w:spacing w:after="0" w:line="236" w:lineRule="auto"/>
        <w:rPr>
          <w:sz w:val="20"/>
          <w:szCs w:val="20"/>
          <w:color w:val="auto"/>
        </w:rPr>
      </w:pPr>
      <w:r>
        <w:rPr>
          <w:rFonts w:ascii="Arial" w:cs="Arial" w:eastAsia="Arial" w:hAnsi="Arial"/>
          <w:sz w:val="14"/>
          <w:szCs w:val="14"/>
          <w:color w:val="auto"/>
        </w:rPr>
        <w:t>We believe that the inclusion of EBITDA and Adjusted EBITDA in this prospectus is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 accordance with U.S. GAAP. EBITDA is calculated as net income (loss) attributable to Medpace Holdings, Inc. before income tax expense, interest expense, net, depreciation and amortization with Adjusted EBITDA being further adjusted for unusual and other items reflected in the reconciliation table below. Our presentation of Adjusted EBITDA should not be construed as an inference that our future results will be unaffected by usual or non-recurring items.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240" w:top="449" w:right="3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3471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275" cy="34715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20" w:right="300"/>
        <w:spacing w:after="0" w:line="245" w:lineRule="auto"/>
        <w:rPr>
          <w:sz w:val="20"/>
          <w:szCs w:val="20"/>
          <w:color w:val="auto"/>
        </w:rPr>
      </w:pPr>
      <w:r>
        <w:rPr>
          <w:rFonts w:ascii="Arial" w:cs="Arial" w:eastAsia="Arial" w:hAnsi="Arial"/>
          <w:sz w:val="14"/>
          <w:szCs w:val="14"/>
          <w:color w:val="auto"/>
        </w:rPr>
        <w:t>EBITDA and Adjusted EBITDA have important limitations as analytical tools and you should not consider them in isolation, or as a substitute for, analysis of our results as reported under U.S. GAAP. Some of these limitations are:</w:t>
      </w:r>
    </w:p>
    <w:p>
      <w:pPr>
        <w:spacing w:after="0" w:line="74" w:lineRule="exact"/>
        <w:rPr>
          <w:sz w:val="20"/>
          <w:szCs w:val="20"/>
          <w:color w:val="auto"/>
        </w:rPr>
      </w:pPr>
    </w:p>
    <w:p>
      <w:pPr>
        <w:ind w:left="960" w:hanging="439"/>
        <w:spacing w:after="0"/>
        <w:tabs>
          <w:tab w:leader="none" w:pos="96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they do not reflect our interest expense, or the cash requirements necessary to service interest or principal payments, on our debt;</w:t>
      </w:r>
    </w:p>
    <w:p>
      <w:pPr>
        <w:spacing w:after="0" w:line="28" w:lineRule="exact"/>
        <w:rPr>
          <w:rFonts w:ascii="Arial" w:cs="Arial" w:eastAsia="Arial" w:hAnsi="Arial"/>
          <w:sz w:val="24"/>
          <w:szCs w:val="24"/>
          <w:color w:val="auto"/>
          <w:vertAlign w:val="superscript"/>
        </w:rPr>
      </w:pPr>
    </w:p>
    <w:p>
      <w:pPr>
        <w:ind w:left="960" w:hanging="439"/>
        <w:spacing w:after="0" w:line="184" w:lineRule="auto"/>
        <w:tabs>
          <w:tab w:leader="none" w:pos="9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they do not reflect our cash expenditures, or future requirements for capital expenditures or contractual commitments;</w:t>
      </w:r>
    </w:p>
    <w:p>
      <w:pPr>
        <w:spacing w:after="0" w:line="28" w:lineRule="exact"/>
        <w:rPr>
          <w:rFonts w:ascii="Arial" w:cs="Arial" w:eastAsia="Arial" w:hAnsi="Arial"/>
          <w:sz w:val="19"/>
          <w:szCs w:val="19"/>
          <w:color w:val="auto"/>
          <w:vertAlign w:val="superscript"/>
        </w:rPr>
      </w:pPr>
    </w:p>
    <w:p>
      <w:pPr>
        <w:ind w:left="960" w:hanging="439"/>
        <w:spacing w:after="0" w:line="184" w:lineRule="auto"/>
        <w:tabs>
          <w:tab w:leader="none" w:pos="9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they do not reflect changes in, or cash requirements for, our working capital needs;</w:t>
      </w:r>
    </w:p>
    <w:p>
      <w:pPr>
        <w:spacing w:after="0" w:line="28" w:lineRule="exact"/>
        <w:rPr>
          <w:rFonts w:ascii="Arial" w:cs="Arial" w:eastAsia="Arial" w:hAnsi="Arial"/>
          <w:sz w:val="19"/>
          <w:szCs w:val="19"/>
          <w:color w:val="auto"/>
          <w:vertAlign w:val="superscript"/>
        </w:rPr>
      </w:pPr>
    </w:p>
    <w:p>
      <w:pPr>
        <w:ind w:left="960" w:right="260" w:hanging="439"/>
        <w:spacing w:after="0" w:line="183" w:lineRule="auto"/>
        <w:tabs>
          <w:tab w:leader="none" w:pos="96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the cash requirements for such replacements;</w:t>
      </w:r>
    </w:p>
    <w:p>
      <w:pPr>
        <w:spacing w:after="0" w:line="1" w:lineRule="exact"/>
        <w:rPr>
          <w:rFonts w:ascii="Arial" w:cs="Arial" w:eastAsia="Arial" w:hAnsi="Arial"/>
          <w:sz w:val="23"/>
          <w:szCs w:val="23"/>
          <w:color w:val="auto"/>
          <w:vertAlign w:val="superscript"/>
        </w:rPr>
      </w:pPr>
    </w:p>
    <w:p>
      <w:pPr>
        <w:ind w:left="960" w:hanging="439"/>
        <w:spacing w:after="0" w:line="186" w:lineRule="auto"/>
        <w:tabs>
          <w:tab w:leader="none" w:pos="96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they do not reflect our income tax expense or the cash requirements to pay our taxes;</w:t>
      </w:r>
    </w:p>
    <w:p>
      <w:pPr>
        <w:spacing w:after="0" w:line="28" w:lineRule="exact"/>
        <w:rPr>
          <w:rFonts w:ascii="Arial" w:cs="Arial" w:eastAsia="Arial" w:hAnsi="Arial"/>
          <w:sz w:val="22"/>
          <w:szCs w:val="22"/>
          <w:color w:val="auto"/>
          <w:vertAlign w:val="superscript"/>
        </w:rPr>
      </w:pPr>
    </w:p>
    <w:p>
      <w:pPr>
        <w:ind w:left="960" w:hanging="439"/>
        <w:spacing w:after="0" w:line="184" w:lineRule="auto"/>
        <w:tabs>
          <w:tab w:leader="none" w:pos="9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Adjusted EBITDA does not reflect the non-cash component of certain stock based awards related to fair value adjustments and unusual non-recurring stock awards;</w:t>
      </w:r>
    </w:p>
    <w:p>
      <w:pPr>
        <w:spacing w:after="0" w:line="28" w:lineRule="exact"/>
        <w:rPr>
          <w:rFonts w:ascii="Arial" w:cs="Arial" w:eastAsia="Arial" w:hAnsi="Arial"/>
          <w:sz w:val="19"/>
          <w:szCs w:val="19"/>
          <w:color w:val="auto"/>
          <w:vertAlign w:val="superscript"/>
        </w:rPr>
      </w:pPr>
    </w:p>
    <w:p>
      <w:pPr>
        <w:ind w:left="960" w:right="100" w:hanging="439"/>
        <w:spacing w:after="0" w:line="183" w:lineRule="auto"/>
        <w:tabs>
          <w:tab w:leader="none" w:pos="96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Adjusted EBITDA does not reflect the impact of earnings or charges resulting from matters we consider not to be indicative of our ongoing operations, as discussed in our presentation of Adjusted EBITDA and “Management’s Discussion and Analysis of Financial Condition and Results of Operations” in this prospectus; and</w:t>
      </w:r>
    </w:p>
    <w:p>
      <w:pPr>
        <w:spacing w:after="0" w:line="1" w:lineRule="exact"/>
        <w:rPr>
          <w:rFonts w:ascii="Arial" w:cs="Arial" w:eastAsia="Arial" w:hAnsi="Arial"/>
          <w:sz w:val="23"/>
          <w:szCs w:val="23"/>
          <w:color w:val="auto"/>
          <w:vertAlign w:val="superscript"/>
        </w:rPr>
      </w:pPr>
    </w:p>
    <w:p>
      <w:pPr>
        <w:ind w:left="960" w:hanging="439"/>
        <w:spacing w:after="0" w:line="186" w:lineRule="auto"/>
        <w:tabs>
          <w:tab w:leader="none" w:pos="96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other companies in our industry may calculate Adjusted EBITDA differently than we do, limiting its usefulness as comparative measures.</w:t>
      </w:r>
    </w:p>
    <w:p>
      <w:pPr>
        <w:spacing w:after="0" w:line="146" w:lineRule="exact"/>
        <w:rPr>
          <w:sz w:val="20"/>
          <w:szCs w:val="20"/>
          <w:color w:val="auto"/>
        </w:rPr>
      </w:pPr>
    </w:p>
    <w:p>
      <w:pPr>
        <w:ind w:left="520" w:right="500"/>
        <w:spacing w:after="0" w:line="245" w:lineRule="auto"/>
        <w:rPr>
          <w:sz w:val="20"/>
          <w:szCs w:val="20"/>
          <w:color w:val="auto"/>
        </w:rPr>
      </w:pPr>
      <w:r>
        <w:rPr>
          <w:rFonts w:ascii="Arial" w:cs="Arial" w:eastAsia="Arial" w:hAnsi="Arial"/>
          <w:sz w:val="14"/>
          <w:szCs w:val="14"/>
          <w:color w:val="auto"/>
        </w:rPr>
        <w:t>Because of these limitations, EBITDA and Adjusted EBITDA should not be considered as a measure of discretionary cash available to us to invest in the growth of our business. We compensate for these limitations by relying primarily on our U.S. GAAP results and using EBITDA and Adjusted EBITDA only supplementally.</w:t>
      </w:r>
    </w:p>
    <w:p>
      <w:pPr>
        <w:spacing w:after="0" w:line="143" w:lineRule="exact"/>
        <w:rPr>
          <w:sz w:val="20"/>
          <w:szCs w:val="20"/>
          <w:color w:val="auto"/>
        </w:rPr>
      </w:pPr>
    </w:p>
    <w:p>
      <w:pPr>
        <w:ind w:left="520" w:right="20"/>
        <w:spacing w:after="0" w:line="238" w:lineRule="auto"/>
        <w:rPr>
          <w:sz w:val="20"/>
          <w:szCs w:val="20"/>
          <w:color w:val="auto"/>
        </w:rPr>
      </w:pPr>
      <w:r>
        <w:rPr>
          <w:rFonts w:ascii="Arial" w:cs="Arial" w:eastAsia="Arial" w:hAnsi="Arial"/>
          <w:sz w:val="14"/>
          <w:szCs w:val="14"/>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7" w:lineRule="exact"/>
        <w:rPr>
          <w:sz w:val="20"/>
          <w:szCs w:val="20"/>
          <w:color w:val="auto"/>
        </w:rPr>
      </w:pPr>
    </w:p>
    <w:p>
      <w:pPr>
        <w:ind w:left="520"/>
        <w:spacing w:after="0" w:line="236" w:lineRule="auto"/>
        <w:rPr>
          <w:sz w:val="20"/>
          <w:szCs w:val="20"/>
          <w:color w:val="auto"/>
        </w:rPr>
      </w:pPr>
      <w:r>
        <w:rPr>
          <w:rFonts w:ascii="Arial" w:cs="Arial" w:eastAsia="Arial" w:hAnsi="Arial"/>
          <w:sz w:val="14"/>
          <w:szCs w:val="14"/>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240" w:top="449" w:right="3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032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0275" cy="603250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20" w:right="460"/>
        <w:spacing w:after="0" w:line="245" w:lineRule="auto"/>
        <w:rPr>
          <w:sz w:val="20"/>
          <w:szCs w:val="20"/>
          <w:color w:val="auto"/>
        </w:rPr>
      </w:pPr>
      <w:r>
        <w:rPr>
          <w:rFonts w:ascii="Arial" w:cs="Arial" w:eastAsia="Arial" w:hAnsi="Arial"/>
          <w:sz w:val="14"/>
          <w:szCs w:val="14"/>
          <w:color w:val="auto"/>
        </w:rPr>
        <w:t>See the consolidated financial statements included elsewhere in this prospectus for our U.S. GAAP results. Set forth below are the reconciliations of EBITDA, Adjusted EBITDA, Adjusted Net Income and Free Cash Flow to our closest reported U.S. GAAP measures.</w:t>
      </w:r>
    </w:p>
    <w:p>
      <w:pPr>
        <w:spacing w:after="0" w:line="200" w:lineRule="exact"/>
        <w:rPr>
          <w:sz w:val="20"/>
          <w:szCs w:val="20"/>
          <w:color w:val="auto"/>
        </w:rPr>
      </w:pP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9"/>
              </w:rPr>
              <w:t>SUCCESSOR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3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THREE</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MONTH</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rPr>
              <w:t>NINE MONTH</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FROM</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7"/>
              </w:rPr>
              <w:t>SIX</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7"/>
              </w:rPr>
              <w:t>SIX</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1320" w:type="dxa"/>
            <w:vAlign w:val="bottom"/>
            <w:gridSpan w:val="4"/>
          </w:tcPr>
          <w:p>
            <w:pPr>
              <w:ind w:left="280"/>
              <w:spacing w:after="0" w:line="157"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3"/>
                <w:szCs w:val="13"/>
                <w:color w:val="auto"/>
              </w:rPr>
            </w:pPr>
          </w:p>
        </w:tc>
        <w:tc>
          <w:tcPr>
            <w:tcW w:w="6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rPr>
              <w:t>APRIL 1, 2014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0"/>
              <w:spacing w:after="0" w:line="157"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3"/>
                <w:szCs w:val="13"/>
                <w:color w:val="auto"/>
              </w:rPr>
            </w:pP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3"/>
                <w:szCs w:val="13"/>
                <w:color w:val="auto"/>
              </w:rPr>
            </w:pPr>
          </w:p>
        </w:tc>
        <w:tc>
          <w:tcPr>
            <w:tcW w:w="1160" w:type="dxa"/>
            <w:vAlign w:val="bottom"/>
            <w:gridSpan w:val="3"/>
          </w:tcPr>
          <w:p>
            <w:pPr>
              <w:jc w:val="right"/>
              <w:ind w:right="180"/>
              <w:spacing w:after="0" w:line="157"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8"/>
              </w:rPr>
              <w:t>THROUGH</w:t>
            </w:r>
          </w:p>
        </w:tc>
        <w:tc>
          <w:tcPr>
            <w:tcW w:w="280" w:type="dxa"/>
            <w:vAlign w:val="bottom"/>
          </w:tcPr>
          <w:p>
            <w:pPr>
              <w:spacing w:after="0"/>
              <w:rPr>
                <w:sz w:val="13"/>
                <w:szCs w:val="13"/>
                <w:color w:val="auto"/>
              </w:rPr>
            </w:pPr>
          </w:p>
        </w:tc>
        <w:tc>
          <w:tcPr>
            <w:tcW w:w="104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THROUGH</w:t>
            </w:r>
          </w:p>
        </w:tc>
        <w:tc>
          <w:tcPr>
            <w:tcW w:w="160" w:type="dxa"/>
            <w:vAlign w:val="bottom"/>
          </w:tcPr>
          <w:p>
            <w:pPr>
              <w:spacing w:after="0"/>
              <w:rPr>
                <w:sz w:val="13"/>
                <w:szCs w:val="13"/>
                <w:color w:val="auto"/>
              </w:rPr>
            </w:pPr>
          </w:p>
        </w:tc>
        <w:tc>
          <w:tcPr>
            <w:tcW w:w="1120" w:type="dxa"/>
            <w:vAlign w:val="bottom"/>
            <w:gridSpan w:val="3"/>
          </w:tcPr>
          <w:p>
            <w:pPr>
              <w:jc w:val="right"/>
              <w:ind w:right="14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6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w:t>
            </w:r>
          </w:p>
        </w:tc>
        <w:tc>
          <w:tcPr>
            <w:tcW w:w="1460" w:type="dxa"/>
            <w:vAlign w:val="bottom"/>
            <w:gridSpan w:val="4"/>
          </w:tcPr>
          <w:p>
            <w:pPr>
              <w:ind w:left="300"/>
              <w:spacing w:after="0" w:line="157" w:lineRule="exact"/>
              <w:rPr>
                <w:sz w:val="20"/>
                <w:szCs w:val="20"/>
                <w:color w:val="auto"/>
              </w:rPr>
            </w:pPr>
            <w:r>
              <w:rPr>
                <w:rFonts w:ascii="Arial" w:cs="Arial" w:eastAsia="Arial" w:hAnsi="Arial"/>
                <w:sz w:val="14"/>
                <w:szCs w:val="14"/>
                <w:b w:val="1"/>
                <w:bCs w:val="1"/>
                <w:color w:val="auto"/>
              </w:rPr>
              <w:t>DECEMBER 31,</w:t>
            </w:r>
          </w:p>
        </w:tc>
        <w:tc>
          <w:tcPr>
            <w:tcW w:w="1320" w:type="dxa"/>
            <w:vAlign w:val="bottom"/>
            <w:tcBorders>
              <w:right w:val="single" w:sz="8" w:color="auto"/>
            </w:tcBorders>
            <w:gridSpan w:val="4"/>
          </w:tcPr>
          <w:p>
            <w:pPr>
              <w:ind w:left="80"/>
              <w:spacing w:after="0" w:line="157"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040" w:type="dxa"/>
            <w:vAlign w:val="bottom"/>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rPr>
              <w:t>MARCH 31,</w:t>
            </w:r>
          </w:p>
        </w:tc>
        <w:tc>
          <w:tcPr>
            <w:tcW w:w="1280" w:type="dxa"/>
            <w:vAlign w:val="bottom"/>
            <w:gridSpan w:val="4"/>
          </w:tcPr>
          <w:p>
            <w:pPr>
              <w:ind w:left="160"/>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3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right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137"/>
        </w:trPr>
        <w:tc>
          <w:tcPr>
            <w:tcW w:w="374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EBITDA and Adjusted EBITDA:</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Net income (loss) as reported</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8,410</w:t>
            </w:r>
          </w:p>
        </w:tc>
        <w:tc>
          <w:tcPr>
            <w:tcW w:w="200" w:type="dxa"/>
            <w:vAlign w:val="bottom"/>
          </w:tcPr>
          <w:p>
            <w:pPr>
              <w:spacing w:after="0"/>
              <w:rPr>
                <w:sz w:val="13"/>
                <w:szCs w:val="13"/>
                <w:color w:val="auto"/>
              </w:rPr>
            </w:pPr>
          </w:p>
        </w:tc>
        <w:tc>
          <w:tcPr>
            <w:tcW w:w="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3"/>
                <w:szCs w:val="13"/>
                <w:color w:val="auto"/>
              </w:rPr>
            </w:pPr>
          </w:p>
        </w:tc>
        <w:tc>
          <w:tcPr>
            <w:tcW w:w="52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(8,673)</w:t>
            </w: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(14,336)</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(1,236)</w:t>
            </w:r>
          </w:p>
        </w:tc>
        <w:tc>
          <w:tcPr>
            <w:tcW w:w="3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24,844</w:t>
            </w:r>
          </w:p>
        </w:tc>
        <w:tc>
          <w:tcPr>
            <w:tcW w:w="80" w:type="dxa"/>
            <w:vAlign w:val="bottom"/>
          </w:tcPr>
          <w:p>
            <w:pPr>
              <w:spacing w:after="0"/>
              <w:rPr>
                <w:sz w:val="13"/>
                <w:szCs w:val="13"/>
                <w:color w:val="auto"/>
              </w:rPr>
            </w:pP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Interest expense, net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11,894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13,975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27,259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23,185</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3"/>
                <w:szCs w:val="13"/>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Income tax provision (benefit)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5,738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(733)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843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(6,703)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1,014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14,301</w:t>
            </w:r>
          </w:p>
        </w:tc>
        <w:tc>
          <w:tcPr>
            <w:tcW w:w="80" w:type="dxa"/>
            <w:vAlign w:val="bottom"/>
          </w:tcPr>
          <w:p>
            <w:pPr>
              <w:spacing w:after="0"/>
              <w:rPr>
                <w:sz w:val="13"/>
                <w:szCs w:val="13"/>
                <w:color w:val="auto"/>
              </w:rPr>
            </w:pP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Depreciation</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3,566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3,110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4,610</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6,665</w:t>
            </w:r>
          </w:p>
        </w:tc>
        <w:tc>
          <w:tcPr>
            <w:tcW w:w="80" w:type="dxa"/>
            <w:vAlign w:val="bottom"/>
            <w:shd w:val="clear" w:color="auto" w:fill="CCEEFF"/>
          </w:tcPr>
          <w:p>
            <w:pPr>
              <w:spacing w:after="0"/>
              <w:rPr>
                <w:sz w:val="13"/>
                <w:szCs w:val="13"/>
                <w:color w:val="auto"/>
              </w:rPr>
            </w:pPr>
          </w:p>
        </w:tc>
      </w:tr>
      <w:tr>
        <w:trPr>
          <w:trHeight w:val="163"/>
        </w:trPr>
        <w:tc>
          <w:tcPr>
            <w:tcW w:w="3740" w:type="dxa"/>
            <w:vAlign w:val="bottom"/>
          </w:tcPr>
          <w:p>
            <w:pPr>
              <w:spacing w:after="0" w:line="157" w:lineRule="exact"/>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25,336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34,243</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63,142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56,422</w:t>
            </w:r>
          </w:p>
        </w:tc>
        <w:tc>
          <w:tcPr>
            <w:tcW w:w="2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23,854</w:t>
            </w:r>
          </w:p>
        </w:tc>
        <w:tc>
          <w:tcPr>
            <w:tcW w:w="80" w:type="dxa"/>
            <w:vAlign w:val="bottom"/>
          </w:tcPr>
          <w:p>
            <w:pPr>
              <w:spacing w:after="0"/>
              <w:rPr>
                <w:sz w:val="14"/>
                <w:szCs w:val="14"/>
                <w:color w:val="auto"/>
              </w:rPr>
            </w:pP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EBITDA</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54,944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50,631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88,950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63,178</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10,081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87,664</w:t>
            </w:r>
          </w:p>
        </w:tc>
        <w:tc>
          <w:tcPr>
            <w:tcW w:w="80" w:type="dxa"/>
            <w:vAlign w:val="bottom"/>
            <w:shd w:val="clear" w:color="auto" w:fill="CCEEFF"/>
          </w:tcPr>
          <w:p>
            <w:pPr>
              <w:spacing w:after="0"/>
              <w:rPr>
                <w:sz w:val="13"/>
                <w:szCs w:val="13"/>
                <w:color w:val="auto"/>
              </w:rPr>
            </w:pP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Stock compensation expense: liability awards mark-to-</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3740" w:type="dxa"/>
            <w:vAlign w:val="bottom"/>
          </w:tcPr>
          <w:p>
            <w:pPr>
              <w:ind w:left="240"/>
              <w:spacing w:after="0" w:line="160" w:lineRule="exact"/>
              <w:rPr>
                <w:sz w:val="20"/>
                <w:szCs w:val="20"/>
                <w:color w:val="auto"/>
              </w:rPr>
            </w:pPr>
            <w:r>
              <w:rPr>
                <w:rFonts w:ascii="Arial" w:cs="Arial" w:eastAsia="Arial" w:hAnsi="Arial"/>
                <w:sz w:val="11"/>
                <w:szCs w:val="11"/>
                <w:color w:val="auto"/>
              </w:rPr>
              <w:t xml:space="preserve">market and CEO award </w:t>
            </w:r>
            <w:r>
              <w:rPr>
                <w:rFonts w:ascii="Arial" w:cs="Arial" w:eastAsia="Arial" w:hAnsi="Arial"/>
                <w:sz w:val="18"/>
                <w:szCs w:val="18"/>
                <w:color w:val="auto"/>
                <w:vertAlign w:val="superscript"/>
              </w:rPr>
              <w:t>(a)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60" w:lineRule="exact"/>
              <w:rPr>
                <w:sz w:val="20"/>
                <w:szCs w:val="20"/>
                <w:color w:val="auto"/>
              </w:rPr>
            </w:pPr>
            <w:r>
              <w:rPr>
                <w:rFonts w:ascii="Arial" w:cs="Arial" w:eastAsia="Arial" w:hAnsi="Arial"/>
                <w:sz w:val="14"/>
                <w:szCs w:val="14"/>
                <w:color w:val="auto"/>
              </w:rPr>
              <w:t>2,576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9,780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9,297</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1"/>
                <w:szCs w:val="11"/>
                <w:color w:val="auto"/>
              </w:rPr>
              <w:t xml:space="preserve">Corporate campus lease payments </w:t>
            </w:r>
            <w:r>
              <w:rPr>
                <w:rFonts w:ascii="Arial" w:cs="Arial" w:eastAsia="Arial" w:hAnsi="Arial"/>
                <w:sz w:val="18"/>
                <w:szCs w:val="18"/>
                <w:color w:val="auto"/>
                <w:vertAlign w:val="superscript"/>
              </w:rPr>
              <w:t>(c)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(1,860)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(1,860)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(3,720)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(2,773)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(918)</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(3,635)</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(3,107)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748</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1,380</w:t>
            </w:r>
          </w:p>
        </w:tc>
        <w:tc>
          <w:tcPr>
            <w:tcW w:w="80" w:type="dxa"/>
            <w:vAlign w:val="bottom"/>
            <w:shd w:val="clear" w:color="auto" w:fill="CCEEFF"/>
          </w:tcPr>
          <w:p>
            <w:pPr>
              <w:spacing w:after="0"/>
              <w:rPr>
                <w:sz w:val="13"/>
                <w:szCs w:val="13"/>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Impairment of goodwill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9,313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767</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r>
      <w:tr>
        <w:trPr>
          <w:trHeight w:val="163"/>
        </w:trPr>
        <w:tc>
          <w:tcPr>
            <w:tcW w:w="3740" w:type="dxa"/>
            <w:vAlign w:val="bottom"/>
          </w:tcPr>
          <w:p>
            <w:pPr>
              <w:spacing w:after="0"/>
              <w:rPr>
                <w:sz w:val="20"/>
                <w:szCs w:val="20"/>
                <w:color w:val="auto"/>
              </w:rPr>
            </w:pPr>
            <w:r>
              <w:rPr>
                <w:rFonts w:ascii="Arial" w:cs="Arial" w:eastAsia="Arial" w:hAnsi="Arial"/>
                <w:sz w:val="14"/>
                <w:szCs w:val="14"/>
                <w:color w:val="auto"/>
              </w:rPr>
              <w:t>Adjusted EBITDA</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56,427</w:t>
            </w:r>
          </w:p>
        </w:tc>
        <w:tc>
          <w:tcPr>
            <w:tcW w:w="20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48,385</w:t>
            </w:r>
          </w:p>
        </w:tc>
        <w:tc>
          <w:tcPr>
            <w:tcW w:w="6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101,216</w:t>
            </w:r>
          </w:p>
        </w:tc>
        <w:tc>
          <w:tcPr>
            <w:tcW w:w="12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70,450</w:t>
            </w:r>
          </w:p>
        </w:tc>
        <w:tc>
          <w:tcPr>
            <w:tcW w:w="200" w:type="dxa"/>
            <w:vAlign w:val="bottom"/>
            <w:tcBorders>
              <w:right w:val="single" w:sz="8" w:color="auto"/>
            </w:tcBorders>
          </w:tcPr>
          <w:p>
            <w:pPr>
              <w:spacing w:after="0"/>
              <w:rPr>
                <w:sz w:val="14"/>
                <w:szCs w:val="14"/>
                <w:color w:val="auto"/>
              </w:rPr>
            </w:pP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21,710</w:t>
            </w:r>
          </w:p>
        </w:tc>
        <w:tc>
          <w:tcPr>
            <w:tcW w:w="220" w:type="dxa"/>
            <w:vAlign w:val="bottom"/>
          </w:tcPr>
          <w:p>
            <w:pPr>
              <w:spacing w:after="0"/>
              <w:rPr>
                <w:sz w:val="14"/>
                <w:szCs w:val="14"/>
                <w:color w:val="auto"/>
              </w:rPr>
            </w:pPr>
          </w:p>
        </w:tc>
        <w:tc>
          <w:tcPr>
            <w:tcW w:w="3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85,409</w:t>
            </w:r>
          </w:p>
        </w:tc>
        <w:tc>
          <w:tcPr>
            <w:tcW w:w="80" w:type="dxa"/>
            <w:vAlign w:val="bottom"/>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Net Income:</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Net income (loss) as reported</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8,410</w:t>
            </w:r>
          </w:p>
        </w:tc>
        <w:tc>
          <w:tcPr>
            <w:tcW w:w="200" w:type="dxa"/>
            <w:vAlign w:val="bottom"/>
          </w:tcPr>
          <w:p>
            <w:pPr>
              <w:spacing w:after="0"/>
              <w:rPr>
                <w:sz w:val="13"/>
                <w:szCs w:val="13"/>
                <w:color w:val="auto"/>
              </w:rPr>
            </w:pPr>
          </w:p>
        </w:tc>
        <w:tc>
          <w:tcPr>
            <w:tcW w:w="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3"/>
                <w:szCs w:val="13"/>
                <w:color w:val="auto"/>
              </w:rPr>
            </w:pPr>
          </w:p>
        </w:tc>
        <w:tc>
          <w:tcPr>
            <w:tcW w:w="52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(8,673)</w:t>
            </w: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(14,336)</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(1,236)</w:t>
            </w:r>
          </w:p>
        </w:tc>
        <w:tc>
          <w:tcPr>
            <w:tcW w:w="3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24,844</w:t>
            </w:r>
          </w:p>
        </w:tc>
        <w:tc>
          <w:tcPr>
            <w:tcW w:w="80" w:type="dxa"/>
            <w:vAlign w:val="bottom"/>
          </w:tcPr>
          <w:p>
            <w:pPr>
              <w:spacing w:after="0"/>
              <w:rPr>
                <w:sz w:val="13"/>
                <w:szCs w:val="13"/>
                <w:color w:val="auto"/>
              </w:rPr>
            </w:pP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25,336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34,243</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63,142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56,422</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5,199</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23,854</w:t>
            </w:r>
          </w:p>
        </w:tc>
        <w:tc>
          <w:tcPr>
            <w:tcW w:w="80" w:type="dxa"/>
            <w:vAlign w:val="bottom"/>
            <w:shd w:val="clear" w:color="auto" w:fill="CCEEFF"/>
          </w:tcPr>
          <w:p>
            <w:pPr>
              <w:spacing w:after="0"/>
              <w:rPr>
                <w:sz w:val="13"/>
                <w:szCs w:val="13"/>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color w:val="auto"/>
              </w:rPr>
              <w:t>Stock compensation expense: liability awards mark-to-</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3740" w:type="dxa"/>
            <w:vAlign w:val="bottom"/>
          </w:tcPr>
          <w:p>
            <w:pPr>
              <w:ind w:left="240"/>
              <w:spacing w:after="0" w:line="160" w:lineRule="exact"/>
              <w:rPr>
                <w:sz w:val="20"/>
                <w:szCs w:val="20"/>
                <w:color w:val="auto"/>
              </w:rPr>
            </w:pPr>
            <w:r>
              <w:rPr>
                <w:rFonts w:ascii="Arial" w:cs="Arial" w:eastAsia="Arial" w:hAnsi="Arial"/>
                <w:sz w:val="11"/>
                <w:szCs w:val="11"/>
                <w:color w:val="auto"/>
              </w:rPr>
              <w:t xml:space="preserve">market and CEO award </w:t>
            </w:r>
            <w:r>
              <w:rPr>
                <w:rFonts w:ascii="Arial" w:cs="Arial" w:eastAsia="Arial" w:hAnsi="Arial"/>
                <w:sz w:val="18"/>
                <w:szCs w:val="18"/>
                <w:color w:val="auto"/>
                <w:vertAlign w:val="superscript"/>
              </w:rPr>
              <w:t>(a)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60" w:lineRule="exact"/>
              <w:rPr>
                <w:sz w:val="20"/>
                <w:szCs w:val="20"/>
                <w:color w:val="auto"/>
              </w:rPr>
            </w:pPr>
            <w:r>
              <w:rPr>
                <w:rFonts w:ascii="Arial" w:cs="Arial" w:eastAsia="Arial" w:hAnsi="Arial"/>
                <w:sz w:val="14"/>
                <w:szCs w:val="14"/>
                <w:color w:val="auto"/>
              </w:rPr>
              <w:t>2,576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9,780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9,297</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1"/>
                <w:szCs w:val="11"/>
                <w:color w:val="auto"/>
              </w:rPr>
              <w:t xml:space="preserve">Corporate campus lease payments—principal portion </w:t>
            </w:r>
            <w:r>
              <w:rPr>
                <w:rFonts w:ascii="Arial" w:cs="Arial" w:eastAsia="Arial" w:hAnsi="Arial"/>
                <w:sz w:val="18"/>
                <w:szCs w:val="18"/>
                <w:color w:val="auto"/>
                <w:vertAlign w:val="superscript"/>
              </w:rPr>
              <w:t>(c)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(744)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(576)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(1,292)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(1,284)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(3,107)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748</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1,380</w:t>
            </w:r>
          </w:p>
        </w:tc>
        <w:tc>
          <w:tcPr>
            <w:tcW w:w="80" w:type="dxa"/>
            <w:vAlign w:val="bottom"/>
            <w:shd w:val="clear" w:color="auto" w:fill="CCEEFF"/>
          </w:tcPr>
          <w:p>
            <w:pPr>
              <w:spacing w:after="0"/>
              <w:rPr>
                <w:sz w:val="13"/>
                <w:szCs w:val="13"/>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Impairment of goodwill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9,313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Deferred financing fees </w:t>
            </w:r>
            <w:r>
              <w:rPr>
                <w:rFonts w:ascii="Arial" w:cs="Arial" w:eastAsia="Arial" w:hAnsi="Arial"/>
                <w:sz w:val="18"/>
                <w:szCs w:val="18"/>
                <w:color w:val="auto"/>
                <w:vertAlign w:val="superscript"/>
              </w:rPr>
              <w:t>(e)</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1,345</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1,328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2,687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2,064</w:t>
            </w: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1,918</w:t>
            </w:r>
          </w:p>
        </w:tc>
        <w:tc>
          <w:tcPr>
            <w:tcW w:w="80" w:type="dxa"/>
            <w:vAlign w:val="bottom"/>
            <w:shd w:val="clear" w:color="auto" w:fill="CCEEFF"/>
          </w:tcPr>
          <w:p>
            <w:pPr>
              <w:spacing w:after="0"/>
              <w:rPr>
                <w:sz w:val="13"/>
                <w:szCs w:val="13"/>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767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tax effect of adjustments (39.0%)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(11,419)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w w:val="99"/>
              </w:rPr>
              <w:t>(13,498)</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(31,405)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(26,226)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(7,001)</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(10,589)</w:t>
            </w: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3740" w:type="dxa"/>
            <w:vAlign w:val="bottom"/>
          </w:tcPr>
          <w:p>
            <w:pPr>
              <w:spacing w:after="0"/>
              <w:rPr>
                <w:sz w:val="20"/>
                <w:szCs w:val="20"/>
                <w:color w:val="auto"/>
              </w:rPr>
            </w:pPr>
            <w:r>
              <w:rPr>
                <w:rFonts w:ascii="Arial" w:cs="Arial" w:eastAsia="Arial" w:hAnsi="Arial"/>
                <w:sz w:val="14"/>
                <w:szCs w:val="14"/>
                <w:color w:val="auto"/>
              </w:rPr>
              <w:t>Adjusted Net Income</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26,271</w:t>
            </w:r>
          </w:p>
        </w:tc>
        <w:tc>
          <w:tcPr>
            <w:tcW w:w="20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21,147</w:t>
            </w:r>
          </w:p>
        </w:tc>
        <w:tc>
          <w:tcPr>
            <w:tcW w:w="6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40,445</w:t>
            </w:r>
          </w:p>
        </w:tc>
        <w:tc>
          <w:tcPr>
            <w:tcW w:w="12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26,685</w:t>
            </w:r>
          </w:p>
        </w:tc>
        <w:tc>
          <w:tcPr>
            <w:tcW w:w="200" w:type="dxa"/>
            <w:vAlign w:val="bottom"/>
            <w:tcBorders>
              <w:right w:val="single" w:sz="8" w:color="auto"/>
            </w:tcBorders>
          </w:tcPr>
          <w:p>
            <w:pPr>
              <w:spacing w:after="0"/>
              <w:rPr>
                <w:sz w:val="14"/>
                <w:szCs w:val="14"/>
                <w:color w:val="auto"/>
              </w:rPr>
            </w:pP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9,715</w:t>
            </w:r>
          </w:p>
        </w:tc>
        <w:tc>
          <w:tcPr>
            <w:tcW w:w="220" w:type="dxa"/>
            <w:vAlign w:val="bottom"/>
          </w:tcPr>
          <w:p>
            <w:pPr>
              <w:spacing w:after="0"/>
              <w:rPr>
                <w:sz w:val="14"/>
                <w:szCs w:val="14"/>
                <w:color w:val="auto"/>
              </w:rPr>
            </w:pPr>
          </w:p>
        </w:tc>
        <w:tc>
          <w:tcPr>
            <w:tcW w:w="3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41,407</w:t>
            </w:r>
          </w:p>
        </w:tc>
        <w:tc>
          <w:tcPr>
            <w:tcW w:w="80" w:type="dxa"/>
            <w:vAlign w:val="bottom"/>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Free Cash Flow:</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Cash flow provided by operating activities</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19,982</w:t>
            </w:r>
          </w:p>
        </w:tc>
        <w:tc>
          <w:tcPr>
            <w:tcW w:w="200" w:type="dxa"/>
            <w:vAlign w:val="bottom"/>
          </w:tcPr>
          <w:p>
            <w:pPr>
              <w:spacing w:after="0"/>
              <w:rPr>
                <w:sz w:val="13"/>
                <w:szCs w:val="13"/>
                <w:color w:val="auto"/>
              </w:rPr>
            </w:pPr>
          </w:p>
        </w:tc>
        <w:tc>
          <w:tcPr>
            <w:tcW w:w="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26,271</w:t>
            </w:r>
          </w:p>
        </w:tc>
        <w:tc>
          <w:tcPr>
            <w:tcW w:w="60" w:type="dxa"/>
            <w:vAlign w:val="bottom"/>
          </w:tcPr>
          <w:p>
            <w:pPr>
              <w:spacing w:after="0"/>
              <w:rPr>
                <w:sz w:val="13"/>
                <w:szCs w:val="13"/>
                <w:color w:val="auto"/>
              </w:rPr>
            </w:pPr>
          </w:p>
        </w:tc>
        <w:tc>
          <w:tcPr>
            <w:tcW w:w="52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84,117</w:t>
            </w:r>
          </w:p>
        </w:tc>
        <w:tc>
          <w:tcPr>
            <w:tcW w:w="120" w:type="dxa"/>
            <w:vAlign w:val="bottom"/>
          </w:tcPr>
          <w:p>
            <w:pPr>
              <w:spacing w:after="0"/>
              <w:rPr>
                <w:sz w:val="13"/>
                <w:szCs w:val="13"/>
                <w:color w:val="auto"/>
              </w:rPr>
            </w:pP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62,539</w:t>
            </w:r>
          </w:p>
        </w:tc>
        <w:tc>
          <w:tcPr>
            <w:tcW w:w="200" w:type="dxa"/>
            <w:vAlign w:val="bottom"/>
            <w:tcBorders>
              <w:right w:val="single" w:sz="8" w:color="auto"/>
            </w:tcBorders>
          </w:tcPr>
          <w:p>
            <w:pPr>
              <w:spacing w:after="0"/>
              <w:rPr>
                <w:sz w:val="13"/>
                <w:szCs w:val="13"/>
                <w:color w:val="auto"/>
              </w:rPr>
            </w:pP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12,807</w:t>
            </w:r>
          </w:p>
        </w:tc>
        <w:tc>
          <w:tcPr>
            <w:tcW w:w="220" w:type="dxa"/>
            <w:vAlign w:val="bottom"/>
          </w:tcPr>
          <w:p>
            <w:pPr>
              <w:spacing w:after="0"/>
              <w:rPr>
                <w:sz w:val="13"/>
                <w:szCs w:val="13"/>
                <w:color w:val="auto"/>
              </w:rPr>
            </w:pPr>
          </w:p>
        </w:tc>
        <w:tc>
          <w:tcPr>
            <w:tcW w:w="3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98,142</w:t>
            </w:r>
          </w:p>
        </w:tc>
        <w:tc>
          <w:tcPr>
            <w:tcW w:w="80" w:type="dxa"/>
            <w:vAlign w:val="bottom"/>
          </w:tcPr>
          <w:p>
            <w:pPr>
              <w:spacing w:after="0"/>
              <w:rPr>
                <w:sz w:val="13"/>
                <w:szCs w:val="13"/>
                <w:color w:val="auto"/>
              </w:rPr>
            </w:pPr>
          </w:p>
        </w:tc>
      </w:tr>
      <w:tr>
        <w:trPr>
          <w:trHeight w:val="157"/>
        </w:trPr>
        <w:tc>
          <w:tcPr>
            <w:tcW w:w="37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Less: Capital expenditures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(5,693)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(2,665)</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(6,465)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(4,225)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(1,090)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(4,561)</w:t>
            </w:r>
          </w:p>
        </w:tc>
      </w:tr>
      <w:tr>
        <w:trPr>
          <w:trHeight w:val="155"/>
        </w:trPr>
        <w:tc>
          <w:tcPr>
            <w:tcW w:w="3740" w:type="dxa"/>
            <w:vAlign w:val="bottom"/>
          </w:tcPr>
          <w:p>
            <w:pPr>
              <w:ind w:left="240"/>
              <w:spacing w:after="0" w:line="155" w:lineRule="exact"/>
              <w:rPr>
                <w:sz w:val="20"/>
                <w:szCs w:val="20"/>
                <w:color w:val="auto"/>
              </w:rPr>
            </w:pPr>
            <w:r>
              <w:rPr>
                <w:rFonts w:ascii="Arial" w:cs="Arial" w:eastAsia="Arial" w:hAnsi="Arial"/>
                <w:sz w:val="14"/>
                <w:szCs w:val="14"/>
                <w:color w:val="auto"/>
              </w:rPr>
              <w:t>Less: Corporate campus lease payments—principal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3740" w:type="dxa"/>
            <w:vAlign w:val="bottom"/>
          </w:tcPr>
          <w:p>
            <w:pPr>
              <w:ind w:left="480"/>
              <w:spacing w:after="0" w:line="160" w:lineRule="exact"/>
              <w:rPr>
                <w:sz w:val="20"/>
                <w:szCs w:val="20"/>
                <w:color w:val="auto"/>
              </w:rPr>
            </w:pPr>
            <w:r>
              <w:rPr>
                <w:rFonts w:ascii="Arial" w:cs="Arial" w:eastAsia="Arial" w:hAnsi="Arial"/>
                <w:sz w:val="11"/>
                <w:szCs w:val="11"/>
                <w:color w:val="auto"/>
              </w:rPr>
              <w:t xml:space="preserve">portion </w:t>
            </w:r>
            <w:r>
              <w:rPr>
                <w:rFonts w:ascii="Arial" w:cs="Arial" w:eastAsia="Arial" w:hAnsi="Arial"/>
                <w:sz w:val="18"/>
                <w:szCs w:val="18"/>
                <w:color w:val="auto"/>
                <w:vertAlign w:val="superscript"/>
              </w:rPr>
              <w:t>(c)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(744)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(576)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(1,292)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60" w:lineRule="exact"/>
              <w:rPr>
                <w:sz w:val="20"/>
                <w:szCs w:val="20"/>
                <w:color w:val="auto"/>
              </w:rPr>
            </w:pPr>
            <w:r>
              <w:rPr>
                <w:rFonts w:ascii="Arial" w:cs="Arial" w:eastAsia="Arial" w:hAnsi="Arial"/>
                <w:sz w:val="14"/>
                <w:szCs w:val="14"/>
                <w:color w:val="auto"/>
              </w:rPr>
              <w:t>(1,284)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line="160"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r>
      <w:tr>
        <w:trPr>
          <w:trHeight w:val="26"/>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Free Cash Flow</w:t>
            </w:r>
          </w:p>
        </w:tc>
        <w:tc>
          <w:tcPr>
            <w:tcW w:w="380" w:type="dxa"/>
            <w:vAlign w:val="bottom"/>
            <w:gridSpan w:val="2"/>
            <w:shd w:val="clear" w:color="auto" w:fill="CCEEFF"/>
          </w:tcPr>
          <w:p>
            <w:pPr>
              <w:ind w:left="28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13,545</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23,030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76,360</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57,030</w:t>
            </w:r>
          </w:p>
        </w:tc>
        <w:tc>
          <w:tcPr>
            <w:tcW w:w="200" w:type="dxa"/>
            <w:vAlign w:val="bottom"/>
            <w:tcBorders>
              <w:right w:val="single" w:sz="8" w:color="auto"/>
            </w:tcBorders>
            <w:shd w:val="clear" w:color="auto" w:fill="CCEEFF"/>
          </w:tcPr>
          <w:p>
            <w:pPr>
              <w:spacing w:after="0"/>
              <w:rPr>
                <w:sz w:val="13"/>
                <w:szCs w:val="13"/>
                <w:color w:val="auto"/>
              </w:rPr>
            </w:pPr>
          </w:p>
        </w:tc>
        <w:tc>
          <w:tcPr>
            <w:tcW w:w="380" w:type="dxa"/>
            <w:vAlign w:val="bottom"/>
            <w:gridSpan w:val="2"/>
            <w:shd w:val="clear" w:color="auto" w:fill="CCEEFF"/>
          </w:tcPr>
          <w:p>
            <w:pPr>
              <w:ind w:left="28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11,552</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93,581</w:t>
            </w:r>
          </w:p>
        </w:tc>
        <w:tc>
          <w:tcPr>
            <w:tcW w:w="80" w:type="dxa"/>
            <w:vAlign w:val="bottom"/>
            <w:shd w:val="clear" w:color="auto" w:fill="CCEEFF"/>
          </w:tcPr>
          <w:p>
            <w:pPr>
              <w:spacing w:after="0"/>
              <w:rPr>
                <w:sz w:val="13"/>
                <w:szCs w:val="13"/>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left="960" w:right="60" w:hanging="282"/>
        <w:spacing w:after="0" w:line="239" w:lineRule="auto"/>
        <w:tabs>
          <w:tab w:leader="none" w:pos="9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is expected to be classified as equity for accounting purposes and will not be subject to period ending fair value adjustments.</w:t>
      </w:r>
    </w:p>
    <w:p>
      <w:pPr>
        <w:spacing w:after="0" w:line="29" w:lineRule="exact"/>
        <w:rPr>
          <w:rFonts w:ascii="Arial" w:cs="Arial" w:eastAsia="Arial" w:hAnsi="Arial"/>
          <w:sz w:val="14"/>
          <w:szCs w:val="14"/>
          <w:color w:val="auto"/>
        </w:rPr>
      </w:pPr>
    </w:p>
    <w:p>
      <w:pPr>
        <w:ind w:left="960" w:hanging="282"/>
        <w:spacing w:after="0"/>
        <w:tabs>
          <w:tab w:leader="none" w:pos="9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attorney fees, advisory fees and other professional service fees incurred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240" w:top="449" w:right="39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2922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0275" cy="292290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960" w:hanging="275"/>
        <w:spacing w:after="0" w:line="237" w:lineRule="auto"/>
        <w:tabs>
          <w:tab w:leader="none" w:pos="9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spacing w:after="0" w:line="30" w:lineRule="exact"/>
        <w:rPr>
          <w:rFonts w:ascii="Arial" w:cs="Arial" w:eastAsia="Arial" w:hAnsi="Arial"/>
          <w:sz w:val="14"/>
          <w:szCs w:val="14"/>
          <w:color w:val="auto"/>
        </w:rPr>
      </w:pPr>
    </w:p>
    <w:p>
      <w:pPr>
        <w:ind w:left="960" w:hanging="282"/>
        <w:spacing w:after="0"/>
        <w:tabs>
          <w:tab w:leader="none" w:pos="9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35" w:lineRule="exact"/>
        <w:rPr>
          <w:rFonts w:ascii="Arial" w:cs="Arial" w:eastAsia="Arial" w:hAnsi="Arial"/>
          <w:sz w:val="14"/>
          <w:szCs w:val="14"/>
          <w:color w:val="auto"/>
        </w:rPr>
      </w:pPr>
    </w:p>
    <w:p>
      <w:pPr>
        <w:ind w:left="960" w:right="280" w:hanging="282"/>
        <w:spacing w:after="0" w:line="245" w:lineRule="auto"/>
        <w:tabs>
          <w:tab w:leader="none" w:pos="9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24" w:lineRule="exact"/>
        <w:rPr>
          <w:rFonts w:ascii="Arial" w:cs="Arial" w:eastAsia="Arial" w:hAnsi="Arial"/>
          <w:sz w:val="14"/>
          <w:szCs w:val="14"/>
          <w:color w:val="auto"/>
        </w:rPr>
      </w:pPr>
    </w:p>
    <w:p>
      <w:pPr>
        <w:ind w:left="960" w:hanging="243"/>
        <w:spacing w:after="0"/>
        <w:tabs>
          <w:tab w:leader="none" w:pos="9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advisory costs and other fees related to this offering.</w:t>
      </w:r>
    </w:p>
    <w:p>
      <w:pPr>
        <w:spacing w:after="0" w:line="35" w:lineRule="exact"/>
        <w:rPr>
          <w:rFonts w:ascii="Arial" w:cs="Arial" w:eastAsia="Arial" w:hAnsi="Arial"/>
          <w:sz w:val="14"/>
          <w:szCs w:val="14"/>
          <w:color w:val="auto"/>
        </w:rPr>
      </w:pPr>
    </w:p>
    <w:p>
      <w:pPr>
        <w:ind w:left="500" w:right="60" w:hanging="280"/>
        <w:spacing w:after="0" w:line="193" w:lineRule="auto"/>
        <w:tabs>
          <w:tab w:leader="none" w:pos="50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Backlog represents anticipated future net service revenue from net new business awards that have not commenced or are currently in process but not complete. However, because the contracts included in our backlog are generally terminable without cause, we do not believe that our backlog as of any date is necessarily a meaningful predictor of future results.</w:t>
      </w:r>
    </w:p>
    <w:p>
      <w:pPr>
        <w:spacing w:after="0" w:line="29" w:lineRule="exact"/>
        <w:rPr>
          <w:rFonts w:ascii="Arial" w:cs="Arial" w:eastAsia="Arial" w:hAnsi="Arial"/>
          <w:sz w:val="24"/>
          <w:szCs w:val="24"/>
          <w:color w:val="auto"/>
          <w:vertAlign w:val="superscript"/>
        </w:rPr>
      </w:pPr>
    </w:p>
    <w:p>
      <w:pPr>
        <w:ind w:left="500" w:right="20" w:hanging="280"/>
        <w:spacing w:after="0" w:line="218" w:lineRule="auto"/>
        <w:tabs>
          <w:tab w:leader="none" w:pos="50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26" w:lineRule="exact"/>
        <w:rPr>
          <w:sz w:val="20"/>
          <w:szCs w:val="20"/>
          <w:color w:val="auto"/>
        </w:rPr>
      </w:pPr>
    </w:p>
    <w:p>
      <w:pPr>
        <w:ind w:left="500" w:right="100" w:hanging="279"/>
        <w:spacing w:after="0" w:line="193" w:lineRule="auto"/>
        <w:tabs>
          <w:tab w:leader="none" w:pos="480" w:val="left"/>
        </w:tabs>
        <w:rPr>
          <w:sz w:val="20"/>
          <w:szCs w:val="20"/>
          <w:color w:val="auto"/>
        </w:rPr>
      </w:pPr>
      <w:r>
        <w:rPr>
          <w:rFonts w:ascii="Arial" w:cs="Arial" w:eastAsia="Arial" w:hAnsi="Arial"/>
          <w:sz w:val="24"/>
          <w:szCs w:val="24"/>
          <w:color w:val="auto"/>
          <w:vertAlign w:val="superscript"/>
        </w:rPr>
        <w:t>(5)</w:t>
      </w:r>
      <w:r>
        <w:rPr>
          <w:sz w:val="20"/>
          <w:szCs w:val="20"/>
          <w:color w:val="auto"/>
        </w:rPr>
        <w:tab/>
      </w:r>
      <w:r>
        <w:rPr>
          <w:rFonts w:ascii="Arial" w:cs="Arial" w:eastAsia="Arial" w:hAnsi="Arial"/>
          <w:sz w:val="14"/>
          <w:szCs w:val="14"/>
          <w:color w:val="auto"/>
        </w:rPr>
        <w:t>On an as adjusted basis to give effect to our issuance and sale of shares of our common stock in this offering at the initial public offering price of $ per share (the midpoint of the price range listed on the cover page of this prospectus), after deducting estimated underwriting discounts and commissions and estimated expenses payable by us in connection with this offering and the application of the net proceeds to be received by us from this offering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240" w:top="449" w:right="4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314" w:lineRule="exact"/>
        <w:rPr>
          <w:sz w:val="20"/>
          <w:szCs w:val="20"/>
          <w:color w:val="auto"/>
        </w:rPr>
      </w:pPr>
    </w:p>
    <w:p>
      <w:pPr>
        <w:spacing w:after="0" w:line="233"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the other information included in this prospectus, including our consolidated financial statements and related notes included elsewhere in this prospectus, before deciding to purchase our common stock. The occurrence of any of the following risks may materially and adversely affect our business, financial condition, results of operations and future prospects. In such an event, the market price of our common stock could decline, and you could lose part or all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76" w:lineRule="exact"/>
        <w:rPr>
          <w:sz w:val="20"/>
          <w:szCs w:val="20"/>
          <w:color w:val="auto"/>
        </w:rPr>
      </w:pPr>
    </w:p>
    <w:p>
      <w:pPr>
        <w:ind w:right="440"/>
        <w:spacing w:after="0" w:line="253" w:lineRule="auto"/>
        <w:rPr>
          <w:sz w:val="20"/>
          <w:szCs w:val="20"/>
          <w:color w:val="auto"/>
        </w:rPr>
      </w:pPr>
      <w:r>
        <w:rPr>
          <w:rFonts w:ascii="Arial" w:cs="Arial" w:eastAsia="Arial" w:hAnsi="Arial"/>
          <w:sz w:val="17"/>
          <w:szCs w:val="17"/>
          <w:b w:val="1"/>
          <w:bCs w:val="1"/>
          <w:i w:val="1"/>
          <w:iCs w:val="1"/>
          <w:color w:val="auto"/>
        </w:rPr>
        <w:t>The potential loss, delay or non-renewal of our contracts, or the non-payment by our customers for services that we have performed, could adversely affect our results.</w:t>
      </w:r>
    </w:p>
    <w:p>
      <w:pPr>
        <w:spacing w:after="0" w:line="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We experience termination, cancellation and non-renewals of contracts by our customers in the ordinary course of business, and the number and dollar value of cancellations can vary significantly from year to year.</w:t>
      </w:r>
    </w:p>
    <w:p>
      <w:pPr>
        <w:spacing w:after="0" w:line="14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For example, our average quarterly cancellation rates as a percentage of the beginning of the period backlog were 4.2% and 2.7% for the Successor six months ended June 30, 2016 and June 30, 2015, respectively, and 3.2% for the Successor year ended December 31, 2015, 3.3% for the Successor nine month period ended December 2014, 2.5% for the Predecessor three month period ended March 2014 and 3.7% for the Predecessor year ended December 2013. Our customers may delay, terminate or reduce the scope of our contracts for a variety of reasons beyond our control, including but not limited to:</w:t>
      </w:r>
    </w:p>
    <w:p>
      <w:pPr>
        <w:spacing w:after="0" w:line="104" w:lineRule="exact"/>
        <w:rPr>
          <w:sz w:val="20"/>
          <w:szCs w:val="20"/>
          <w:color w:val="auto"/>
        </w:rPr>
      </w:pPr>
    </w:p>
    <w:p>
      <w:pPr>
        <w:ind w:left="800" w:hanging="455"/>
        <w:spacing w:after="0"/>
        <w:tabs>
          <w:tab w:leader="none" w:pos="80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decisions to forego or terminate a particular clinical trial;</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lack of available financing, budgetary limits or changing priorities;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actions by regulatory authorities;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changes in law;</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production problems resulting in shortages of the drug being tested;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failure of the drug being tested to satisfy safety requirements or efficacy criteria;</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unexpected or undesired clinical results;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insufficient investigator recruitment or patient enrollment in a trial;</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decisions to downsize product development portfolios;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dissatisfaction with our performance, including the quality of data provided and our ability to meet agreed upon schedules;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shift of business to another CRO or internal resources;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product withdrawal following market launch; or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shut down of our customers’ manufacturing facilities.</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41"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Clinical trials can be costly and for the Successor year ended December 31, 2015, 55.7% and 29.3% of our net service revenue was derived from small biopharmaceutical companies and mid-sized biopharmaceutical companies, respectively, which may have limited access to capital. In addition, we provide services to our customers before they pay us for some of our services. There is a risk that we may initiate a clinical trial for a customer, and the customer subsequently becomes unwilling or unable to fund the completion of the trial. In such a situation, notwithstanding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49"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the customer’s ability or willingness to pay for or otherwise facilitate the completion of the trial, we may be legally or ethically bound to complete or wind down the trial at our own expense.</w:t>
      </w:r>
    </w:p>
    <w:p>
      <w:pPr>
        <w:spacing w:after="0" w:line="141"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service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backlog may not convert to net service revenue at our historical conversion rates.</w:t>
      </w:r>
    </w:p>
    <w:p>
      <w:pPr>
        <w:spacing w:after="0" w:line="3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Backlog represents anticipated future net service revenue from net new business awards that have not commenced or are currently in process but not complete. Reported backlog will fluctuate based on new business awards, changes in scope to existing contracts, cancellations, revenue recognition on existing contracts and foreign exchange adjustments from non-U.S. dollar denominated backlog. Our backlog as of June 30, 2016 and June 30, 2015 was approximately $465.7 and $400.6 million, respectively. Included within backlog as of June 30, 2016 is approximately $170.1 million to $175.1 million that we expect to convert to net service revenue in 2016, with the remainder expected to convert to net service revenue in years after 2016. Once work begins on a project, net service revenue is recognized over the duration of the project. Projects may be terminated or delayed by the customer or delayed by regulatory authorities for reasons beyond our control. To the extent projects are delayed, the timing of our net service revenue could be adversely affected. Moreover, in the event that a customer cancels a contract, we often would be entitled to receive payment for services provided up to the point of cancellation and for close-out activities for winding down the clinical trial, and reimbursement of all non-cancellable expenses. Typically, however, we have no contractual right to the full amount of the future net service revenue reflected in our backlog in the event of a contract cancellation or subsequent changes in scope that reduce the value of the contract. The duration of the projects included in our backlog, and the related net service revenue recognition, generally range from a few months to several years. Our backlog may not be indicative of our future net service revenue, and we may not realize all of the anticipated future net service revenue reflected in our backlog. A number of factors may affect the realization of our net service revenue from backlog, including:</w:t>
      </w:r>
    </w:p>
    <w:p>
      <w:pPr>
        <w:spacing w:after="0" w:line="112" w:lineRule="exact"/>
        <w:rPr>
          <w:sz w:val="20"/>
          <w:szCs w:val="20"/>
          <w:color w:val="auto"/>
        </w:rPr>
      </w:pPr>
    </w:p>
    <w:p>
      <w:pPr>
        <w:ind w:left="800" w:hanging="455"/>
        <w:spacing w:after="0"/>
        <w:tabs>
          <w:tab w:leader="none" w:pos="80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the size, complexity and duration of the projects;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the cancellation or delay of projects;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changes in the scope of work during the course of a project.</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service revenue over time, an increase in backlog at a particular point in time does not necessarily correspond directly to an increase in net service revenue during any particular period, or at all. The extent to which contracts in backlog will result in net service revenue depends on many factors, including, but not limited to, delivery against project schedules, scope changes, contract terminations and the nature, duration and complexity of the contracts, and can vary significantly over time.</w:t>
      </w:r>
    </w:p>
    <w:p>
      <w:pPr>
        <w:spacing w:after="0" w:line="13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As we increasingly compete for and enter into large contracts that are more global in nature, there can be no assurance about the rate at which our backlog will convert into net service revenue. A decrease in this conversion rate would mean that the rate of net service revenue recognized on contracts may be slower than what we have experienced in the past, which could impact our net service revenue and results of operations on a quarterly and annual basis. The revenue recognition on larger, more global 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 the necessary regulatory approvals. Additionally, delayed projects will remain in backlog and will not generate revenue at the rate originally expected. Thus, the relationship of backlog to realized revenues is indirect and may vary significantly over time.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Additionally, there has been a recent slowdown in funding in the biotechnology industry. If small and mid-sized biopharmaceutical companies become less able to access capital in the future, we may see a decrease in backlog conversion to net service revenue and net new business awards due to project delays or cancellations. These companies have contributed materially to our historical net service revenue. If they cannot commit the same or a greater level of capital to our services going forward, our results of operations may suffer.</w:t>
      </w:r>
    </w:p>
    <w:p>
      <w:pPr>
        <w:spacing w:after="0" w:line="43" w:lineRule="exact"/>
        <w:rPr>
          <w:sz w:val="20"/>
          <w:szCs w:val="20"/>
          <w:color w:val="auto"/>
        </w:rPr>
      </w:pPr>
    </w:p>
    <w:p>
      <w:pPr>
        <w:ind w:right="480"/>
        <w:spacing w:after="0" w:line="253" w:lineRule="auto"/>
        <w:rPr>
          <w:sz w:val="20"/>
          <w:szCs w:val="20"/>
          <w:color w:val="auto"/>
        </w:rPr>
      </w:pPr>
      <w:r>
        <w:rPr>
          <w:rFonts w:ascii="Arial" w:cs="Arial" w:eastAsia="Arial" w:hAnsi="Arial"/>
          <w:sz w:val="17"/>
          <w:szCs w:val="17"/>
          <w:b w:val="1"/>
          <w:bCs w:val="1"/>
          <w:i w:val="1"/>
          <w:iCs w:val="1"/>
          <w:color w:val="auto"/>
        </w:rPr>
        <w:t>Our operating results have historically fluctuated between fiscal quarters and years and may continue to fluctuate in the future, which may adversely affect the market price of our stock after this offering.</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operating results have fluctuated in previous quarters and years and may continue to vary significantly from quarter to quarter and year to year and are influenced by a variety of factors, such as:</w:t>
      </w:r>
    </w:p>
    <w:p>
      <w:pPr>
        <w:spacing w:after="0" w:line="180" w:lineRule="exact"/>
        <w:rPr>
          <w:sz w:val="20"/>
          <w:szCs w:val="20"/>
          <w:color w:val="auto"/>
        </w:rPr>
      </w:pPr>
    </w:p>
    <w:p>
      <w:pPr>
        <w:ind w:left="800" w:right="540" w:hanging="455"/>
        <w:spacing w:after="0" w:line="195" w:lineRule="auto"/>
        <w:tabs>
          <w:tab w:leader="none" w:pos="80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timing of contract amendments for changes in scope that could affect the value of a contract and potentially impact the amount of net new business awards and net service revenue from quarter to quarter;</w:t>
      </w:r>
    </w:p>
    <w:p>
      <w:pPr>
        <w:ind w:left="800" w:hanging="455"/>
        <w:spacing w:after="0" w:line="193" w:lineRule="auto"/>
        <w:tabs>
          <w:tab w:leader="none" w:pos="80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commencement, completion, execution, postponement or termination of large contracts;</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contract terms for the billing and recognition of revenue milestones;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progress of ongoing contracts and retention of customers;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timing of and charges associated with completion of acquisitions and other events;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changes in the mix of services delivered, both in terms of geography and type of services;</w:t>
      </w:r>
    </w:p>
    <w:p>
      <w:pPr>
        <w:spacing w:after="0" w:line="23" w:lineRule="exact"/>
        <w:rPr>
          <w:rFonts w:ascii="Arial" w:cs="Arial" w:eastAsia="Arial" w:hAnsi="Arial"/>
          <w:sz w:val="23"/>
          <w:szCs w:val="23"/>
          <w:color w:val="auto"/>
          <w:vertAlign w:val="superscript"/>
        </w:rPr>
      </w:pPr>
    </w:p>
    <w:p>
      <w:pPr>
        <w:ind w:left="800" w:right="160" w:hanging="455"/>
        <w:spacing w:after="0" w:line="195" w:lineRule="auto"/>
        <w:tabs>
          <w:tab w:leader="none" w:pos="80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customer disputes or other issues that may impact the revenue we are able to recognize or the collectability of our related accounts receivable; and</w:t>
      </w:r>
    </w:p>
    <w:p>
      <w:pPr>
        <w:ind w:left="800" w:hanging="455"/>
        <w:spacing w:after="0" w:line="193" w:lineRule="auto"/>
        <w:tabs>
          <w:tab w:leader="none" w:pos="80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exchange rate fluctuations.</w:t>
      </w:r>
    </w:p>
    <w:p>
      <w:pPr>
        <w:spacing w:after="0" w:line="1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margins could decrease due to increased pricing pressure or other pressures.</w:t>
      </w:r>
    </w:p>
    <w:p>
      <w:pPr>
        <w:spacing w:after="0" w:line="34"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our operating margins may decrease. In addition, we may adapt our operating model to achieve greater levels of growth or in response to investor demands. Such a change could result in lower operating margins.</w:t>
      </w:r>
    </w:p>
    <w:p>
      <w:pPr>
        <w:spacing w:after="0" w:line="4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Investigational New Drug Application, or IND, which must become effective before human clinical testing may begin. Further, an independent Institutional Review Board, or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Good Clinical Practice, or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 actions may include injunctions or failure of such regulatory authority to grant marketing approval of our customers’ products, imposition of clinical holds or delays, suspension or withdrawal of approvals, rejection of data collected in our clinical trials, license revocation, product seizures or recalls, operational restrictions, civil or criminal penalties or prosecutions, damages or fines. Customers may also bring claims against us for breach of our contractual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49"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obligations, and patients in the clinical trials and patients taking drugs approved on the basis of those trials may bring personal injury claims against us. Any such action could have a material adverse effect on our business, financial condition, results of operations, cash flows or reputation.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Such consequences could arise if, among other things, the following occur:</w:t>
      </w:r>
    </w:p>
    <w:p>
      <w:pPr>
        <w:spacing w:after="0" w:line="127"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i w:val="1"/>
          <w:iCs w:val="1"/>
          <w:color w:val="auto"/>
        </w:rPr>
        <w:t xml:space="preserve">Improper performance of our services. </w:t>
      </w:r>
      <w:r>
        <w:rPr>
          <w:rFonts w:ascii="Arial" w:cs="Arial" w:eastAsia="Arial" w:hAnsi="Arial"/>
          <w:sz w:val="17"/>
          <w:szCs w:val="17"/>
          <w:color w:val="auto"/>
        </w:rPr>
        <w:t>The performance of clinical development services is complex and time-consuming. For example, we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182" w:lineRule="exact"/>
        <w:rPr>
          <w:sz w:val="20"/>
          <w:szCs w:val="20"/>
          <w:color w:val="auto"/>
        </w:rPr>
      </w:pPr>
    </w:p>
    <w:p>
      <w:pPr>
        <w:ind w:left="800" w:right="540" w:hanging="455"/>
        <w:spacing w:after="0" w:line="195"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non-compliance generally could result in the termination of ongoing clinical trials or the disqualification of data for submission to regulatory authorities;</w:t>
      </w:r>
    </w:p>
    <w:p>
      <w:pPr>
        <w:spacing w:after="0" w:line="22" w:lineRule="exact"/>
        <w:rPr>
          <w:rFonts w:ascii="Arial" w:cs="Arial" w:eastAsia="Arial" w:hAnsi="Arial"/>
          <w:sz w:val="24"/>
          <w:szCs w:val="24"/>
          <w:color w:val="auto"/>
          <w:vertAlign w:val="superscript"/>
        </w:rPr>
      </w:pPr>
    </w:p>
    <w:p>
      <w:pPr>
        <w:ind w:left="800" w:right="580" w:hanging="455"/>
        <w:spacing w:after="0" w:line="203"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spacing w:after="0" w:line="2" w:lineRule="exact"/>
        <w:rPr>
          <w:rFonts w:ascii="Arial" w:cs="Arial" w:eastAsia="Arial" w:hAnsi="Arial"/>
          <w:sz w:val="24"/>
          <w:szCs w:val="24"/>
          <w:color w:val="auto"/>
          <w:vertAlign w:val="superscript"/>
        </w:rPr>
      </w:pPr>
    </w:p>
    <w:p>
      <w:pPr>
        <w:ind w:left="800" w:hanging="455"/>
        <w:spacing w:after="0" w:line="193"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breach of a contractual term could result in liability for damages or termination of the contract.</w:t>
      </w:r>
    </w:p>
    <w:p>
      <w:pPr>
        <w:spacing w:after="0" w:line="141" w:lineRule="exact"/>
        <w:rPr>
          <w:sz w:val="20"/>
          <w:szCs w:val="20"/>
          <w:color w:val="auto"/>
        </w:rPr>
      </w:pPr>
    </w:p>
    <w:p>
      <w:pPr>
        <w:jc w:val="both"/>
        <w:ind w:right="40"/>
        <w:spacing w:after="0" w:line="230" w:lineRule="auto"/>
        <w:rPr>
          <w:sz w:val="20"/>
          <w:szCs w:val="20"/>
          <w:color w:val="auto"/>
        </w:rPr>
      </w:pPr>
      <w:r>
        <w:rPr>
          <w:rFonts w:ascii="Arial" w:cs="Arial" w:eastAsia="Arial" w:hAnsi="Arial"/>
          <w:sz w:val="17"/>
          <w:szCs w:val="17"/>
          <w:color w:val="auto"/>
        </w:rPr>
        <w:t>The services we provide in connection with large clinical trials can cost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23"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i w:val="1"/>
          <w:iCs w:val="1"/>
          <w:color w:val="auto"/>
        </w:rPr>
        <w:t>Investigation of customers</w:t>
      </w:r>
      <w:r>
        <w:rPr>
          <w:rFonts w:ascii="Arial" w:cs="Arial" w:eastAsia="Arial" w:hAnsi="Arial"/>
          <w:sz w:val="17"/>
          <w:szCs w:val="17"/>
          <w:color w:val="auto"/>
        </w:rPr>
        <w:t>. From time to time, one or more of our customers are investigated by regulatory authorities or enforcement agencies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23"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i w:val="1"/>
          <w:iCs w:val="1"/>
          <w:color w:val="auto"/>
        </w:rPr>
        <w:t xml:space="preserve">Insufficient customer funding to complete a clinical trial. </w:t>
      </w:r>
      <w:r>
        <w:rPr>
          <w:rFonts w:ascii="Arial" w:cs="Arial" w:eastAsia="Arial" w:hAnsi="Arial"/>
          <w:sz w:val="17"/>
          <w:szCs w:val="17"/>
          <w:color w:val="auto"/>
        </w:rPr>
        <w:t>As noted above, clinical trials can cost tens of millions of dollars. There is a risk that we may initiate</w:t>
      </w:r>
      <w:r>
        <w:rPr>
          <w:rFonts w:ascii="Arial" w:cs="Arial" w:eastAsia="Arial" w:hAnsi="Arial"/>
          <w:sz w:val="17"/>
          <w:szCs w:val="17"/>
          <w:i w:val="1"/>
          <w:iCs w:val="1"/>
          <w:color w:val="auto"/>
        </w:rPr>
        <w:t xml:space="preserve"> </w:t>
      </w:r>
      <w:r>
        <w:rPr>
          <w:rFonts w:ascii="Arial" w:cs="Arial" w:eastAsia="Arial" w:hAnsi="Arial"/>
          <w:sz w:val="17"/>
          <w:szCs w:val="17"/>
          <w:color w:val="auto"/>
        </w:rPr>
        <w:t>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25"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 xml:space="preserve">Interactive voice/web response service malfunction. </w:t>
      </w:r>
      <w:r>
        <w:rPr>
          <w:rFonts w:ascii="Arial" w:cs="Arial" w:eastAsia="Arial" w:hAnsi="Arial"/>
          <w:sz w:val="17"/>
          <w:szCs w:val="17"/>
          <w:color w:val="auto"/>
        </w:rPr>
        <w:t>We develop and maintain our own, and also use third-parties to run, interactive voice/web 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 liability claims against us. Furthermore, negative publicity associated with such a malfunction could have an adverse effect on our business and reputation. Additionally, errors in randomization may require us to repeat the trial at no further cost to our customer, but at a substantial cost to us.</w:t>
      </w:r>
    </w:p>
    <w:p>
      <w:pPr>
        <w:spacing w:after="0" w:line="141" w:lineRule="exact"/>
        <w:rPr>
          <w:sz w:val="20"/>
          <w:szCs w:val="20"/>
          <w:color w:val="auto"/>
        </w:rPr>
      </w:pPr>
    </w:p>
    <w:p>
      <w:pPr>
        <w:ind w:right="260"/>
        <w:spacing w:after="0" w:line="231" w:lineRule="auto"/>
        <w:rPr>
          <w:sz w:val="20"/>
          <w:szCs w:val="20"/>
          <w:color w:val="auto"/>
        </w:rPr>
      </w:pPr>
      <w:r>
        <w:rPr>
          <w:rFonts w:ascii="Arial" w:cs="Arial" w:eastAsia="Arial" w:hAnsi="Arial"/>
          <w:sz w:val="17"/>
          <w:szCs w:val="17"/>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spacing w:after="0" w:line="1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The majority of our Phase I–IV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 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execute our growth strategies, our results of operations or financial condition could be adversely affected.</w:t>
      </w:r>
    </w:p>
    <w:p>
      <w:pPr>
        <w:spacing w:after="0" w:line="47"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Our key growth strategies include: continued organic growth, continued maintenance of industry-leading margins (compared to our public competitors), increasing capture of the high-growth clinical development market, deepening existing and developing new relationships with our core customer segment, pursuing selective and complementary bolt-on acquisitions and increasing our capture of the large pharmaceutical company market.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pursue complementary and non-transformative acquisitions or attract additional large pharmaceutical company customers, our future business, reputation, results of operations and financial condition could be adversely affected. For more information on our growth strategies see “Business—Our Growth Strategy.”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the services of key personnel or are unable to recruit experienced personnel, our business could be adversely affected.</w:t>
      </w:r>
    </w:p>
    <w:p>
      <w:pPr>
        <w:spacing w:after="0" w:line="47"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Our success substantially depends on the collective performance, contributions and expertise of our senior management team, including Dr. August J. Troendle, our Chief Executive Officer and founder, and other key personnel including qualified management, professional, scientific and technical operating staff. There is significant competition for qualified personnel in the biopharmaceutical services industry, particularly for those with higher educational degrees, such as a medical or nursing degree, a Doctor of Philosophy, or Ph.D., or an equivalent degree, and our industry generally tends to experience relatively high levels of 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1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 increasingly be exposed to the risks inherent in the development, integration and ongoing operation of evolving information systems, including:</w:t>
      </w:r>
    </w:p>
    <w:p>
      <w:pPr>
        <w:spacing w:after="0" w:line="104" w:lineRule="exact"/>
        <w:rPr>
          <w:sz w:val="20"/>
          <w:szCs w:val="20"/>
          <w:color w:val="auto"/>
        </w:rPr>
      </w:pPr>
    </w:p>
    <w:p>
      <w:pPr>
        <w:ind w:left="800" w:hanging="455"/>
        <w:spacing w:after="0"/>
        <w:tabs>
          <w:tab w:leader="none" w:pos="80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disruption, impairment or failure of data centers, telecommunications facilities or other key infrastructure platforms;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security breaches of, cyberattacks on and other failures or malfunctions in our critical application systems or their associated hardware;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excessive costs, excessive delays or other deficiencies in systems development and deployment.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security breaches and similar events at our facilities or at those of our third party provider that backs up our data centers could result in interruptions in the flow of data to our servers and from our servers to our customers. 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 and harm our business. Our operations also may suffer if we are unable to effectively manage the implementation of and adapt to new technology systems. Any such shortcoming may require us to make substantial further investments in our IT platform, which could adversely affect our financial results. Finally, long-term disruptions in the infrastructure caused by events such as natural disasters, the outbreak of war, the escalation of hostilities and acts of terrorism, particularly involving cities in which we have offices, could adversely affect our business. As our business continues to expand globally, these types of risks may be further increased by instability in the geopolitical climate of certain regions, underdeveloped and less stable utilities and communications infrastructure and other local and regional factors. Although we carry property and business interruption insurance, our coverage might not be adequate to compensate us for all losses that may occur.</w:t>
      </w:r>
    </w:p>
    <w:p>
      <w:pPr>
        <w:spacing w:after="0" w:line="145"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Unauthorized disclosure of sensitive or confidential data, whether through system failure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if we are unable to manage our growth effectively.</w:t>
      </w:r>
    </w:p>
    <w:p>
      <w:pPr>
        <w:spacing w:after="0" w:line="47"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We believe that sustained growth places a strain on operational, human and financial resources. To manage our growth, we must continue to improve our operating and administrative systems and to attract and retain qualified management, professional, scientific and technical operating personnel. We believe that maintaining and enhancing both our systems and personnel at reasonable cost are instrumental to our success. We cannot assure you that we will be able to enhance our current technology or obtain new technology that will enable our systems to keep pace with developments and the needs of our customers.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3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Our customer or therapeutic area concentration may have a material adverse effect on our business, financial condition, results of operations or cash flows.</w:t>
      </w:r>
    </w:p>
    <w:p>
      <w:pPr>
        <w:spacing w:after="0" w:line="1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Although we did not have any customer that represented 10% or more of our net service revenue during the Successor six months ended June 30, 2016 or the Successor year ended December 31, 2015, we derive a significant portion of our revenues from a limited number of large customers. For the Successor six months ended June 30, 2016, we derived 38.2% and 6.3% of our net service revenue from our top 10 customers and our largest customer, respectively. For the Successor year ended December 31, 2015, we derived 39.9% and 6.9% of our net service revenue from our top 10 customers and our largest customer, respectively. For more information about our largest customer, see “Certain Relationships and Related Person Transactions—Service Agreements.” In addition, approximately 44.6% and 7.8% of our backlog, as of June 30, 2016, was concentrated among our top 10 customers and our largest customer by backlog concentration, respectively. Moreover, 4.0% of our backlog, as of June 30, 2016, was concentrated with our largest customer by net service revenue.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w:t>
      </w:r>
    </w:p>
    <w:p>
      <w:pPr>
        <w:spacing w:after="0" w:line="14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b w:val="1"/>
          <w:bCs w:val="1"/>
          <w:i w:val="1"/>
          <w:iCs w:val="1"/>
          <w:color w:val="auto"/>
        </w:rPr>
        <w:t>Our business is subject to international economic, political and other risks that could negatively affect our results of operations and financial condition.</w:t>
      </w:r>
    </w:p>
    <w:p>
      <w:pPr>
        <w:spacing w:after="0" w:line="11"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We have significant operations in foreign countries, including, but not limited to, countries in Europe, Latin America, Asia, the Middle East and Africa, that may require complex arrangements to deliver services on global contracts for our customers. As of June 30, 2016 and December 31, 2015, approximately 34% of our workforce was located outside of North America, and for the Successor six months ended June 30, 2016 and the Successor year ended December 31, 2015, 9.2% and 8.4% of our revenue was denominated in currencies other than the U.S. dollar, respectively. As a result, we are subject to heightened risks inherent in conducting business internationally, including the following:</w:t>
      </w:r>
    </w:p>
    <w:p>
      <w:pPr>
        <w:spacing w:after="0" w:line="180" w:lineRule="exact"/>
        <w:rPr>
          <w:sz w:val="20"/>
          <w:szCs w:val="20"/>
          <w:color w:val="auto"/>
        </w:rPr>
      </w:pPr>
    </w:p>
    <w:p>
      <w:pPr>
        <w:ind w:left="800" w:right="60" w:hanging="455"/>
        <w:spacing w:after="0" w:line="203" w:lineRule="auto"/>
        <w:tabs>
          <w:tab w:leader="none" w:pos="80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conducting a single trial across multiple countries is complex, and issues in one country, such as a failure to comply with local regulations or restrictions, may affect the progress of the trial in the other countries, for example, by limiting the amount of data necessary for a trial to proceed, resulting in delays or potential cancellation of contracts, which in turn may result in loss of revenue;</w:t>
      </w:r>
    </w:p>
    <w:p>
      <w:pPr>
        <w:spacing w:after="0" w:line="25" w:lineRule="exact"/>
        <w:rPr>
          <w:rFonts w:ascii="Arial" w:cs="Arial" w:eastAsia="Arial" w:hAnsi="Arial"/>
          <w:sz w:val="24"/>
          <w:szCs w:val="24"/>
          <w:color w:val="auto"/>
          <w:vertAlign w:val="superscript"/>
        </w:rPr>
      </w:pPr>
    </w:p>
    <w:p>
      <w:pPr>
        <w:ind w:left="800" w:right="120" w:hanging="455"/>
        <w:spacing w:after="0" w:line="20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22" w:lineRule="exact"/>
        <w:rPr>
          <w:rFonts w:ascii="Arial" w:cs="Arial" w:eastAsia="Arial" w:hAnsi="Arial"/>
          <w:sz w:val="23"/>
          <w:szCs w:val="23"/>
          <w:color w:val="auto"/>
          <w:vertAlign w:val="superscript"/>
        </w:rPr>
      </w:pPr>
    </w:p>
    <w:p>
      <w:pPr>
        <w:ind w:left="800" w:right="140" w:hanging="455"/>
        <w:spacing w:after="0" w:line="195" w:lineRule="auto"/>
        <w:tabs>
          <w:tab w:leader="none" w:pos="80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49"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800" w:right="160" w:hanging="455"/>
        <w:spacing w:after="0" w:line="203"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25" w:lineRule="exact"/>
        <w:rPr>
          <w:rFonts w:ascii="Arial" w:cs="Arial" w:eastAsia="Arial" w:hAnsi="Arial"/>
          <w:sz w:val="24"/>
          <w:szCs w:val="24"/>
          <w:color w:val="auto"/>
          <w:vertAlign w:val="superscript"/>
        </w:rPr>
      </w:pPr>
    </w:p>
    <w:p>
      <w:pPr>
        <w:ind w:left="800" w:right="420" w:hanging="455"/>
        <w:spacing w:after="0" w:line="203"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spacing w:after="0" w:line="25" w:lineRule="exact"/>
        <w:rPr>
          <w:rFonts w:ascii="Arial" w:cs="Arial" w:eastAsia="Arial" w:hAnsi="Arial"/>
          <w:sz w:val="24"/>
          <w:szCs w:val="24"/>
          <w:color w:val="auto"/>
          <w:vertAlign w:val="superscript"/>
        </w:rPr>
      </w:pPr>
    </w:p>
    <w:p>
      <w:pPr>
        <w:ind w:left="800" w:hanging="455"/>
        <w:spacing w:after="0" w:line="195"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the regulatory or judicial authorities of foreign countries may not enforce legal rights and recognize business procedures in a manner to which we are accustomed or would reasonably expect;</w:t>
      </w:r>
    </w:p>
    <w:p>
      <w:pPr>
        <w:spacing w:after="0" w:line="22" w:lineRule="exact"/>
        <w:rPr>
          <w:rFonts w:ascii="Arial" w:cs="Arial" w:eastAsia="Arial" w:hAnsi="Arial"/>
          <w:sz w:val="24"/>
          <w:szCs w:val="24"/>
          <w:color w:val="auto"/>
          <w:vertAlign w:val="superscript"/>
        </w:rPr>
      </w:pPr>
    </w:p>
    <w:p>
      <w:pPr>
        <w:ind w:left="800" w:right="240" w:hanging="455"/>
        <w:spacing w:after="0" w:line="195"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we may have difficulty complying with a variety of laws and regulations in foreign countries, some of which may conflict with laws in the United States;</w:t>
      </w:r>
    </w:p>
    <w:p>
      <w:pPr>
        <w:spacing w:after="0" w:line="22" w:lineRule="exact"/>
        <w:rPr>
          <w:rFonts w:ascii="Arial" w:cs="Arial" w:eastAsia="Arial" w:hAnsi="Arial"/>
          <w:sz w:val="24"/>
          <w:szCs w:val="24"/>
          <w:color w:val="auto"/>
          <w:vertAlign w:val="superscript"/>
        </w:rPr>
      </w:pPr>
    </w:p>
    <w:p>
      <w:pPr>
        <w:ind w:left="800" w:right="400" w:hanging="455"/>
        <w:spacing w:after="0" w:line="203"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potential violations of existing or newly adopted local laws or anti-bribery laws, such as the United States Foreign Corrupt Practices Act, or FCPA, and the UK Bribery Act of 2010, may cause a material adverse effect on our business, financial condition, results of operations, cash flows or reputation;</w:t>
      </w:r>
    </w:p>
    <w:p>
      <w:pPr>
        <w:spacing w:after="0" w:line="25" w:lineRule="exact"/>
        <w:rPr>
          <w:rFonts w:ascii="Arial" w:cs="Arial" w:eastAsia="Arial" w:hAnsi="Arial"/>
          <w:sz w:val="24"/>
          <w:szCs w:val="24"/>
          <w:color w:val="auto"/>
          <w:vertAlign w:val="superscript"/>
        </w:rPr>
      </w:pPr>
    </w:p>
    <w:p>
      <w:pPr>
        <w:ind w:left="800" w:right="140" w:hanging="455"/>
        <w:spacing w:after="0" w:line="195"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changes in political and economic conditions, including inflation, may lead to changes in the business environment in which we operate, as well as changes in foreign currency exchange rates;</w:t>
      </w:r>
    </w:p>
    <w:p>
      <w:pPr>
        <w:spacing w:after="0" w:line="22" w:lineRule="exact"/>
        <w:rPr>
          <w:rFonts w:ascii="Arial" w:cs="Arial" w:eastAsia="Arial" w:hAnsi="Arial"/>
          <w:sz w:val="24"/>
          <w:szCs w:val="24"/>
          <w:color w:val="auto"/>
          <w:vertAlign w:val="superscript"/>
        </w:rPr>
      </w:pPr>
    </w:p>
    <w:p>
      <w:pPr>
        <w:ind w:left="800" w:right="200" w:hanging="455"/>
        <w:spacing w:after="0" w:line="195"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foreign governments may enact currency exchange controls that may limit the ability to fund our operations or significantly increase the cost of maintaining operations;</w:t>
      </w:r>
    </w:p>
    <w:p>
      <w:pPr>
        <w:ind w:left="800" w:hanging="455"/>
        <w:spacing w:after="0" w:line="202"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customers in foreign jurisdictions may have longer payment cycles, and it may be more difficult to collect receivables in foreign jurisdictions; and</w:t>
      </w:r>
    </w:p>
    <w:p>
      <w:pPr>
        <w:spacing w:after="0" w:line="22" w:lineRule="exact"/>
        <w:rPr>
          <w:rFonts w:ascii="Arial" w:cs="Arial" w:eastAsia="Arial" w:hAnsi="Arial"/>
          <w:sz w:val="23"/>
          <w:szCs w:val="23"/>
          <w:color w:val="auto"/>
          <w:vertAlign w:val="superscript"/>
        </w:rPr>
      </w:pPr>
    </w:p>
    <w:p>
      <w:pPr>
        <w:ind w:left="800" w:right="480" w:hanging="455"/>
        <w:spacing w:after="0" w:line="195" w:lineRule="auto"/>
        <w:tabs>
          <w:tab w:leader="none" w:pos="8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natural disasters, pandemics or international conflict, including terrorist acts, could interrupt our services, endanger our personnel or cause project delays or loss of trial materials or results.</w:t>
      </w:r>
    </w:p>
    <w:p>
      <w:pPr>
        <w:spacing w:after="0" w:line="141"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or reputation.</w:t>
      </w:r>
    </w:p>
    <w:p>
      <w:pPr>
        <w:spacing w:after="0" w:line="41" w:lineRule="exact"/>
        <w:rPr>
          <w:sz w:val="20"/>
          <w:szCs w:val="20"/>
          <w:color w:val="auto"/>
        </w:rPr>
      </w:pPr>
    </w:p>
    <w:p>
      <w:pPr>
        <w:ind w:right="580"/>
        <w:spacing w:after="0" w:line="269" w:lineRule="auto"/>
        <w:rPr>
          <w:sz w:val="20"/>
          <w:szCs w:val="20"/>
          <w:color w:val="auto"/>
        </w:rPr>
      </w:pPr>
      <w:r>
        <w:rPr>
          <w:rFonts w:ascii="Arial" w:cs="Arial" w:eastAsia="Arial" w:hAnsi="Arial"/>
          <w:sz w:val="16"/>
          <w:szCs w:val="16"/>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ind w:right="60"/>
        <w:spacing w:after="0"/>
        <w:rPr>
          <w:sz w:val="20"/>
          <w:szCs w:val="20"/>
          <w:color w:val="auto"/>
        </w:rPr>
      </w:pPr>
      <w:r>
        <w:rPr>
          <w:rFonts w:ascii="Arial" w:cs="Arial" w:eastAsia="Arial" w:hAnsi="Arial"/>
          <w:sz w:val="16"/>
          <w:szCs w:val="16"/>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 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 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 affect our business,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449"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financial condition and results of operations. In addition, the U.S. or other governments may seek to hold us liable for successor liability FCPA violations or violations of other anti-corruption laws committed by companies in which we invest or that we acquired or will acquire.</w:t>
      </w:r>
    </w:p>
    <w:p>
      <w:pPr>
        <w:spacing w:after="0" w:line="42"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b w:val="1"/>
          <w:bCs w:val="1"/>
          <w:i w:val="1"/>
          <w:iCs w:val="1"/>
          <w:color w:val="auto"/>
        </w:rPr>
        <w:t>In the past, we have had net losses and we may report net losses in the future, which could negatively impact our ability to achieve or sustain profitability.</w:t>
      </w:r>
    </w:p>
    <w:p>
      <w:pPr>
        <w:spacing w:after="0" w:line="1" w:lineRule="exact"/>
        <w:rPr>
          <w:sz w:val="20"/>
          <w:szCs w:val="20"/>
          <w:color w:val="auto"/>
        </w:rPr>
      </w:pPr>
    </w:p>
    <w:p>
      <w:pPr>
        <w:ind w:right="260"/>
        <w:spacing w:after="0" w:line="229" w:lineRule="auto"/>
        <w:rPr>
          <w:sz w:val="20"/>
          <w:szCs w:val="20"/>
          <w:color w:val="auto"/>
        </w:rPr>
      </w:pPr>
      <w:r>
        <w:rPr>
          <w:rFonts w:ascii="Arial" w:cs="Arial" w:eastAsia="Arial" w:hAnsi="Arial"/>
          <w:sz w:val="17"/>
          <w:szCs w:val="17"/>
          <w:color w:val="auto"/>
        </w:rPr>
        <w:t>In the past, we have had net losses and we cannot assure you that we will achieve or sustain profitability on a quarterly or annual basis in the future. For the Successor six months ended June 30, 2016 and June 30, 2015, the Successor year ended December 31, 2015, the Successor nine month period ended December 31, 2014, the Predecessor three month period ended March 31, 2014 and the Predecessor year ended December 31, 2013 our net income (loss) was $8.4 million, less than $0.1 million, $(8.7) million, $(14.3) million, $(1.2) million and $24.8 million, respectively. If we cannot reach or maintain profitability, the value of our stock price may be impacted.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effective income tax rate may fluctuate, which may adversely affect our operations, earnings and earnings per share.</w:t>
      </w:r>
    </w:p>
    <w:p>
      <w:pPr>
        <w:spacing w:after="0" w:line="34"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affect our effective income tax rate include, but are not limited to:</w:t>
      </w:r>
    </w:p>
    <w:p>
      <w:pPr>
        <w:spacing w:after="0" w:line="184" w:lineRule="exact"/>
        <w:rPr>
          <w:sz w:val="20"/>
          <w:szCs w:val="20"/>
          <w:color w:val="auto"/>
        </w:rPr>
      </w:pPr>
    </w:p>
    <w:p>
      <w:pPr>
        <w:ind w:left="800" w:right="80" w:hanging="455"/>
        <w:spacing w:after="0" w:line="195" w:lineRule="auto"/>
        <w:tabs>
          <w:tab w:leader="none" w:pos="80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the requirement to exclude from our quarterly worldwide effective income tax calculations losses in jurisdictions where no income tax benefit can be recognized;</w:t>
      </w:r>
    </w:p>
    <w:p>
      <w:pPr>
        <w:ind w:left="800" w:hanging="455"/>
        <w:spacing w:after="0" w:line="202" w:lineRule="auto"/>
        <w:tabs>
          <w:tab w:leader="none" w:pos="80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actual and projected full year pre-tax income, including differences between actual and anticipated income before taxes in various jurisdictions;</w:t>
      </w:r>
    </w:p>
    <w:p>
      <w:pPr>
        <w:spacing w:after="0" w:line="22"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changes in tax laws, or in the interpretation or application of tax laws, in various taxing jurisdictions;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audits or other challenges by taxing authorities;</w:t>
      </w:r>
    </w:p>
    <w:p>
      <w:pPr>
        <w:spacing w:after="0" w:line="23" w:lineRule="exact"/>
        <w:rPr>
          <w:rFonts w:ascii="Arial" w:cs="Arial" w:eastAsia="Arial" w:hAnsi="Arial"/>
          <w:sz w:val="23"/>
          <w:szCs w:val="23"/>
          <w:color w:val="auto"/>
          <w:vertAlign w:val="superscript"/>
        </w:rPr>
      </w:pPr>
    </w:p>
    <w:p>
      <w:pPr>
        <w:ind w:left="800" w:right="40" w:hanging="455"/>
        <w:spacing w:after="0" w:line="195" w:lineRule="auto"/>
        <w:tabs>
          <w:tab w:leader="none" w:pos="80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the establishment of valuation allowances against a portion or all of certain deferred income tax assets if we determined that it is more likely than not that future income tax benefits will not be realized; and</w:t>
      </w:r>
    </w:p>
    <w:p>
      <w:pPr>
        <w:ind w:left="800" w:hanging="455"/>
        <w:spacing w:after="0" w:line="193" w:lineRule="auto"/>
        <w:tabs>
          <w:tab w:leader="none" w:pos="80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changes in the relative mix and size of clinical trials and staffing levels in various tax jurisdictions.</w:t>
      </w:r>
    </w:p>
    <w:p>
      <w:pPr>
        <w:spacing w:after="0" w:line="141"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These changes may cause fluctuations in our effective income tax rate that could adversely affect our results of operations and cause fluctuations in our earnings and earnings per share.</w:t>
      </w:r>
    </w:p>
    <w:p>
      <w:pPr>
        <w:spacing w:after="0" w:line="42"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As a U.S. company doing business in international markets through subsidiaries, we are subject to foreign tax and intercompany pricing laws, including those relating to the flow of funds between the parent and subsidiaries. Tax authorities in the United States and in foreign markets closely monitor our corporate structure and how we account for intercompany fund transfers. If tax authorities challenge our corporate structure, transfer pricing mechanisms or intercompany transfers, our operations may be negatively impacted and our effective tax rate may increase. Tax rates vary from country to country and if regulators determine that our profits in one jurisdiction should be increased, we might not be able to fully utilize all foreign tax credits that are generated, which would increase our effective tax rate. Additionally, the Organization for Economic Cooperation and Development, or OECD, has issued certain proposed guidelines regarding base erosion and profit sharing. Once these guidelines are formally adopted by the OECD, it is possible that separate taxing jurisdictions may also adopt some form of these guidelines. In such case, we may need to change our approach to intercompany transfer pricing in order to maintain compliance under the new rules. Our effective tax rate may increase or decrease depending on the current location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400"/>
        <w:spacing w:after="0" w:line="255" w:lineRule="auto"/>
        <w:rPr>
          <w:sz w:val="20"/>
          <w:szCs w:val="20"/>
          <w:color w:val="auto"/>
        </w:rPr>
      </w:pPr>
      <w:r>
        <w:rPr>
          <w:rFonts w:ascii="Arial" w:cs="Arial" w:eastAsia="Arial" w:hAnsi="Arial"/>
          <w:sz w:val="17"/>
          <w:szCs w:val="17"/>
          <w:b w:val="1"/>
          <w:bCs w:val="1"/>
          <w:i w:val="1"/>
          <w:iCs w:val="1"/>
          <w:color w:val="auto"/>
        </w:rPr>
        <w:t>If we are unable to recruit suitable investigators and enroll patients for our customers’ clinical trials, our clinical development business may suffer.</w:t>
      </w:r>
    </w:p>
    <w:p>
      <w:pPr>
        <w:spacing w:after="0" w:line="11"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which may result in additional costs to us. These considerations might result in our being unable to successfully achieve our projected development timelines, or potentially even lead to the termination of ongoing clinical trials or development of a product.</w:t>
      </w:r>
    </w:p>
    <w:p>
      <w:pPr>
        <w:spacing w:after="0" w:line="30"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b w:val="1"/>
          <w:bCs w:val="1"/>
          <w:i w:val="1"/>
          <w:iCs w:val="1"/>
          <w:color w:val="auto"/>
        </w:rPr>
        <w:t>Our research and development services could subject us to potential liability that may adversely affect our results of operations and financial condition.</w:t>
      </w:r>
    </w:p>
    <w:p>
      <w:pPr>
        <w:spacing w:after="0" w:line="1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40"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We also contract with institutions and physicians to serve as investigators in conducting clinical trials. Investigators are typically located at hospitals, clinics or other sites and supervise the administration of the investigational products to patients during the course of a clinical trial.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3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1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 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49"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cover all of our indemnification obligations and other liabilities associated with our operations.</w:t>
      </w:r>
    </w:p>
    <w:p>
      <w:pPr>
        <w:spacing w:after="0" w:line="47"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have a material adverse effect on our business, financial condition, results of operations or cash flows.</w:t>
      </w:r>
    </w:p>
    <w:p>
      <w:pPr>
        <w:spacing w:after="0" w:line="4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For the Successor six months ended June 30, 2016 and the Successor year ended December 31, 2015, approximately 9.2% and 8.4% of our revenue was denominated in currencies other than U.S. dollars, respectively, and 24.5% and 24.9% of our operational costs, including, but not limited to, salaries, wages and other employee benefits were denominated in foreign currencies, respectively. Of these exposures, 91.4% and 94.9% of our revenue denominated in foreign currencies, respectively, and 46.0% and 46.8% of our operational costs denominated in foreign currencies, respectively, were Euro denominated. Because a large portion of our net service revenue and expenses are denominated in currencies other than the U.S. dollar and our financial statements are reported in U.S. dollars, changes in foreign currency exchange rates could significantly affect our financial condition, results of operations and cash flows.</w:t>
      </w:r>
    </w:p>
    <w:p>
      <w:pPr>
        <w:spacing w:after="0" w:line="139" w:lineRule="exact"/>
        <w:rPr>
          <w:sz w:val="20"/>
          <w:szCs w:val="20"/>
          <w:color w:val="auto"/>
        </w:rPr>
      </w:pPr>
    </w:p>
    <w:p>
      <w:pPr>
        <w:jc w:val="both"/>
        <w:ind w:right="240"/>
        <w:spacing w:after="0" w:line="231" w:lineRule="auto"/>
        <w:rPr>
          <w:sz w:val="20"/>
          <w:szCs w:val="20"/>
          <w:color w:val="auto"/>
        </w:rPr>
      </w:pPr>
      <w:r>
        <w:rPr>
          <w:rFonts w:ascii="Arial" w:cs="Arial" w:eastAsia="Arial" w:hAnsi="Arial"/>
          <w:sz w:val="17"/>
          <w:szCs w:val="17"/>
          <w:color w:val="auto"/>
        </w:rPr>
        <w:t>The revenue and expenses of our foreign operations are generally denominated in local currencies and translated into U.S. dollars for financial reporting purposes. Accordingly, exchange rate fluctuations will affect the translation of foreign results into U.S. dollars for purposes of reporting our consolidated results.</w:t>
      </w:r>
    </w:p>
    <w:p>
      <w:pPr>
        <w:spacing w:after="0" w:line="143" w:lineRule="exact"/>
        <w:rPr>
          <w:sz w:val="20"/>
          <w:szCs w:val="20"/>
          <w:color w:val="auto"/>
        </w:rPr>
      </w:pPr>
    </w:p>
    <w:p>
      <w:pPr>
        <w:ind w:right="600"/>
        <w:spacing w:after="0" w:line="231" w:lineRule="auto"/>
        <w:rPr>
          <w:sz w:val="20"/>
          <w:szCs w:val="20"/>
          <w:color w:val="auto"/>
        </w:rPr>
      </w:pPr>
      <w:r>
        <w:rPr>
          <w:rFonts w:ascii="Arial" w:cs="Arial" w:eastAsia="Arial" w:hAnsi="Arial"/>
          <w:sz w:val="17"/>
          <w:szCs w:val="17"/>
          <w:color w:val="auto"/>
        </w:rPr>
        <w:t>We are subject to foreign currency transaction risk for fluctuations in exchange rates during the period of time between the consummation and cash settlement of a transaction. We earn revenue from our service contracts over a period of several months and, in some cases, over several years. Accordingly, exchange rate fluctuations during such periods may affect our profitability with respect to such contracts.</w:t>
      </w:r>
    </w:p>
    <w:p>
      <w:pPr>
        <w:spacing w:after="0" w:line="143"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Additionally, the majority of our global contracts are denominated in U.S. dollars or Euros, while the currency used to fund our operating costs in foreign countries is denominated in various different currencies. Fluctuations in the exchange rates of the currencies we use to contract with our customers and the currencies in which we incur cost to complete those contracts can have a significant impact on our results of operations.</w:t>
      </w:r>
    </w:p>
    <w:p>
      <w:pPr>
        <w:spacing w:after="0" w:line="143" w:lineRule="exact"/>
        <w:rPr>
          <w:sz w:val="20"/>
          <w:szCs w:val="20"/>
          <w:color w:val="auto"/>
        </w:rPr>
      </w:pPr>
    </w:p>
    <w:p>
      <w:pPr>
        <w:ind w:right="320"/>
        <w:spacing w:after="0" w:line="231" w:lineRule="auto"/>
        <w:rPr>
          <w:sz w:val="20"/>
          <w:szCs w:val="20"/>
          <w:color w:val="auto"/>
        </w:rPr>
      </w:pPr>
      <w:r>
        <w:rPr>
          <w:rFonts w:ascii="Arial" w:cs="Arial" w:eastAsia="Arial" w:hAnsi="Arial"/>
          <w:sz w:val="17"/>
          <w:szCs w:val="17"/>
          <w:color w:val="auto"/>
        </w:rPr>
        <w:t>We may limit these risks through exchange rate fluctuation provisions stated in our service contracts. We have not, however, mitigated all of our foreign currency transaction risk, and we may experience fluctuations in financial results from our operations outside the United States and foreign currency transaction risk associated with our service contracts.</w:t>
      </w:r>
    </w:p>
    <w:p>
      <w:pPr>
        <w:spacing w:after="0" w:line="31"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biopharmaceutical industry is highly competitive, with companies each seeking to persuade payors, providers and patients that their drug therapies are more cost-effective than competing therapies marketed or being developed by competing firms. In addition to the adverse competitive interests that biopharmaceutical companies have with each other, these companies also have adverse interests with respect to drug selection, coverage and reimbursement with other participants in the healthcare industry, including payors and providers. Biopharmaceutical companies also compete to be first to the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deter other biopharmaceutical customers from using our services or, in certain instances, may result in our customers seeking to place limits on our ability to serve their competitors and other industry participants. In addition, our further expansion into the broader healthcare market may adversely impact our relationships with biopharmaceutical customers, and such customers may elect not to use our services, reduce the scope of services that we provide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449" w:right="2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them or seek to place restrictions on our ability to serve customers in the broader healthcare market with interests that are adverse to theirs. Any loss of customers or reductions in the level of revenues from a customer could have a material adverse effect on our business, financial condition, results of operations or cash flows.</w:t>
      </w:r>
    </w:p>
    <w:p>
      <w:pPr>
        <w:spacing w:after="0" w:line="4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b w:val="1"/>
          <w:bCs w:val="1"/>
          <w:i w:val="1"/>
          <w:iCs w:val="1"/>
          <w:color w:val="auto"/>
        </w:rPr>
        <w:t>If we are unable to successfully integrate potential future acquisitions, our business, financial condition, results of operations and cash flows could be adversely affected.</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We anticipate that a portion of our future growth may come from targeted acquisitions to expand our current capabilities and service offerings. The success of any acquisition will depend upon, among other things, our ability to effectively integrate acquired personnel, operations, products and technologies into our business and to retain the key personnel and customers of our acquired businesses. In addition, we may be unable to identify suitable acquisition opportunities or obtain any necessary financing on commercially acceptable terms. We may also spend time and money investigating and negotiating with potential acquisition targets but not complete the transaction. Any acquisition could involve other risks, including, among others, the assumption of additional liabilities and expenses, difficulties and expenses in connection with integrating the acquired companies and achieving the expected benefits, issuances of potentially dilutive securities or interest-bearing debt, loss of key employees of the acquired companies, transaction expenses, diversion of management’s attention from other business concerns and, with respect to the acquisition of international companies, the inability to overcome differences in international business practices, language and customs. Our failure to successfully integrate potential future acquisitions could have an adverse effect on our business, financial condition, results of operations and cash flows.</w:t>
      </w:r>
    </w:p>
    <w:p>
      <w:pPr>
        <w:spacing w:after="0" w:line="4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Our balance sheet reflects goodwill and intangibles assets of $661.0 million and $161.4 million, respectively, as of June 30, 2016. Collectively, goodwill and intangibles assets represented 82.7% of our total assets as of June 30, 2016. Our goodwill was recorded in connection with the Transaction. In accordance with U.S. GAAP, goodwill and indefinite lived intangible assets are not amortized, but are subject to a periodic impairment evaluation. We assess the realizability of our indefinite lived intangible assets and goodwill annually and conduct an interim evaluation whenever events or changes in circumstances, such as operating losses or a significant decline in earnings associated with the acquired business or asset, indicate that these assets may be impaired. In addition, we review long-lived assets for impairment whenever events or changes in circumstances indicate that the carrying amount of the assets might not be recoverable. If indicators of impairment are present, we evaluate the carrying value in relation to estimates of future discounted cash flows. Our ability to realize the value of the goodwill and intangible assets will depend on the future cash flows of our businesses. The carrying amount of the goodwill could be impaired if there is a downturn in our business or our industry or other factors that affect the fair value of our business, in which case a charge to earnings would become necessary. If we are not able to realize the value of the goodwill and intangible assets, we may be required to incur material charges relating to the impairment of those assets. For example, in conjunction with the 2015 fourth quarter annual assessment of goodwill, we determined that goodwill related to our Clinics reporting unit was impaired and we recognized an impairment charge of $9.3 million, which represented 100% of the goodwill that had been allocated to this reporting unit. Such impairment charges in the future could materially and adversely affect our business, financial condition, results of operations and cash flows.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or certain other tax attributes may be limited.</w:t>
      </w:r>
    </w:p>
    <w:p>
      <w:pPr>
        <w:spacing w:after="0" w:line="3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Under Sections 382 and 383 of the U.S. Internal Revenue Code of 1986, as amended, if a corporation undergoes an “ownership change” (generally defined as a greater than 50 percentage point change, by value, in the aggregate stock ownership of certain shareholders over a three-year period), the corporation’s ability to use its pre-change net operating loss carryforwards to offset its future taxable income and other pre-change tax attributes may be limited. We have experienced at least one ownership change in the past. We may experience additional ownership changes in the future (including in connection with this offering). In addition, future changes in our stock ownership (including future sales by Cinven) could result in additional ownership changes. Any such ownership changes could limit our ability to use our net operating loss carryforwards to offset any future taxable income and other tax attributes. State and foreign tax laws may also impose limitations on our ability to utilize net operating loss carryforwards and other tax attributes.</w:t>
      </w:r>
    </w:p>
    <w:p>
      <w:pPr>
        <w:spacing w:after="0" w:line="4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b w:val="1"/>
          <w:bCs w:val="1"/>
          <w:i w:val="1"/>
          <w:iCs w:val="1"/>
          <w:color w:val="auto"/>
        </w:rPr>
        <w:t>Our operations involve the use and disposal of hazardous substances and waste which can give rise to liability that could adversely impact our financial condition.</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conduct activities that have involved, and may continue to involve, the controlled use of hazardous materials and the creation of hazardous substances, including medical waste and other highly regulated substances. As a result,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49"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 adverse effects could result from such liability, including reputational damage resulting in the loss of additional business from certain customers.</w:t>
      </w:r>
    </w:p>
    <w:p>
      <w:pPr>
        <w:spacing w:after="0" w:line="4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b w:val="1"/>
          <w:bCs w:val="1"/>
          <w:i w:val="1"/>
          <w:iCs w:val="1"/>
          <w:color w:val="auto"/>
        </w:rPr>
        <w:t>The failure of third parties to provide us critical support services could materially adversely affect our business, financial condition, results of operations, cash flows or reputation.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only a limited ability to protect our intellectual property rights, and these rights are important to our success.</w:t>
      </w:r>
    </w:p>
    <w:p>
      <w:pPr>
        <w:spacing w:after="0" w:line="34"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copyright, trademark and trade secret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43" w:lineRule="exact"/>
        <w:rPr>
          <w:sz w:val="20"/>
          <w:szCs w:val="20"/>
          <w:color w:val="auto"/>
        </w:rPr>
      </w:pPr>
    </w:p>
    <w:p>
      <w:pPr>
        <w:ind w:right="680"/>
        <w:spacing w:after="0" w:line="253" w:lineRule="auto"/>
        <w:rPr>
          <w:sz w:val="20"/>
          <w:szCs w:val="20"/>
          <w:color w:val="auto"/>
        </w:rPr>
      </w:pPr>
      <w:r>
        <w:rPr>
          <w:rFonts w:ascii="Arial" w:cs="Arial" w:eastAsia="Arial" w:hAnsi="Arial"/>
          <w:sz w:val="17"/>
          <w:szCs w:val="17"/>
          <w:b w:val="1"/>
          <w:bCs w:val="1"/>
          <w:i w:val="1"/>
          <w:iCs w:val="1"/>
          <w:color w:val="auto"/>
        </w:rPr>
        <w:t>The results of the United Kingdom’s referendum on withdrawal from the European Union may have a negative effect on global economic conditions, financial markets and our business.</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or the EU,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 including with respect to the laws and regulations that will apply as the United Kingdom determines which EU laws to replace or replicate in the event of a withdrawal. The referendum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future investments in our customers’ businesses or products could have a negative impact on our financial results.</w:t>
      </w:r>
    </w:p>
    <w:p>
      <w:pPr>
        <w:spacing w:after="0" w:line="3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Our financial results would be adversely affected if the amount realized from any such risk sharing arrangement was less than the value of our services under the contract related to such arrangement.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might be affected by the occurrence of a natural disaster or other catastrophic event.</w:t>
      </w:r>
    </w:p>
    <w:p>
      <w:pPr>
        <w:spacing w:after="0" w:line="47"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Industry</w:t>
      </w:r>
    </w:p>
    <w:p>
      <w:pPr>
        <w:spacing w:after="0" w:line="63"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b w:val="1"/>
          <w:bCs w:val="1"/>
          <w:i w:val="1"/>
          <w:iCs w:val="1"/>
          <w:color w:val="auto"/>
        </w:rPr>
        <w:t>Outsourcing trends in the biopharmaceutical industry and changes in aggregate expenditures and R&amp;D budgets could adversely affect our operating results and growth rate.</w:t>
      </w:r>
    </w:p>
    <w:p>
      <w:pPr>
        <w:spacing w:after="0" w:line="11"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Our revenues depend on the level of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 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41"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in many areas of our business and, if we do not compete effectively, our business may be harmed.</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CRO industry is highly competitive. We often compete for business with other CROs as well as internal development departments at some of our customers, some of which could be considered large CROs in their own right. We also compete with universities and teaching hospitals. Some of these competitors have greater financial resources and a wider range of service offerings over a greater geographic area than we do. If we do not compete successfully, our business will suffer. The industry is highly fragmented, with numerous smaller specialized companies and a handful of full-service companies with global capabilities similar to ours. Increased competition has led to price and other forms of competition, such as acceptance of less favorable contract terms, which could adversely affect our operating results. In recent years, our industry has experienced consolidation. This trend is likely to produce more competition from the resulting larger companies. Further, certain of our key competitors are private and, therefore, they do not contend with the cost pressures of being a public company. We compete with both large CROs and mid-sized CROs, and have increasingly faced more competition from larger CROs. Our ability to continue to grow and perform effectively will directly impact our success against our competitors. In addition, there are few barriers to entry for smaller specialized companies considering entering the industry. Because of their size and focus, small CROs might compete effectively against larger companies such as us, especially in lower cost geographic areas, which could have a material adverse effect on our business.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600"/>
        <w:spacing w:after="0" w:line="255" w:lineRule="auto"/>
        <w:rPr>
          <w:sz w:val="20"/>
          <w:szCs w:val="20"/>
          <w:color w:val="auto"/>
        </w:rPr>
      </w:pPr>
      <w:r>
        <w:rPr>
          <w:rFonts w:ascii="Arial" w:cs="Arial" w:eastAsia="Arial" w:hAnsi="Arial"/>
          <w:sz w:val="17"/>
          <w:szCs w:val="17"/>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spacing w:after="0" w:line="11"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 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w:t>
      </w:r>
    </w:p>
    <w:p>
      <w:pPr>
        <w:spacing w:after="0" w:line="148"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consolidation in the biopharmaceutical industry could lead to a reduction in our revenues.</w:t>
      </w:r>
    </w:p>
    <w:p>
      <w:pPr>
        <w:spacing w:after="0" w:line="4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biopharmaceutical industry is currently undergoing a period of increased merger activity. Several large biopharmaceutical companies have recently completed mergers and acquisitions that will consolidate the outsourcing 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2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spacing w:after="0" w:line="11"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2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1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 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49"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w:t>
      </w:r>
    </w:p>
    <w:p>
      <w:pPr>
        <w:spacing w:after="0" w:line="14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w:t>
      </w:r>
    </w:p>
    <w:p>
      <w:pPr>
        <w:spacing w:after="0" w:line="143"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export of such data out of the EU. Such data export rules are constantly changing, for example, following a decision of the European Court of Justice in October 2015, transferring personal data to U.S. companies like us that had certified as a member of the EU-U.S. Safe Harbor Scheme was declared invalid and the other methods to permit transfer are now under review. In February 2016, the European Commission issued the proposed legal texts of the EU-U.S. Privacy Shield, which is intended to replace the U.S. Safe Harbor Scheme. These legal texts are currently under review by the European legislative bodies and it is unclear when they will be approved and when data exports out of the EU will be allowed to take place under the new framework. The United States, the EU and its member states, and other countries where we have operations, such as Singapore and Russia,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 foreign governments may propose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laws in the EU are under reform and from early 2018 onwards, we will be subject to the requirements of the General Data Protection Regulation, or GDPR, because we are processing data in the EU. The GDPR increases the deadline for data breach notifications, imposes additional obligations when we process personal data on behalf of our customers, including in relation to security measures, and increases administrative burdens on companies processing personal data. If we do not comply with our obligations under the GDPR we could be exposed to significant fines of up to 20 million EUR or up to 4% of the total worldwide annual turnover of the preceding financial year, whichever is higher.</w:t>
      </w:r>
    </w:p>
    <w:p>
      <w:pPr>
        <w:spacing w:after="0" w:line="228"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b w:val="1"/>
          <w:bCs w:val="1"/>
          <w:i w:val="1"/>
          <w:iCs w:val="1"/>
          <w:color w:val="auto"/>
        </w:rPr>
        <w:t>The biopharmaceutical industry has a history of patent and other intellectual property litigation, and we might be involved in costly intellectual property lawsuits.</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 property rights. Legal proceedings relating to intellectual property could be expensive, take significant time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49"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38"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b w:val="1"/>
          <w:bCs w:val="1"/>
          <w:i w:val="1"/>
          <w:iCs w:val="1"/>
          <w:color w:val="auto"/>
        </w:rPr>
        <w:t>Actions by regulatory authorities or customers to limit the scope of or withdraw an approved drug, biologic or medical device from the market could result in a loss of revenue.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Government regulators have the authority, after approving a drug, biologic or medical device, to limit its indication for use by requiring additional labeled warnings or to withdraw the product’s approval for its approved indication based on safety or other concerns. Similarly, customers may act to voluntarily limit the availability of approved products or withdraw them from the market after we begin our work. If we are providing services to customers for products that are limited in availability or withdrawn, we may be required to narrow the scope of or terminate our services with respect to such products, which would prevent us from earning the full amount of net service revenue anticipated under the related service contracts.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keep pace with rapid technological changes, our services may become less competitive or obsolete.</w:t>
      </w:r>
    </w:p>
    <w:p>
      <w:pPr>
        <w:spacing w:after="0" w:line="34"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43" w:lineRule="exact"/>
        <w:rPr>
          <w:sz w:val="20"/>
          <w:szCs w:val="20"/>
          <w:color w:val="auto"/>
        </w:rPr>
      </w:pPr>
    </w:p>
    <w:p>
      <w:pPr>
        <w:ind w:right="540"/>
        <w:spacing w:after="0" w:line="253" w:lineRule="auto"/>
        <w:rPr>
          <w:sz w:val="20"/>
          <w:szCs w:val="20"/>
          <w:color w:val="auto"/>
        </w:rPr>
      </w:pPr>
      <w:r>
        <w:rPr>
          <w:rFonts w:ascii="Arial" w:cs="Arial" w:eastAsia="Arial" w:hAnsi="Arial"/>
          <w:sz w:val="17"/>
          <w:szCs w:val="17"/>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Indebtedness</w:t>
      </w:r>
    </w:p>
    <w:p>
      <w:pPr>
        <w:spacing w:after="0" w:line="76"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b w:val="1"/>
          <w:bCs w:val="1"/>
          <w:i w:val="1"/>
          <w:iCs w:val="1"/>
          <w:color w:val="auto"/>
        </w:rPr>
        <w:t>Our indebtedness could adversely affect our financial condition and prevent us from fulfilling our debt obligations and may otherwise restrict our activities.</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Our Senior Secured Credit Facilities consist of a $60.0 million Senior Secured Revolving Credit Facility maturing in April 2019 and a $530.0 Senior Secured Term Loan Facility maturing in April 2021. On an as adjusted basis, after giving effect to this offering and the use of proceeds therefrom, as of June 30,</w:t>
      </w:r>
    </w:p>
    <w:p>
      <w:pPr>
        <w:ind w:right="20"/>
        <w:spacing w:after="0" w:line="228" w:lineRule="auto"/>
        <w:rPr>
          <w:sz w:val="20"/>
          <w:szCs w:val="20"/>
          <w:color w:val="auto"/>
        </w:rPr>
      </w:pPr>
      <w:r>
        <w:rPr>
          <w:rFonts w:ascii="Arial" w:cs="Arial" w:eastAsia="Arial" w:hAnsi="Arial"/>
          <w:sz w:val="17"/>
          <w:szCs w:val="17"/>
          <w:color w:val="auto"/>
        </w:rPr>
        <w:t>2016, we would have had approximately $ million of outstanding indebtedness under our Senior Secured Term Loan Facility and no borrowings outstanding under our Senior Secured Revolving Credit Facility. In addition, we would have had up to $60.0 million of additional borrowing capacity available under our Senior Secured Revolving Credit Facility. Our substantial indebtedness could adversely affect our financial condition and thus make it more difficult for us to satisfy our obligations with respect to our Senior Secured Credit Facilities. If our cash flow is not sufficient to service our debt and adequately fund our business, we may be required to seek further additional financing or refinancing or dispose of assets. We might not be able to influence any of these alternatives on satisfactory terms or at all. Our substantial indebtedness could also:</w:t>
      </w:r>
    </w:p>
    <w:p>
      <w:pPr>
        <w:spacing w:after="0" w:line="106" w:lineRule="exact"/>
        <w:rPr>
          <w:sz w:val="20"/>
          <w:szCs w:val="20"/>
          <w:color w:val="auto"/>
        </w:rPr>
      </w:pPr>
    </w:p>
    <w:p>
      <w:pPr>
        <w:ind w:left="800" w:hanging="455"/>
        <w:spacing w:after="0"/>
        <w:tabs>
          <w:tab w:leader="none" w:pos="80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increase our vulnerability to adverse general economic, industry or competitive developments;</w:t>
      </w:r>
    </w:p>
    <w:p>
      <w:pPr>
        <w:spacing w:after="0" w:line="22" w:lineRule="exact"/>
        <w:rPr>
          <w:rFonts w:ascii="Arial" w:cs="Arial" w:eastAsia="Arial" w:hAnsi="Arial"/>
          <w:sz w:val="24"/>
          <w:szCs w:val="24"/>
          <w:color w:val="auto"/>
          <w:vertAlign w:val="superscript"/>
        </w:rPr>
      </w:pPr>
    </w:p>
    <w:p>
      <w:pPr>
        <w:jc w:val="both"/>
        <w:ind w:left="800" w:right="460" w:hanging="455"/>
        <w:spacing w:after="0" w:line="20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require us to dedicate a more substantial portion of our cash flows from operations to payments on our indebtedness, thereby reducing the availability of our cash flows to fund working capital, investments, acquisitions, capital expenditures, and other general corporate purposes;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49"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38" w:lineRule="exact"/>
        <w:rPr>
          <w:sz w:val="20"/>
          <w:szCs w:val="20"/>
          <w:color w:val="auto"/>
        </w:rPr>
      </w:pPr>
    </w:p>
    <w:p>
      <w:pPr>
        <w:ind w:left="800" w:hanging="455"/>
        <w:spacing w:after="0"/>
        <w:tabs>
          <w:tab w:leader="none" w:pos="80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limit our ability to make required payments under our existing contractual commitments, including our existing long-term indebtedness;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limit our ability to fund a change of control offer;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require us to sell certain assets;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restrict us from making strategic investments, including acquisitions or cause us to make non-strategic divestitures;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limit our flexibility in planning for, or reacting to, changes in market conditions, our business and the industry in which we operate;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place us at a competitive disadvantage compared to our competitors that have less debt;</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cause us to incur substantial fees from time to time in connection with debt amendments or refinancings;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increase our exposure to rising interest rates because a portion of our borrowings is at variable interest rates;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limit our ability to borrow additional funds or to borrow on terms that are satisfactory to us.</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For more information about our indebtedness, see “Management’s Discussion and Analysis of Financial Condition and Results of Operations—Liquidity and Capital Resources—Indebtedness.”</w:t>
      </w:r>
    </w:p>
    <w:p>
      <w:pPr>
        <w:spacing w:after="0" w:line="42"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b w:val="1"/>
          <w:bCs w:val="1"/>
          <w:i w:val="1"/>
          <w:iCs w:val="1"/>
          <w:color w:val="auto"/>
        </w:rPr>
        <w:t>Despite our current level of indebtedness, we may incur more debt and undertake additional obligations. Incurring such debt or undertaking such additional obligations could further exacerbate the risks to our financial condition.</w:t>
      </w:r>
    </w:p>
    <w:p>
      <w:pPr>
        <w:spacing w:after="0" w:line="1"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Although the credit agreement governing the Senior Secured Credit Facilities contains restrictions on our incurrence of additional indebtedness, these restrictions are subject to a number of qualifications and exceptions and the indebtedness incurred in compliance with these restrictions could increase. To the extent new debt is added to our current debt levels, the risks to our financial condition would increase.</w:t>
      </w:r>
    </w:p>
    <w:p>
      <w:pPr>
        <w:spacing w:after="0" w:line="14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While the credit agreement governing the Senior Secured Credit Facilities also contains restrictions on our ability to make loans and investments, these restrictions are subject to a number of qualifications and exceptions, and the investments incurred in compliance with these restrictions could be substantial.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 restrictions under our Senior Secured Credit Facilities may limit our ability to operate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agreement governing our Senior Secured Credit Facilities contains covenants that may restrict our ability to, among other things:</w:t>
      </w:r>
    </w:p>
    <w:p>
      <w:pPr>
        <w:spacing w:after="0" w:line="108" w:lineRule="exact"/>
        <w:rPr>
          <w:sz w:val="20"/>
          <w:szCs w:val="20"/>
          <w:color w:val="auto"/>
        </w:rPr>
      </w:pPr>
    </w:p>
    <w:p>
      <w:pPr>
        <w:ind w:left="800" w:hanging="455"/>
        <w:spacing w:after="0"/>
        <w:tabs>
          <w:tab w:leader="none" w:pos="80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create, incur or assume any lien upon any of our property, assets or revenue;</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make or hold certain investments;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incur or assume any indebtedness;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merge, dissolve, liquidate or consolidate with or into another person;</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make certain dispositions of property or other assets (including sale leaseback transactions);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declare or make certain restricted payments, including dividends;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enter into certain transactions with affiliates;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prepay subordinated debt;</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enter into burdensome agreements;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engage in any material line of business substantially different from our currently conducted business; or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change our fiscal year.</w:t>
      </w:r>
    </w:p>
    <w:p>
      <w:pPr>
        <w:spacing w:after="0" w:line="141"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8.00:1.00 for any fiscal quarter ending on or prior to March 31, 2016 and 7.50:1.00, thereafter. As of June 30, 2016, we maintained a net debt to consolidated EBITDA leverage ratio, as defined under the Senior Secured Credit Facilities, of :1.00. As of June 30, 2016, we were in compliance with all covenants under our Senior Secured Credit Agreement.</w:t>
      </w:r>
    </w:p>
    <w:p>
      <w:pPr>
        <w:spacing w:after="0" w:line="138" w:lineRule="exact"/>
        <w:rPr>
          <w:sz w:val="20"/>
          <w:szCs w:val="20"/>
          <w:color w:val="auto"/>
        </w:rPr>
      </w:pPr>
    </w:p>
    <w:p>
      <w:pPr>
        <w:ind w:right="560"/>
        <w:spacing w:after="0" w:line="235" w:lineRule="auto"/>
        <w:rPr>
          <w:sz w:val="20"/>
          <w:szCs w:val="20"/>
          <w:color w:val="auto"/>
        </w:rPr>
      </w:pPr>
      <w:r>
        <w:rPr>
          <w:rFonts w:ascii="Arial" w:cs="Arial" w:eastAsia="Arial" w:hAnsi="Arial"/>
          <w:sz w:val="17"/>
          <w:szCs w:val="17"/>
          <w:color w:val="auto"/>
        </w:rPr>
        <w:t>Although the covenants in our Senior Secured Credit Facilities are subject to various exceptions, we cannot assure you that these covenants will not adversely affect our ability to finance future operations or capital needs or 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49"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engage in other activities that may be in our best interest. In addition, in certain circumstances, our long-term debt requires us to maintain a specified financial ratio and satisfy certain financial condition tests, which may require that we take action to reduce our debt or to act in a manner contrary to our business objectives. A breach of any of these covenants could result in a default under our Senior Secured Credit Facilities. If an event of default under our Senior Secured Credit Facilities occurs, the lenders thereunder could elect to declare all amounts outstanding thereunder, together with accrued interest, to be immediately due and payable. In such case, we might not have sufficient funds to repay all the outstanding amounts. In addition, our Senior Secured Credit Facilities are secured by first priority security interests on substantially all of our assets, including the capital stock of certain of our subsidiaries. If an event of default under our Senior Secured Credit Facilities occurs, the lenders thereunder could exercise their rights under the related security documents. Any acceleration of amounts due under the Senior Secured Credit Facilities or the substantial exercise by the lenders of their rights under the security documents would likely have a material adverse effect on us.</w:t>
      </w:r>
    </w:p>
    <w:p>
      <w:pPr>
        <w:spacing w:after="0" w:line="45" w:lineRule="exact"/>
        <w:rPr>
          <w:sz w:val="20"/>
          <w:szCs w:val="20"/>
          <w:color w:val="auto"/>
        </w:rPr>
      </w:pPr>
    </w:p>
    <w:p>
      <w:pPr>
        <w:ind w:right="720"/>
        <w:spacing w:after="0" w:line="253"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satisfy our debt obligations will depend upon, among other things:</w:t>
      </w:r>
    </w:p>
    <w:p>
      <w:pPr>
        <w:spacing w:after="0" w:line="184" w:lineRule="exact"/>
        <w:rPr>
          <w:sz w:val="20"/>
          <w:szCs w:val="20"/>
          <w:color w:val="auto"/>
        </w:rPr>
      </w:pPr>
    </w:p>
    <w:p>
      <w:pPr>
        <w:ind w:left="800" w:right="160" w:hanging="455"/>
        <w:spacing w:after="0" w:line="195" w:lineRule="auto"/>
        <w:tabs>
          <w:tab w:leader="none" w:pos="80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our future financial and operating performance, which will be affected by prevailing economic conditions and financial, business, regulatory and other factors, many of which are beyond our control; and</w:t>
      </w:r>
    </w:p>
    <w:p>
      <w:pPr>
        <w:spacing w:after="0" w:line="22" w:lineRule="exact"/>
        <w:rPr>
          <w:rFonts w:ascii="Arial" w:cs="Arial" w:eastAsia="Arial" w:hAnsi="Arial"/>
          <w:sz w:val="24"/>
          <w:szCs w:val="24"/>
          <w:color w:val="auto"/>
          <w:vertAlign w:val="superscript"/>
        </w:rPr>
      </w:pPr>
    </w:p>
    <w:p>
      <w:pPr>
        <w:ind w:left="800" w:right="260" w:hanging="455"/>
        <w:spacing w:after="0" w:line="195" w:lineRule="auto"/>
        <w:tabs>
          <w:tab w:leader="none" w:pos="80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the future availability of borrowings under our Senior Secured Credit Facilities, which depends on, among other things, our complying with the covenants in those facilities.</w:t>
      </w:r>
    </w:p>
    <w:p>
      <w:pPr>
        <w:spacing w:after="0" w:line="1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to us under our Senior Secured Credit Facilities or otherwise, in an amount sufficient to fund our liquidity needs.</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34"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44"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b w:val="1"/>
          <w:bCs w:val="1"/>
          <w:i w:val="1"/>
          <w:iCs w:val="1"/>
          <w:color w:val="auto"/>
        </w:rPr>
        <w:t>We are dependent upon our lenders for financing to execute our business strategy and meet our liquidity needs. If our lenders are unable to fund borrowings under their credit commitments or we are unable to borrow, it could negatively impact our business.</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During periods of volatile credit markets, there is risk that any lenders, even those with strong balance sheets and sound lending practices, could fail or refuse to honor their legal commitments and obligations under existing credit commitments, including but not limited to: extending credit up to the maximum permitted by a credit facility. If our lenders are unable to fund borrowings under their revolving credit commitments or we are unable to borrow (such as having insufficient capacity under our borrowing base), it could be difficult in such environments to obtain sufficient liquidity to meet our operational needs.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49"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Common Stock and This Offering</w:t>
      </w:r>
    </w:p>
    <w:p>
      <w:pPr>
        <w:spacing w:after="0" w:line="7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b w:val="1"/>
          <w:bCs w:val="1"/>
          <w:i w:val="1"/>
          <w:iCs w:val="1"/>
          <w:color w:val="auto"/>
        </w:rPr>
        <w:t>Cinven and our Chief Executive Officer and founder will collectively control a substantial majority of our outstanding common stock following this offering and their interests may be different from or conflict with those of our other shareholders.</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Upon the completion of this offering, Cinven will own approximately % of the outstanding shares of our common stock (or % if the underwriters exercise their option to purchase additional shares in full) and Dr. August J. Troendle, our Chief Executive Officer and founder, through his direct ownership</w:t>
      </w:r>
    </w:p>
    <w:p>
      <w:pPr>
        <w:ind w:right="180"/>
        <w:spacing w:after="0" w:line="229" w:lineRule="auto"/>
        <w:rPr>
          <w:sz w:val="20"/>
          <w:szCs w:val="20"/>
          <w:color w:val="auto"/>
        </w:rPr>
      </w:pPr>
      <w:r>
        <w:rPr>
          <w:rFonts w:ascii="Arial" w:cs="Arial" w:eastAsia="Arial" w:hAnsi="Arial"/>
          <w:sz w:val="17"/>
          <w:szCs w:val="17"/>
          <w:color w:val="auto"/>
        </w:rPr>
        <w:t>of shares of our common stock and his beneficial ownership of shares of our common stock held by MPI, will control approximately % of the outstanding shares of our common stock (or % if the underwriters exercise their option to purchase additional shares in full). Additionally, upon a distribution of our common stock held by MPI, our Chief Executive Officer would receive approximately 73% of such shares. Accordingly, both Cinven and Dr. Troendle will be able to exert a significant degree of influence or actual control over our management and affairs and will control all corporate actions requiring shareholder approval, irrespective of how our other shareholders may vote, including:</w:t>
      </w:r>
    </w:p>
    <w:p>
      <w:pPr>
        <w:spacing w:after="0" w:line="180" w:lineRule="exact"/>
        <w:rPr>
          <w:sz w:val="20"/>
          <w:szCs w:val="20"/>
          <w:color w:val="auto"/>
        </w:rPr>
      </w:pPr>
    </w:p>
    <w:p>
      <w:pPr>
        <w:ind w:left="800" w:right="160" w:hanging="455"/>
        <w:spacing w:after="0" w:line="195" w:lineRule="auto"/>
        <w:tabs>
          <w:tab w:leader="none" w:pos="80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subject to the voting arrangements described in “Certain Relationships and Related Person Transactions,” the election and removal of directors and the size of our board of directors, or the Board;</w:t>
      </w:r>
    </w:p>
    <w:p>
      <w:pPr>
        <w:ind w:left="800" w:hanging="455"/>
        <w:spacing w:after="0" w:line="193" w:lineRule="auto"/>
        <w:tabs>
          <w:tab w:leader="none" w:pos="80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any amendment of our articles of incorporation or bylaws; or</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the approval of mergers and other significant corporate transactions, including a sale of substantially all of our assets.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Dr. Troendle has indicated an interest in purchasing shares of our common stock in this offering at the initial public offering price. If he were to purchase all</w:t>
      </w:r>
    </w:p>
    <w:p>
      <w:pPr>
        <w:ind w:right="100"/>
        <w:spacing w:after="0" w:line="225" w:lineRule="auto"/>
        <w:rPr>
          <w:sz w:val="20"/>
          <w:szCs w:val="20"/>
          <w:color w:val="auto"/>
        </w:rPr>
      </w:pPr>
      <w:r>
        <w:rPr>
          <w:rFonts w:ascii="Arial" w:cs="Arial" w:eastAsia="Arial" w:hAnsi="Arial"/>
          <w:sz w:val="17"/>
          <w:szCs w:val="17"/>
          <w:color w:val="auto"/>
        </w:rPr>
        <w:t>of the shares he has indicated an interest in purchasing in this offering, assuming an initial public offering price of $ per share, which is the midpoint of the price range set forth on the cover page of this prospectus, he would purchase an aggregate of approximately shares, and as a result the</w:t>
      </w:r>
    </w:p>
    <w:p>
      <w:pPr>
        <w:spacing w:after="0"/>
        <w:rPr>
          <w:sz w:val="20"/>
          <w:szCs w:val="20"/>
          <w:color w:val="auto"/>
        </w:rPr>
      </w:pPr>
      <w:r>
        <w:rPr>
          <w:rFonts w:ascii="Arial" w:cs="Arial" w:eastAsia="Arial" w:hAnsi="Arial"/>
          <w:sz w:val="16"/>
          <w:szCs w:val="16"/>
          <w:color w:val="auto"/>
        </w:rPr>
        <w:t>percentage of the outstanding shares of our common stock that he would control directly or through his beneficial ownership of shares of our common stock</w:t>
      </w:r>
    </w:p>
    <w:p>
      <w:pPr>
        <w:spacing w:after="0"/>
        <w:tabs>
          <w:tab w:leader="none" w:pos="3680" w:val="left"/>
          <w:tab w:leader="none" w:pos="4500" w:val="left"/>
        </w:tabs>
        <w:rPr>
          <w:sz w:val="20"/>
          <w:szCs w:val="20"/>
          <w:color w:val="auto"/>
        </w:rPr>
      </w:pPr>
      <w:r>
        <w:rPr>
          <w:rFonts w:ascii="Arial" w:cs="Arial" w:eastAsia="Arial" w:hAnsi="Arial"/>
          <w:sz w:val="17"/>
          <w:szCs w:val="17"/>
          <w:color w:val="auto"/>
        </w:rPr>
        <w:t>held by MPI would increase to approximately</w:t>
      </w:r>
      <w:r>
        <w:rPr>
          <w:sz w:val="20"/>
          <w:szCs w:val="20"/>
          <w:color w:val="auto"/>
        </w:rPr>
        <w:tab/>
      </w:r>
      <w:r>
        <w:rPr>
          <w:rFonts w:ascii="Arial" w:cs="Arial" w:eastAsia="Arial" w:hAnsi="Arial"/>
          <w:sz w:val="17"/>
          <w:szCs w:val="17"/>
          <w:color w:val="auto"/>
        </w:rPr>
        <w:t>% (or</w:t>
      </w:r>
      <w:r>
        <w:rPr>
          <w:sz w:val="20"/>
          <w:szCs w:val="20"/>
          <w:color w:val="auto"/>
        </w:rPr>
        <w:tab/>
      </w:r>
      <w:r>
        <w:rPr>
          <w:rFonts w:ascii="Arial" w:cs="Arial" w:eastAsia="Arial" w:hAnsi="Arial"/>
          <w:sz w:val="16"/>
          <w:szCs w:val="16"/>
          <w:color w:val="auto"/>
        </w:rPr>
        <w:t>% if the underwriters exercise their option to purchase additional shares in full).</w:t>
      </w:r>
    </w:p>
    <w:p>
      <w:pPr>
        <w:spacing w:after="0" w:line="14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Moreover, Cinven’s and Dr. Troendle’s share ownership may also adversely affect the trading price for our common stock to the extent investors perceive disadvantages in owning shares of a company with controlling shareholders. In addition, we have historically paid an affiliate of Cinven an annual fee for certain advisory and consulting services pursuant to an advisory services agreement, or the Advisory Services Agreement. See “Certain Relationships and Related Person Transactions—Advisory Fees.” The Advisory Services Agreement will be terminated in connection with the consummation of this offering. In addition, Cinven is in the business of making investments in companies and may, from time to time, acquire interests in businesses that directly or indirectly compete with our business, as well as businesses that are significant existing or potential customers. Cinven may acquire or seek to acquire assets that we seek to acquire and, as a result, those acquisition opportunities may not be available to us or may be more expensive for us to pursue, and as a result, the interests of Cinven may not coincide and may even conflict with the interests of our other shareholders.</w:t>
      </w:r>
    </w:p>
    <w:p>
      <w:pPr>
        <w:spacing w:after="0" w:line="41" w:lineRule="exact"/>
        <w:rPr>
          <w:sz w:val="20"/>
          <w:szCs w:val="20"/>
          <w:color w:val="auto"/>
        </w:rPr>
      </w:pPr>
    </w:p>
    <w:p>
      <w:pPr>
        <w:ind w:right="140"/>
        <w:spacing w:after="0"/>
        <w:rPr>
          <w:sz w:val="20"/>
          <w:szCs w:val="20"/>
          <w:color w:val="auto"/>
        </w:rPr>
      </w:pPr>
      <w:r>
        <w:rPr>
          <w:rFonts w:ascii="Arial" w:cs="Arial" w:eastAsia="Arial" w:hAnsi="Arial"/>
          <w:sz w:val="17"/>
          <w:szCs w:val="17"/>
          <w:b w:val="1"/>
          <w:bCs w:val="1"/>
          <w:i w:val="1"/>
          <w:iCs w:val="1"/>
          <w:color w:val="auto"/>
        </w:rPr>
        <w:t>Upon the listing of our common stock on NASDAQ, we will be a “controlled company” within the meaning of the rules and, as a result, will qualify for, and intend to rely on, exemptions from certain corporate governance requirements. You will not have the same protections afforded to shareholders of companies that are subject to such requirements.</w:t>
      </w:r>
    </w:p>
    <w:p>
      <w:pPr>
        <w:spacing w:after="0" w:line="10"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a voting agreement, or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giving effect to the directors then sitting on the Board and (c) 10% of our voting shares then outstanding, Dr. Troendle shall not be required to vote for any directors affiliated with Cinven.</w:t>
      </w:r>
    </w:p>
    <w:p>
      <w:pPr>
        <w:spacing w:after="0" w:line="14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Because of the Voting Agreement and the aggregate voting power of Cinven and Dr. Troendle, we are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104" w:lineRule="exact"/>
        <w:rPr>
          <w:sz w:val="20"/>
          <w:szCs w:val="20"/>
          <w:color w:val="auto"/>
        </w:rPr>
      </w:pPr>
    </w:p>
    <w:p>
      <w:pPr>
        <w:ind w:left="800" w:hanging="455"/>
        <w:spacing w:after="0"/>
        <w:tabs>
          <w:tab w:leader="none" w:pos="80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we have a Board that is composed of a majority of “independent directors,” as defined under the rules of such exchange;</w:t>
      </w:r>
    </w:p>
    <w:p>
      <w:pPr>
        <w:spacing w:after="0" w:line="22" w:lineRule="exact"/>
        <w:rPr>
          <w:rFonts w:ascii="Arial" w:cs="Arial" w:eastAsia="Arial" w:hAnsi="Arial"/>
          <w:sz w:val="24"/>
          <w:szCs w:val="24"/>
          <w:color w:val="auto"/>
          <w:vertAlign w:val="superscript"/>
        </w:rPr>
      </w:pPr>
    </w:p>
    <w:p>
      <w:pPr>
        <w:ind w:left="800" w:hanging="455"/>
        <w:spacing w:after="0" w:line="195" w:lineRule="auto"/>
        <w:tabs>
          <w:tab w:leader="none" w:pos="80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we have a compensation committee that is composed entirely of independent directors with a written charter addressing the committee’s purpose and responsibilities; and</w:t>
      </w:r>
    </w:p>
    <w:p>
      <w:pPr>
        <w:spacing w:after="0" w:line="22" w:lineRule="exact"/>
        <w:rPr>
          <w:rFonts w:ascii="Arial" w:cs="Arial" w:eastAsia="Arial" w:hAnsi="Arial"/>
          <w:sz w:val="24"/>
          <w:szCs w:val="24"/>
          <w:color w:val="auto"/>
          <w:vertAlign w:val="superscript"/>
        </w:rPr>
      </w:pPr>
    </w:p>
    <w:p>
      <w:pPr>
        <w:ind w:left="800" w:right="320" w:hanging="455"/>
        <w:spacing w:after="0" w:line="20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After we cease to be a “controlled company,” we will be required to comply with the above-referenced requirements within one year.</w:t>
      </w:r>
    </w:p>
    <w:p>
      <w:pPr>
        <w:spacing w:after="0" w:line="1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Following this offering, we will not have a nominating and corporate governance committee. Accordingly, you will not have the same protections afforded to shareholders of companies that are subject to all of the corporate governance requirements of NASDAQ. Cinven and Dr. Troendle, however, are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Jefferies LLC. Except for this brief period, there can be no assurance as to the period of time during which Cinven and Dr. Troendle will maintain their ownership of our common stock following the offering. As a result, there can be no assurance as to the period of time during which we will be able to avail ourselves of the controlled company exemptions.</w:t>
      </w:r>
    </w:p>
    <w:p>
      <w:pPr>
        <w:spacing w:after="0" w:line="42"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Our anti-takeover provisions could prevent or delay a change in control of our company, even if such change in control would be beneficial to our shareholders.</w:t>
      </w:r>
    </w:p>
    <w:p>
      <w:pPr>
        <w:spacing w:after="0" w:line="76"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Provisions of our amended and restated certificate of incorporation and amended and restated bylaws, as they will be in effect upon completion of this offering, as well as provisions of Delaware law could discourage, delay or prevent a merger, acquisition or other change in control of our company, even if such change in control would be beneficial to our shareholders. These provisions include:</w:t>
      </w:r>
    </w:p>
    <w:p>
      <w:pPr>
        <w:spacing w:after="0" w:line="182" w:lineRule="exact"/>
        <w:rPr>
          <w:sz w:val="20"/>
          <w:szCs w:val="20"/>
          <w:color w:val="auto"/>
        </w:rPr>
      </w:pPr>
    </w:p>
    <w:p>
      <w:pPr>
        <w:ind w:left="800" w:right="260" w:hanging="455"/>
        <w:spacing w:after="0" w:line="195" w:lineRule="auto"/>
        <w:tabs>
          <w:tab w:leader="none" w:pos="80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authorizing the issuance of “blank check” preferred stock that could be issued by our Board to increase the number of outstanding shares and thwart a takeover attempt;</w:t>
      </w:r>
    </w:p>
    <w:p>
      <w:pPr>
        <w:ind w:left="800" w:hanging="455"/>
        <w:spacing w:after="0" w:line="193" w:lineRule="auto"/>
        <w:tabs>
          <w:tab w:leader="none" w:pos="80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establishing a classified Board so that not all members of our Board are elected at one time;</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29"/>
        </w:numPr>
        <w:rPr>
          <w:rFonts w:ascii="Arial" w:cs="Arial" w:eastAsia="Arial" w:hAnsi="Arial"/>
          <w:sz w:val="23"/>
          <w:szCs w:val="23"/>
          <w:color w:val="auto"/>
          <w:vertAlign w:val="superscript"/>
        </w:rPr>
      </w:pPr>
      <w:r>
        <w:rPr>
          <w:rFonts w:ascii="Arial" w:cs="Arial" w:eastAsia="Arial" w:hAnsi="Arial"/>
          <w:sz w:val="16"/>
          <w:szCs w:val="16"/>
          <w:color w:val="auto"/>
        </w:rPr>
        <w:t>the removal of directors only for cause;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9"/>
        </w:numPr>
        <w:rPr>
          <w:rFonts w:ascii="Arial" w:cs="Arial" w:eastAsia="Arial" w:hAnsi="Arial"/>
          <w:sz w:val="23"/>
          <w:szCs w:val="23"/>
          <w:color w:val="auto"/>
          <w:vertAlign w:val="superscript"/>
        </w:rPr>
      </w:pPr>
      <w:r>
        <w:rPr>
          <w:rFonts w:ascii="Arial" w:cs="Arial" w:eastAsia="Arial" w:hAnsi="Arial"/>
          <w:sz w:val="16"/>
          <w:szCs w:val="16"/>
          <w:color w:val="auto"/>
        </w:rPr>
        <w:t>prohibiting the use of cumulative voting for the election of directors;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9"/>
        </w:numPr>
        <w:rPr>
          <w:rFonts w:ascii="Arial" w:cs="Arial" w:eastAsia="Arial" w:hAnsi="Arial"/>
          <w:sz w:val="23"/>
          <w:szCs w:val="23"/>
          <w:color w:val="auto"/>
          <w:vertAlign w:val="superscript"/>
        </w:rPr>
      </w:pPr>
      <w:r>
        <w:rPr>
          <w:rFonts w:ascii="Arial" w:cs="Arial" w:eastAsia="Arial" w:hAnsi="Arial"/>
          <w:sz w:val="16"/>
          <w:szCs w:val="16"/>
          <w:color w:val="auto"/>
        </w:rPr>
        <w:t>limiting the ability of shareholders to call special meetings or amend our bylaws;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29"/>
        </w:numPr>
        <w:rPr>
          <w:rFonts w:ascii="Arial" w:cs="Arial" w:eastAsia="Arial" w:hAnsi="Arial"/>
          <w:sz w:val="23"/>
          <w:szCs w:val="23"/>
          <w:color w:val="auto"/>
          <w:vertAlign w:val="superscript"/>
        </w:rPr>
      </w:pPr>
      <w:r>
        <w:rPr>
          <w:rFonts w:ascii="Arial" w:cs="Arial" w:eastAsia="Arial" w:hAnsi="Arial"/>
          <w:sz w:val="16"/>
          <w:szCs w:val="16"/>
          <w:color w:val="auto"/>
        </w:rPr>
        <w:t>requiring all shareholder actions to be taken at a meeting of our shareholders and not by written consent; and</w:t>
      </w:r>
    </w:p>
    <w:p>
      <w:pPr>
        <w:spacing w:after="0" w:line="23" w:lineRule="exact"/>
        <w:rPr>
          <w:rFonts w:ascii="Arial" w:cs="Arial" w:eastAsia="Arial" w:hAnsi="Arial"/>
          <w:sz w:val="23"/>
          <w:szCs w:val="23"/>
          <w:color w:val="auto"/>
          <w:vertAlign w:val="superscript"/>
        </w:rPr>
      </w:pPr>
    </w:p>
    <w:p>
      <w:pPr>
        <w:ind w:left="800" w:right="200" w:hanging="455"/>
        <w:spacing w:after="0" w:line="195" w:lineRule="auto"/>
        <w:tabs>
          <w:tab w:leader="none" w:pos="80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establishing advance notice and duration of ownership requirements for nominations for election to the Board or for proposing matters that can be acted upon by shareholders at shareholder meetings.</w:t>
      </w:r>
    </w:p>
    <w:p>
      <w:pPr>
        <w:spacing w:after="0" w:line="141"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These provisions could also discourage proxy contests and make it more difficult for you and other shareholders to elect directors of your choosing and cause us to take other corporate actions you desire. In addition, because our Board is responsible for appointing the members of our management team, these provisions could in turn affect any attempt by our shareholders to replace current members of our management team.</w:t>
      </w:r>
    </w:p>
    <w:p>
      <w:pPr>
        <w:spacing w:after="0" w:line="143" w:lineRule="exact"/>
        <w:rPr>
          <w:sz w:val="20"/>
          <w:szCs w:val="20"/>
          <w:color w:val="auto"/>
        </w:rPr>
      </w:pPr>
    </w:p>
    <w:p>
      <w:pPr>
        <w:ind w:right="640"/>
        <w:spacing w:after="0" w:line="235" w:lineRule="auto"/>
        <w:rPr>
          <w:sz w:val="20"/>
          <w:szCs w:val="20"/>
          <w:color w:val="auto"/>
        </w:rPr>
      </w:pPr>
      <w:r>
        <w:rPr>
          <w:rFonts w:ascii="Arial" w:cs="Arial" w:eastAsia="Arial" w:hAnsi="Arial"/>
          <w:sz w:val="17"/>
          <w:szCs w:val="17"/>
          <w:color w:val="auto"/>
        </w:rPr>
        <w:t>In addition, the Delaware General Corporation Law, or the DGCL, to which we are subject, prohibits us, except under specified circumstances, from engaging in any mergers, significant sales of stock or assets or business combinations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with any shareholder or group of shareholders who owns at least 15% of our common stock for three years following their becoming the owner of 15% of our common stock.</w:t>
      </w:r>
    </w:p>
    <w:p>
      <w:pPr>
        <w:spacing w:after="0" w:line="42" w:lineRule="exact"/>
        <w:rPr>
          <w:sz w:val="20"/>
          <w:szCs w:val="20"/>
          <w:color w:val="auto"/>
        </w:rPr>
      </w:pPr>
    </w:p>
    <w:p>
      <w:pPr>
        <w:ind w:right="1100"/>
        <w:spacing w:after="0" w:line="253" w:lineRule="auto"/>
        <w:rPr>
          <w:sz w:val="20"/>
          <w:szCs w:val="20"/>
          <w:color w:val="auto"/>
        </w:rPr>
      </w:pPr>
      <w:r>
        <w:rPr>
          <w:rFonts w:ascii="Arial" w:cs="Arial" w:eastAsia="Arial" w:hAnsi="Arial"/>
          <w:sz w:val="17"/>
          <w:szCs w:val="17"/>
          <w:b w:val="1"/>
          <w:bCs w:val="1"/>
          <w:i w:val="1"/>
          <w:iCs w:val="1"/>
          <w:color w:val="auto"/>
        </w:rPr>
        <w:t>Cinven and our non-employee directors may acquire interests and positions that could present potential conflicts with our and our shareholders’ interests.</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Cinven and our non-employee directors make investments in companies and may, from time to time, acquire and hold interests in businesses that compete directly or indirectly with us. Cinven and our non-employee directors 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4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Full-time investment professionals of Cinven occupy three seats on our Board. Because Cinven could invest in entities that directly or indirectly compete with us, when conflicts arise between the interests of Cinven and the interests of our shareholders, these directors may not be disinterested.</w:t>
      </w:r>
    </w:p>
    <w:p>
      <w:pPr>
        <w:spacing w:after="0" w:line="27" w:lineRule="exact"/>
        <w:rPr>
          <w:sz w:val="20"/>
          <w:szCs w:val="20"/>
          <w:color w:val="auto"/>
        </w:rPr>
      </w:pPr>
    </w:p>
    <w:p>
      <w:pPr>
        <w:ind w:right="660"/>
        <w:spacing w:after="0" w:line="253"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amended and restated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44" w:lineRule="exact"/>
        <w:rPr>
          <w:sz w:val="20"/>
          <w:szCs w:val="20"/>
          <w:color w:val="auto"/>
        </w:rPr>
      </w:pPr>
    </w:p>
    <w:p>
      <w:pPr>
        <w:ind w:right="640"/>
        <w:spacing w:after="0" w:line="253" w:lineRule="auto"/>
        <w:rPr>
          <w:sz w:val="20"/>
          <w:szCs w:val="20"/>
          <w:color w:val="auto"/>
        </w:rPr>
      </w:pPr>
      <w:r>
        <w:rPr>
          <w:rFonts w:ascii="Arial" w:cs="Arial" w:eastAsia="Arial" w:hAnsi="Arial"/>
          <w:sz w:val="17"/>
          <w:szCs w:val="17"/>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spacing w:after="0" w:line="1"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the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sold in this offering, you will incur immediate and substantial dilution.</w:t>
      </w:r>
    </w:p>
    <w:p>
      <w:pPr>
        <w:spacing w:after="0" w:line="3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Dilution is the difference between the offering price per share and the net tangible book value per share of our common stock immediately after the offering. The price you pay for shares of our common stock sold in this offering is substantially higher than our net tangible book value per share immediately after</w:t>
      </w:r>
    </w:p>
    <w:p>
      <w:pPr>
        <w:ind w:right="140"/>
        <w:spacing w:after="0" w:line="225" w:lineRule="auto"/>
        <w:rPr>
          <w:sz w:val="20"/>
          <w:szCs w:val="20"/>
          <w:color w:val="auto"/>
        </w:rPr>
      </w:pPr>
      <w:r>
        <w:rPr>
          <w:rFonts w:ascii="Arial" w:cs="Arial" w:eastAsia="Arial" w:hAnsi="Arial"/>
          <w:sz w:val="17"/>
          <w:szCs w:val="17"/>
          <w:color w:val="auto"/>
        </w:rPr>
        <w:t>this offering. If you purchase shares of common stock in this offering, you will incur immediate and substantial dilution in the amount of $ per share based upon an assumed initial public offering price of $ per share (the midpoint of the price range listed on the cover page of this prospectus). In</w:t>
      </w:r>
    </w:p>
    <w:p>
      <w:pPr>
        <w:spacing w:after="0" w:line="249" w:lineRule="auto"/>
        <w:rPr>
          <w:sz w:val="20"/>
          <w:szCs w:val="20"/>
          <w:color w:val="auto"/>
        </w:rPr>
      </w:pPr>
      <w:r>
        <w:rPr>
          <w:rFonts w:ascii="Arial" w:cs="Arial" w:eastAsia="Arial" w:hAnsi="Arial"/>
          <w:sz w:val="16"/>
          <w:szCs w:val="16"/>
          <w:color w:val="auto"/>
        </w:rPr>
        <w:t>addition, you may also experience additional dilution, or potential dilution, upon future equity issuances to investors or to our employees and directors under the Plan and any other equity incentive plans we may adopt. As a result of this dilution, investors purchasing shares of common stock in this offering may receive significantly less than the full purchase price that they paid for the stock purchased in this offering in the event of liquidation. See “Dilution.”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49"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440"/>
        <w:spacing w:after="0" w:line="255"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are not currently required to comply with the rules of the U.S. Securities and Exchange Commission, or the SEC, implementing Section 404 of the Sarbanes-Oxley Act of 2002, or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Additionally,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49"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will incur significant costs as a result of operating as a public company, and our management will devote substantial time to new compliance initiatives.</w:t>
      </w:r>
    </w:p>
    <w:p>
      <w:pPr>
        <w:spacing w:after="0" w:line="11"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As a privately-held company, we were not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particularly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will increase our legal and financial compliance costs and make some activities more difficult, time-consuming or costly. For example, the Exchange Act will require us, among other things, to file annual, quarterly and current reports with respect to our business and operating results.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As such, we expect to incur additional annual expenses of $3.0 million to $4.0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48"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existing market for our common stock, and we do not know if one will develop to provide you with liquidity.</w:t>
      </w:r>
    </w:p>
    <w:p>
      <w:pPr>
        <w:spacing w:after="0" w:line="47"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color w:val="auto"/>
        </w:rPr>
        <w:t>Prior to this offering, there has not been a public market for our common stock. An active market for our common stock might not develop following the consummation of this offering, or if it does develop, might not be maintained. If an active trading market does not develop, you may have difficulty selling any of our common stock that you buy. The initial public offering price for the shares of our common stock will be determined by negotiations between us and the representatives of the underwriters and might not be indicative of prices that will prevail in the open market following this offering. Consequently, you might not be able to sell shares of our common stock at prices equal to or greater than the initial public offering price.</w:t>
      </w:r>
    </w:p>
    <w:p>
      <w:pPr>
        <w:spacing w:after="0" w:line="138"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To the extent Dr. Troendle is allocated and purchases shares in this offering, such a purchase may reduce the available public float for our shares because Dr. Troendle will be restricted from selling the shares by restrictions under applicable securities laws and contractual agreements described in “Shares Eligible for Future Sale.” As a result, the liquidity of our common stock could be significantly reduced from what it would have been if these shares had been purchased by investors that were not affiliated with us.</w:t>
      </w:r>
    </w:p>
    <w:p>
      <w:pPr>
        <w:spacing w:after="0" w:line="30"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b w:val="1"/>
          <w:bCs w:val="1"/>
          <w:i w:val="1"/>
          <w:iCs w:val="1"/>
          <w:color w:val="auto"/>
        </w:rPr>
        <w:t>Our operating results and share price may be volatile, and the market price of our common stock after this offering may drop below the price you pay.</w:t>
      </w:r>
    </w:p>
    <w:p>
      <w:pPr>
        <w:spacing w:after="0" w:line="1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quarterly operating results have fluctuated, and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We and the underwriters will negotiate to determine the initial public offering price. You may not be able to resell your shares at or above the initial public offering price, or at all. Our operating results and the trading price of shares of our common stock may fluctuate in response to various factors, including:</w:t>
      </w:r>
    </w:p>
    <w:p>
      <w:pPr>
        <w:spacing w:after="0" w:line="28" w:lineRule="exact"/>
        <w:rPr>
          <w:sz w:val="20"/>
          <w:szCs w:val="20"/>
          <w:color w:val="auto"/>
        </w:rPr>
      </w:pPr>
    </w:p>
    <w:p>
      <w:pPr>
        <w:ind w:left="800" w:hanging="455"/>
        <w:spacing w:after="0"/>
        <w:tabs>
          <w:tab w:leader="none" w:pos="80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market conditions in the broader stock market or in the healthcare sector;</w:t>
      </w:r>
    </w:p>
    <w:p>
      <w:pPr>
        <w:spacing w:after="0" w:line="22" w:lineRule="exact"/>
        <w:rPr>
          <w:rFonts w:ascii="Arial" w:cs="Arial" w:eastAsia="Arial" w:hAnsi="Arial"/>
          <w:sz w:val="24"/>
          <w:szCs w:val="24"/>
          <w:color w:val="auto"/>
          <w:vertAlign w:val="superscript"/>
        </w:rPr>
      </w:pPr>
    </w:p>
    <w:p>
      <w:pPr>
        <w:ind w:left="800" w:hanging="455"/>
        <w:spacing w:after="0" w:line="182" w:lineRule="auto"/>
        <w:tabs>
          <w:tab w:leader="none" w:pos="80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developments affecting biopharmaceutical companies generally or biopharmaceutical research and development outsourcing;</w:t>
      </w: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actual or anticipated fluctuations in our quarterly financial and operating results;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introduction of new products or services by us or our competitors;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public’s reaction to our press releases, our other public announcements and our filings with the SEC;</w:t>
      </w:r>
    </w:p>
    <w:p>
      <w:pPr>
        <w:spacing w:after="0" w:line="23" w:lineRule="exact"/>
        <w:rPr>
          <w:rFonts w:ascii="Arial" w:cs="Arial" w:eastAsia="Arial" w:hAnsi="Arial"/>
          <w:sz w:val="23"/>
          <w:szCs w:val="23"/>
          <w:color w:val="auto"/>
          <w:vertAlign w:val="superscript"/>
        </w:rPr>
      </w:pPr>
    </w:p>
    <w:p>
      <w:pPr>
        <w:ind w:left="800" w:right="200" w:hanging="455"/>
        <w:spacing w:after="0" w:line="195" w:lineRule="auto"/>
        <w:tabs>
          <w:tab w:leader="none" w:pos="80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changes in, or failure to meet, earnings estimates or recommendations by research analysts who track our common stock or the stock of other companies in our industries;</w:t>
      </w:r>
    </w:p>
    <w:p>
      <w:pPr>
        <w:ind w:left="800" w:hanging="455"/>
        <w:spacing w:after="0" w:line="193" w:lineRule="auto"/>
        <w:tabs>
          <w:tab w:leader="none" w:pos="80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strategic actions by us, our customers or our competitors, such as acquisitions or restructurings;</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changes in accounting standards, policies, guidance, interpretations or principles;</w:t>
      </w:r>
    </w:p>
    <w:p>
      <w:pPr>
        <w:spacing w:after="0" w:line="23" w:lineRule="exact"/>
        <w:rPr>
          <w:rFonts w:ascii="Arial" w:cs="Arial" w:eastAsia="Arial" w:hAnsi="Arial"/>
          <w:sz w:val="23"/>
          <w:szCs w:val="23"/>
          <w:color w:val="auto"/>
          <w:vertAlign w:val="superscript"/>
        </w:rPr>
      </w:pPr>
    </w:p>
    <w:p>
      <w:pPr>
        <w:ind w:left="800" w:right="460" w:hanging="455"/>
        <w:spacing w:after="0" w:line="195" w:lineRule="auto"/>
        <w:tabs>
          <w:tab w:leader="none" w:pos="80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issuance of new or changed securities analysts’ reports or recommendations or termination of coverage of our common stock by securities analysts;</w:t>
      </w:r>
    </w:p>
    <w:p>
      <w:pPr>
        <w:ind w:left="800" w:hanging="455"/>
        <w:spacing w:after="0" w:line="193" w:lineRule="auto"/>
        <w:tabs>
          <w:tab w:leader="none" w:pos="80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sales, or anticipated sales, of large blocks of our stock;</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granting or exercise of employee stock options;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volume of trading in our common stock;</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additions or departures of key personnel;</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regulatory or political developments;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litigation and governmental investigations;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changing economic conditions;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defaults on our indebtedness;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exchange rate fluctuations;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other factors listed in this “Risk Factors” section.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49"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4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After this offering, we will have shares of outstanding common stock (or if the underwriters exercise their option to purchase additional shares in full). In addition, under the Plan, we intend to</w:t>
      </w:r>
    </w:p>
    <w:p>
      <w:pPr>
        <w:ind w:right="100"/>
        <w:spacing w:after="0" w:line="227" w:lineRule="auto"/>
        <w:rPr>
          <w:sz w:val="20"/>
          <w:szCs w:val="20"/>
          <w:color w:val="auto"/>
        </w:rPr>
      </w:pPr>
      <w:r>
        <w:rPr>
          <w:rFonts w:ascii="Arial" w:cs="Arial" w:eastAsia="Arial" w:hAnsi="Arial"/>
          <w:sz w:val="17"/>
          <w:szCs w:val="17"/>
          <w:color w:val="auto"/>
        </w:rPr>
        <w:t>grant to certain of our employees in connection with this offering equity awards with respect to an aggregate of up to 2% of our fully diluted shares of common stock outstanding immediately following the completion of this offering. We have not yet determined the allocation of such equity awards among the individuals. See “Executive and Director Compensation—Narrative to Summary Compensation Table—Offering Grants to Employees under the 2016 Incentive Award Plan.” The shares of common stock sold in this offering or issuable pursuant to the equity awards we grant will be freely tradable without restriction under the Securities Act, except as described in the next paragraph with respect to the lock-up arrangements and for any shares of our common stock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4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and each of our directors, executive officers and holders of substantially all of our outstanding common stock have agreed with the underwriters,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Jefferies LLC. See “Underwriting” and “Shares Eligible for Future Sale—Lock-Up Agreements.” All of the shares of our common stock outstanding as of the date of this prospectus may be sold in the public market by existing shareholders following the expiration of the applicable lock-up period, subject to applicable limitations imposed under federal securities laws.</w:t>
      </w:r>
    </w:p>
    <w:p>
      <w:pPr>
        <w:spacing w:after="0" w:line="143"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We also intend to enter into a Registration Rights Agreement pursuant to which the shares of common stock held by Cinven and Dr. August J. Troendle, our Chief Executive Officer and founder, will be eligible for resale, subject to certain limitations set forth therein. See “Certain Relationships and Related Person Transactions—Registration Rights Agreement.”</w:t>
      </w:r>
    </w:p>
    <w:p>
      <w:pPr>
        <w:spacing w:after="0" w:line="143" w:lineRule="exact"/>
        <w:rPr>
          <w:sz w:val="20"/>
          <w:szCs w:val="20"/>
          <w:color w:val="auto"/>
        </w:rPr>
      </w:pPr>
    </w:p>
    <w:p>
      <w:pPr>
        <w:jc w:val="both"/>
        <w:ind w:right="120"/>
        <w:spacing w:after="0" w:line="239"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common stock issued or issuable under the Plan.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w:t>
      </w:r>
    </w:p>
    <w:p>
      <w:pPr>
        <w:spacing w:after="0"/>
        <w:tabs>
          <w:tab w:leader="none" w:pos="3060" w:val="left"/>
        </w:tabs>
        <w:rPr>
          <w:sz w:val="20"/>
          <w:szCs w:val="20"/>
          <w:color w:val="auto"/>
        </w:rPr>
      </w:pPr>
      <w:r>
        <w:rPr>
          <w:rFonts w:ascii="Arial" w:cs="Arial" w:eastAsia="Arial" w:hAnsi="Arial"/>
          <w:sz w:val="17"/>
          <w:szCs w:val="17"/>
          <w:color w:val="auto"/>
        </w:rPr>
        <w:t>statement on Form S-8 will cover</w:t>
      </w:r>
      <w:r>
        <w:rPr>
          <w:sz w:val="20"/>
          <w:szCs w:val="20"/>
          <w:color w:val="auto"/>
        </w:rPr>
        <w:tab/>
      </w:r>
      <w:r>
        <w:rPr>
          <w:rFonts w:ascii="Arial" w:cs="Arial" w:eastAsia="Arial" w:hAnsi="Arial"/>
          <w:sz w:val="16"/>
          <w:szCs w:val="16"/>
          <w:color w:val="auto"/>
        </w:rPr>
        <w:t>shares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See “Shares Eligible for Future Sale” for a more detailed description of the restrictions on selling shares of our common stock after this offering.</w:t>
      </w:r>
    </w:p>
    <w:p>
      <w:pPr>
        <w:spacing w:after="0" w:line="145"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the future, we may also issue additional securities if we need to raise capital or make acquisitions, which could constitute a material portion of our then-outstanding shares of common stock.</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49"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spacing w:after="0" w:line="11"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 to be, limited by covenants of existing and any future outstanding indebtedness we or our subsidiaries incur, including under our existing Senior Secured Credit Facilities. Therefore, any return on investment in our common stock is solely dependent upon the appreciation of the price of our common stock on the open market, which may not occur. See “Dividend Policy” for more detail.</w:t>
      </w:r>
    </w:p>
    <w:p>
      <w:pPr>
        <w:spacing w:after="0" w:line="31" w:lineRule="exact"/>
        <w:rPr>
          <w:sz w:val="20"/>
          <w:szCs w:val="20"/>
          <w:color w:val="auto"/>
        </w:rPr>
      </w:pPr>
    </w:p>
    <w:p>
      <w:pPr>
        <w:ind w:right="620"/>
        <w:spacing w:after="0" w:line="255" w:lineRule="auto"/>
        <w:rPr>
          <w:sz w:val="20"/>
          <w:szCs w:val="20"/>
          <w:color w:val="auto"/>
        </w:rPr>
      </w:pPr>
      <w:r>
        <w:rPr>
          <w:rFonts w:ascii="Arial" w:cs="Arial" w:eastAsia="Arial" w:hAnsi="Arial"/>
          <w:sz w:val="17"/>
          <w:szCs w:val="17"/>
          <w:b w:val="1"/>
          <w:bCs w:val="1"/>
          <w:i w:val="1"/>
          <w:iCs w:val="1"/>
          <w:color w:val="auto"/>
        </w:rPr>
        <w:t>We are a holding company and rely on dividends and other payments, advances and transfers of funds from our subsidiaries to meet our obligations and pay any dividends.</w:t>
      </w:r>
    </w:p>
    <w:p>
      <w:pPr>
        <w:spacing w:after="0" w:line="11"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 See “Dividend Policy.”</w:t>
      </w:r>
    </w:p>
    <w:p>
      <w:pPr>
        <w:spacing w:after="0" w:line="3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trading market for shares of our common stock will be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JOBS Act provides that, so long as a company qualifies as an “emerging growth company,” it will, among other things:</w:t>
      </w:r>
    </w:p>
    <w:p>
      <w:pPr>
        <w:spacing w:after="0" w:line="184" w:lineRule="exact"/>
        <w:rPr>
          <w:sz w:val="20"/>
          <w:szCs w:val="20"/>
          <w:color w:val="auto"/>
        </w:rPr>
      </w:pPr>
    </w:p>
    <w:p>
      <w:pPr>
        <w:ind w:left="800" w:right="500" w:hanging="455"/>
        <w:spacing w:after="0" w:line="195" w:lineRule="auto"/>
        <w:tabs>
          <w:tab w:leader="none" w:pos="80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be exempt from the provisions of Section 404(b) of the Sarbanes-Oxley Act requiring that its independent registered public accounting firm provide an attestation report on the effectiveness of its internal control over financial reporting;</w:t>
      </w:r>
    </w:p>
    <w:p>
      <w:pPr>
        <w:ind w:left="800" w:hanging="455"/>
        <w:spacing w:after="0" w:line="193" w:lineRule="auto"/>
        <w:tabs>
          <w:tab w:leader="none" w:pos="80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be exempt from the “say on pay” and “say on golden parachute” advisory vote requirements of the Dodd-Frank Act;</w:t>
      </w:r>
    </w:p>
    <w:p>
      <w:pPr>
        <w:spacing w:after="0" w:line="23" w:lineRule="exact"/>
        <w:rPr>
          <w:rFonts w:ascii="Arial" w:cs="Arial" w:eastAsia="Arial" w:hAnsi="Arial"/>
          <w:sz w:val="24"/>
          <w:szCs w:val="24"/>
          <w:color w:val="auto"/>
          <w:vertAlign w:val="superscript"/>
        </w:rPr>
      </w:pPr>
    </w:p>
    <w:p>
      <w:pPr>
        <w:ind w:left="800" w:right="60" w:hanging="455"/>
        <w:spacing w:after="0" w:line="195" w:lineRule="auto"/>
        <w:tabs>
          <w:tab w:leader="none" w:pos="80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22" w:lineRule="exact"/>
        <w:rPr>
          <w:rFonts w:ascii="Arial" w:cs="Arial" w:eastAsia="Arial" w:hAnsi="Arial"/>
          <w:sz w:val="24"/>
          <w:szCs w:val="24"/>
          <w:color w:val="auto"/>
          <w:vertAlign w:val="superscript"/>
        </w:rPr>
      </w:pPr>
    </w:p>
    <w:p>
      <w:pPr>
        <w:ind w:left="800" w:right="80" w:hanging="455"/>
        <w:spacing w:after="0" w:line="195" w:lineRule="auto"/>
        <w:tabs>
          <w:tab w:leader="none" w:pos="80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be exempt from any rules that may be adopted by the Public Company Accounting Oversight Board requiring mandatory audit firm rotations or a supplement to the auditor’s report on the financial statements.</w:t>
      </w:r>
    </w:p>
    <w:p>
      <w:pPr>
        <w:spacing w:after="0" w:line="141"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We currently intend to take advantage of each of the exemptions described above. We have irrevocably elected not to take advantage of the extension of time to comply with new or revised financial accounting standards available under Section 107(b) of the JOBS Act. We could be an emerging growth company for up to five years after this offering. We cannot predict if investors will find our common stock less attractive if we elect to rely on these exemptions, or if taking advantage of these exemptions would result in less active trading or more volatility in the price of our common stock. For additional information about the implications of qualifying as an emerging growth company, see “Prospectus Summary—Implications of Being an Emerging Growth Company.”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49"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NOTE REGARDING FORWARD LOOKING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including the sections entitled “Prospectus Summary,” “Risk Factors,” “Management’s Discussion and Analysis of Financial Condition and Results of Operations,” and “Business,” contains forward looking statements. All statements other than statements of historical facts contained in this prospectus, including statements regarding our future results of operations and financial position, business strategy and plans and our objectives for future operations, are forward looking statements. The words “believe,” “may,” “might,” “will,” “estimate,” “continue,” “anticipate,” “intend,” “seek,” “plan,” “should,” “expect” and similar expressions are intended to identify forward looking statements. Examples of forward looking statements include, but are not limited to, statements we make regarding: (i) growth of (a) the CRO market, (b) biopharmaceutical companies’ development expenditures and (c) the percentage of biopharmaceutical clinical development costs that are outsourced to CROs; (ii) the amount of the expected conversion of our backlog to net service revenue; (iii) high-growth therapeutic areas and (iv) the continuous enhancement of our clinical development services and our therapeutic expertise.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and changes in circumstances that are difficult to predict.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 looking statements we may make. In light of these risks, uncertainties and assumptions, the forward looking events and circumstances discussed in this prospectus may not occur and actual results could differ materially and adversely from those anticipated or implied in the forward looking statements. We caution you therefore against relying on these forward looking statements.</w:t>
      </w:r>
    </w:p>
    <w:p>
      <w:pPr>
        <w:spacing w:after="0" w:line="147"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Some of the key factors that could cause actual results to differ from our expectations include regional, national or global political, economic, business, competitive, market and regulatory conditions and the following:</w:t>
      </w:r>
    </w:p>
    <w:p>
      <w:pPr>
        <w:spacing w:after="0" w:line="104" w:lineRule="exact"/>
        <w:rPr>
          <w:sz w:val="20"/>
          <w:szCs w:val="20"/>
          <w:color w:val="auto"/>
        </w:rPr>
      </w:pPr>
    </w:p>
    <w:p>
      <w:pPr>
        <w:ind w:left="800" w:hanging="455"/>
        <w:spacing w:after="0"/>
        <w:tabs>
          <w:tab w:leader="none" w:pos="80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the potential loss, delay or non-renewal of our contracts, or the non-payment by customers for services we have performed;</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failure to convert backlog to revenue at our historical conversion rate;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fluctuation in our results between fiscal quarters and years;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decreased operating margins due to increased pricing pressure or other pressures;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failure to perform our services in accordance with contractual requirements, government regulations and ethical considerations;</w:t>
      </w:r>
    </w:p>
    <w:p>
      <w:pPr>
        <w:spacing w:after="0" w:line="23" w:lineRule="exact"/>
        <w:rPr>
          <w:rFonts w:ascii="Arial" w:cs="Arial" w:eastAsia="Arial" w:hAnsi="Arial"/>
          <w:sz w:val="23"/>
          <w:szCs w:val="23"/>
          <w:color w:val="auto"/>
          <w:vertAlign w:val="superscript"/>
        </w:rPr>
      </w:pPr>
    </w:p>
    <w:p>
      <w:pPr>
        <w:ind w:left="800" w:right="940" w:hanging="455"/>
        <w:spacing w:after="0" w:line="195" w:lineRule="auto"/>
        <w:tabs>
          <w:tab w:leader="none" w:pos="80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the impact of underpricing our contracts, overrunning our cost estimates or failing to receive approval for or experiencing delays with documentation of change orders;</w:t>
      </w:r>
    </w:p>
    <w:p>
      <w:pPr>
        <w:ind w:left="800" w:hanging="455"/>
        <w:spacing w:after="0" w:line="193" w:lineRule="auto"/>
        <w:tabs>
          <w:tab w:leader="none" w:pos="80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our failure to successfully execute our growth strategies;</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impact of a failure to retain key personnel or recruit experienced personnel;</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our information systems infrastructure;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our failure to manage our growth effectively;</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adverse results from customer or therapeutic area concentration;</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doing business internationally;</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the Foreign Corrupt Practices Act and other anti-corruption laws;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future net losses;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impact of income tax rate fluctuations on operations, earnings and earnings per share;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our intercompany transfer pricing policies;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our failure to attract suitable investigators and patients for our clinical trials;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liability risks associated with our R&amp;D services;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risks related to our Phase I clinical services;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449"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38" w:lineRule="exact"/>
        <w:rPr>
          <w:sz w:val="20"/>
          <w:szCs w:val="20"/>
          <w:color w:val="auto"/>
        </w:rPr>
      </w:pPr>
    </w:p>
    <w:p>
      <w:pPr>
        <w:ind w:left="800" w:hanging="455"/>
        <w:spacing w:after="0"/>
        <w:tabs>
          <w:tab w:leader="none" w:pos="80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inadequate insurance coverage for our operations and indemnification obligations;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fluctuations in exchange rates;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risks related to our relationships with existing or potential customers who are in competition with each other;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failure to successfully integrate potential future acquisitions;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potential impairment of goodwill or other intangible assets;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limited ability to utilize our net operating loss carryforwards or other tax attributes;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the use and disposal of hazardous substances and waste;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failure of third parties to provide us critical support services;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limited ability to protect our intellectual property rights;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potential future investments in our customers’ businesses or drugs;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impact of a natural disaster or other catastrophic event;</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negative outsourcing trends in the biopharmaceutical industry and a reduction in aggregate expenditures and R&amp;D budgets;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inability to compete effectively with other CROs;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impact of healthcare reform;</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impact of recent consolidation in the biopharmaceutical industry;</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failure to comply with federal, state and foreign healthcare laws;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effect of current and proposed laws and regulations regarding the protection of personal data;</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potential involvement in costly intellectual property lawsuits;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actions by regulatory authorities or customers to limit the scope of or withdraw an approved drug, biologic or medical device from the market;</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failure to keep pace with rapid technological changes;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impact of industry-wide reputational harm to CROs;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ability to fulfill our debt obligations;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incurring additional debt or undertaking additional debt obligations;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effect of covenant restrictions under our debt agreements on our ability to operate our business;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inability to generate sufficient cash to service all of our indebtedness;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fluctuations in interest rates;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our dependence on our lenders, which may not be able to fund borrowings under their credit commitments, and our inability to borrow;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other factors set forth in “Risk Factors.”</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See “Risk Factors” for a further description of these and other factors. The forward looking statements included in this prospectus are made only as of the date hereof. You should not rely upon forward looking statements as predictions of future events. Although we believe that the expectations reflected in the forward looking statements are reasonable, we cannot guarantee that the future results, levels of activity, performance or events and circumstances reflected in the forward looking statements will be achieved or occur. Moreover, neither we nor any other person assumes responsibility for the accuracy and completeness of the forward looking statements. We undertake no obligation to update publicly any forward looking statements for any reason after the date of this prospectus to conform these statements to actual results or to changes in our expectations, except as may be required by law.</w:t>
      </w:r>
    </w:p>
    <w:p>
      <w:pPr>
        <w:spacing w:after="0" w:line="13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You should read this prospectus with the understanding that our actual future results, levels of activity, performance and events and circumstances may be materially different from what we expect.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449" w:right="2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332"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We estimate that the net proceeds to us from our sale of shares of our common stock in this offering will be approximately $ million, assuming an initial public offering price of $ per share (the midpoint of the price range listed on the cover page of this prospectus), and after deducting $ of estimated underwriting discounts and commissions and estimated expenses payable by us in connection with this offering. The underwriters may also purchase up to a maximum of additional shares of common stock from us pursuant to their option to purchase additional shares. We estimate that the net proceeds to us, if the underwriters exercise their right to purchase the maximum of additional shares of common stock from us, will be approximately $ , assuming an initial public offering price of $ per share (the midpoint of the price range listed on the cover page of this prospectus), and after deducting underwriting estimated discounts and commissions and estimated expenses payable by us in connection with this offering.</w:t>
      </w:r>
    </w:p>
    <w:p>
      <w:pPr>
        <w:sectPr>
          <w:pgSz w:w="11900" w:h="16838" w:orient="portrait"/>
          <w:cols w:equalWidth="0" w:num="1">
            <w:col w:w="11400"/>
          </w:cols>
          <w:pgMar w:left="240" w:top="449" w:right="259" w:bottom="1440" w:gutter="0" w:footer="0" w:header="0"/>
        </w:sectPr>
      </w:pP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intend to use the net proceeds of this offering to repay $ Secured Term Loan Facility.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million in aggregate principal amount of outstanding borrowings under our Senior</w:t>
      </w:r>
    </w:p>
    <w:p>
      <w:pPr>
        <w:spacing w:after="0" w:line="339" w:lineRule="exact"/>
        <w:rPr>
          <w:sz w:val="20"/>
          <w:szCs w:val="20"/>
          <w:color w:val="auto"/>
        </w:rPr>
      </w:pPr>
    </w:p>
    <w:p>
      <w:pPr>
        <w:sectPr>
          <w:pgSz w:w="11900" w:h="16838" w:orient="portrait"/>
          <w:cols w:equalWidth="0" w:num="2">
            <w:col w:w="4400" w:space="600"/>
            <w:col w:w="6400"/>
          </w:cols>
          <w:pgMar w:left="240" w:top="449" w:right="259" w:bottom="1440" w:gutter="0" w:footer="0" w:header="0"/>
          <w:type w:val="continuous"/>
        </w:sectPr>
      </w:pPr>
    </w:p>
    <w:p>
      <w:pPr>
        <w:spacing w:after="0" w:line="239" w:lineRule="auto"/>
        <w:rPr>
          <w:sz w:val="20"/>
          <w:szCs w:val="20"/>
          <w:color w:val="auto"/>
        </w:rPr>
      </w:pPr>
      <w:r>
        <w:rPr>
          <w:rFonts w:ascii="Arial" w:cs="Arial" w:eastAsia="Arial" w:hAnsi="Arial"/>
          <w:sz w:val="16"/>
          <w:szCs w:val="16"/>
          <w:color w:val="auto"/>
        </w:rPr>
        <w:t xml:space="preserve">The Senior Secured Term Loan Facility had $364.0 million outstanding (net of an unamortized discount of $1.8 million and unamortized debt issuance costs of $9.2 million) as of June 30, 2016 with a maturity date of April 1, 2021. Borrowings under the Senior Secured Term Loan Facility bear interest at a rate equal to, at our option, either (a) a Eurocurrency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 4.75:1.00, or 3.75% if our total net leverage ratio is less than or equal to 4.75:1:00; provided that the relevant Eurocurrency rate shall be deemed to be no less than 1.00% per annum; or (b) a base rate, which is defined as the highest of (i) the Federal Funds Rate on such day plus </w:t>
      </w:r>
      <w:r>
        <w:rPr>
          <w:rFonts w:ascii="Arial" w:cs="Arial" w:eastAsia="Arial" w:hAnsi="Arial"/>
          <w:sz w:val="12"/>
          <w:szCs w:val="12"/>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1.00%, (ii) the Prime Lending Rate on such day, (iii) the Adjusted Eurocurrency Rate for Loans denominated in U.S. dollars published on such day for an Interest Period of one month plus 1.00% and (iv) 2.00%, plus 3.00% per annum if our total net leverage ratio is greater than 4.75:1.00, or 2.75% if our total net leverage ratio is less than or equal to 4.75:1:00; provided that the base rate shall be deemed to be no less than 2.00% per annum. We may voluntarily prepay outstanding loans under the Senior Secured Term Loan Facility without premium or penalty. As of June 30, 2016, the interest applicable on the Senior Secured Term Loan Facility was the Eurocurrency minimum floor interest rate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4.75%. See “Management’s Discussion and Analysis of Financial Condition and Results of Operations—Liquidity and Capital Resources—Indebtedness.”</w:t>
      </w:r>
    </w:p>
    <w:p>
      <w:pPr>
        <w:spacing w:after="0" w:line="156" w:lineRule="exact"/>
        <w:rPr>
          <w:sz w:val="20"/>
          <w:szCs w:val="20"/>
          <w:color w:val="auto"/>
        </w:rPr>
      </w:pPr>
    </w:p>
    <w:p>
      <w:pPr>
        <w:ind w:right="800"/>
        <w:spacing w:after="0" w:line="235" w:lineRule="auto"/>
        <w:rPr>
          <w:sz w:val="20"/>
          <w:szCs w:val="20"/>
          <w:color w:val="auto"/>
        </w:rPr>
      </w:pPr>
      <w:r>
        <w:rPr>
          <w:rFonts w:ascii="Arial" w:cs="Arial" w:eastAsia="Arial" w:hAnsi="Arial"/>
          <w:sz w:val="17"/>
          <w:szCs w:val="17"/>
          <w:color w:val="auto"/>
        </w:rPr>
        <w:t>If the underwriters exercise their option to purchase additional shares from us in full, we estimate that we will receive additional net proceeds of $ million, which we intend to use to repay additional borrowings outstanding under our Senior Secured Term Loan Facility.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Assuming no exercise of the underwriters’ option to purchase additional shares, a $1.00 increase (decrease) in the assumed initial public offering price of</w:t>
      </w:r>
    </w:p>
    <w:p>
      <w:pPr>
        <w:ind w:left="700" w:hanging="695"/>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 share (the midpoint of the price range listed on the cover page of this prospectus) would increase (decrease) the net proceeds to us from this</w:t>
      </w:r>
    </w:p>
    <w:p>
      <w:pPr>
        <w:spacing w:after="0" w:line="239" w:lineRule="auto"/>
        <w:rPr>
          <w:sz w:val="20"/>
          <w:szCs w:val="20"/>
          <w:color w:val="auto"/>
        </w:rPr>
      </w:pPr>
      <w:r>
        <w:rPr>
          <w:rFonts w:ascii="Arial" w:cs="Arial" w:eastAsia="Arial" w:hAnsi="Arial"/>
          <w:sz w:val="16"/>
          <w:szCs w:val="16"/>
          <w:color w:val="auto"/>
        </w:rPr>
        <w:t>offering by $ million, assuming the number of shares offered by us, as set forth on the cover page of this prospectus, remains the same, and after deducting estimated underwriting discounts and commissions and estimated expenses payable by us in connection with this offering. We may also increase or decrease the number of shares we are offering. Each increase (decrease) of 1,000,000 shares in the number of shares of common stock offered by us</w:t>
      </w:r>
    </w:p>
    <w:p>
      <w:pPr>
        <w:ind w:right="180"/>
        <w:spacing w:after="0" w:line="231" w:lineRule="auto"/>
        <w:rPr>
          <w:sz w:val="20"/>
          <w:szCs w:val="20"/>
          <w:color w:val="auto"/>
        </w:rPr>
      </w:pPr>
      <w:r>
        <w:rPr>
          <w:rFonts w:ascii="Arial" w:cs="Arial" w:eastAsia="Arial" w:hAnsi="Arial"/>
          <w:sz w:val="17"/>
          <w:szCs w:val="17"/>
          <w:color w:val="auto"/>
        </w:rPr>
        <w:t>would increase (decrease) the net proceeds to us from this offering by $ million, assuming an initial public offering price of $ per share (the midpoint of the price range listed on the cover page of this prospectus), and after deducting estimated underwriting discounts and commissions and estimated expenses payable by us in connection with this offering.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449" w:right="259" w:bottom="1440" w:gutter="0" w:footer="0" w:header="0"/>
          <w:type w:val="continuous"/>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DIVIDEND POLICY</w:t>
      </w:r>
    </w:p>
    <w:p>
      <w:pPr>
        <w:spacing w:after="0" w:line="33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We have no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43"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4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Any future determination to declare dividends will be at the discretion of our Board and will take into account:</w:t>
      </w:r>
    </w:p>
    <w:p>
      <w:pPr>
        <w:spacing w:after="0" w:line="108" w:lineRule="exact"/>
        <w:rPr>
          <w:sz w:val="20"/>
          <w:szCs w:val="20"/>
          <w:color w:val="auto"/>
        </w:rPr>
      </w:pPr>
    </w:p>
    <w:p>
      <w:pPr>
        <w:ind w:left="800" w:hanging="455"/>
        <w:spacing w:after="0"/>
        <w:tabs>
          <w:tab w:leader="none" w:pos="80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restrictions in our debt instruments, including our Senior Secured Credit Facilities;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general economic business conditions;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net income, financial condition and results of operations;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capital requirements;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prospects;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ability of our operating subsidiaries to pay dividends and make distributions to us;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legal restrictions;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such other factors as our Board may deem relevant.</w:t>
      </w:r>
    </w:p>
    <w:p>
      <w:pPr>
        <w:spacing w:after="0" w:line="141" w:lineRule="exact"/>
        <w:rPr>
          <w:sz w:val="20"/>
          <w:szCs w:val="20"/>
          <w:color w:val="auto"/>
        </w:rPr>
      </w:pPr>
    </w:p>
    <w:p>
      <w:pPr>
        <w:ind w:right="500"/>
        <w:spacing w:after="0" w:line="235" w:lineRule="auto"/>
        <w:rPr>
          <w:sz w:val="20"/>
          <w:szCs w:val="20"/>
          <w:color w:val="auto"/>
        </w:rPr>
      </w:pPr>
      <w:r>
        <w:rPr>
          <w:rFonts w:ascii="Arial" w:cs="Arial" w:eastAsia="Arial" w:hAnsi="Arial"/>
          <w:sz w:val="17"/>
          <w:szCs w:val="17"/>
          <w:color w:val="auto"/>
        </w:rPr>
        <w:t>See “Management’s Discussion and Analysis of Financial Condition and Results of Operations—Liquidity and Capital Resources—Indebtedness” for restrictions on our ability to pay dividends.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449" w:right="2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cash equivalents and our capitalization, as of June 30, 2016:</w:t>
      </w:r>
    </w:p>
    <w:p>
      <w:pPr>
        <w:spacing w:after="0" w:line="120" w:lineRule="exact"/>
        <w:rPr>
          <w:sz w:val="20"/>
          <w:szCs w:val="20"/>
          <w:color w:val="auto"/>
        </w:rPr>
      </w:pPr>
    </w:p>
    <w:p>
      <w:pPr>
        <w:ind w:left="800" w:hanging="455"/>
        <w:spacing w:after="0"/>
        <w:tabs>
          <w:tab w:leader="none" w:pos="80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on an actual basis; and</w:t>
      </w:r>
    </w:p>
    <w:p>
      <w:pPr>
        <w:sectPr>
          <w:pgSz w:w="11900" w:h="16838" w:orient="portrait"/>
          <w:cols w:equalWidth="0" w:num="1">
            <w:col w:w="11420"/>
          </w:cols>
          <w:pgMar w:left="240" w:top="449" w:right="239" w:bottom="1440" w:gutter="0" w:footer="0" w:header="0"/>
        </w:sectPr>
      </w:pPr>
    </w:p>
    <w:p>
      <w:pPr>
        <w:spacing w:after="0" w:line="54" w:lineRule="exact"/>
        <w:rPr>
          <w:sz w:val="20"/>
          <w:szCs w:val="20"/>
          <w:color w:val="auto"/>
        </w:rPr>
      </w:pPr>
    </w:p>
    <w:p>
      <w:pPr>
        <w:ind w:left="340"/>
        <w:spacing w:after="0"/>
        <w:rPr>
          <w:sz w:val="20"/>
          <w:szCs w:val="20"/>
          <w:color w:val="auto"/>
        </w:rPr>
      </w:pPr>
      <w:r>
        <w:rPr>
          <w:rFonts w:ascii="Arial" w:cs="Arial" w:eastAsia="Arial" w:hAnsi="Arial"/>
          <w:sz w:val="10"/>
          <w:szCs w:val="10"/>
          <w:color w:val="auto"/>
        </w:rPr>
        <w:t>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120"/>
        <w:spacing w:after="0" w:line="203" w:lineRule="auto"/>
        <w:rPr>
          <w:sz w:val="20"/>
          <w:szCs w:val="20"/>
          <w:color w:val="auto"/>
        </w:rPr>
      </w:pPr>
      <w:r>
        <w:rPr>
          <w:rFonts w:ascii="Arial" w:cs="Arial" w:eastAsia="Arial" w:hAnsi="Arial"/>
          <w:sz w:val="17"/>
          <w:szCs w:val="17"/>
          <w:color w:val="auto"/>
        </w:rPr>
        <w:t>on an as adjusted basis to give effect to our issuance and sale of shares of our common stock in this offering at the initial public offering price of $ per share (the midpoint of the price range listed on the cover page of this prospectus), after deducting estimated underwriting discounts and commissions and estimated expenses payable by us in connection with this offering and the application of the net proceeds to be received by us from this offering as described under “Use of Proceeds.”</w:t>
      </w:r>
    </w:p>
    <w:p>
      <w:pPr>
        <w:spacing w:after="0" w:line="142" w:lineRule="exact"/>
        <w:rPr>
          <w:sz w:val="20"/>
          <w:szCs w:val="20"/>
          <w:color w:val="auto"/>
        </w:rPr>
      </w:pPr>
    </w:p>
    <w:p>
      <w:pPr>
        <w:sectPr>
          <w:pgSz w:w="11900" w:h="16838" w:orient="portrait"/>
          <w:cols w:equalWidth="0" w:num="2">
            <w:col w:w="400" w:space="400"/>
            <w:col w:w="10620"/>
          </w:cols>
          <w:pgMar w:left="240" w:top="449" w:right="239" w:bottom="1440" w:gutter="0" w:footer="0" w:header="0"/>
          <w:type w:val="continuous"/>
        </w:sectPr>
      </w:pPr>
    </w:p>
    <w:p>
      <w:pPr>
        <w:ind w:right="240"/>
        <w:spacing w:after="0" w:line="231" w:lineRule="auto"/>
        <w:rPr>
          <w:sz w:val="20"/>
          <w:szCs w:val="20"/>
          <w:color w:val="auto"/>
        </w:rPr>
      </w:pPr>
      <w:r>
        <w:rPr>
          <w:rFonts w:ascii="Arial" w:cs="Arial" w:eastAsia="Arial" w:hAnsi="Arial"/>
          <w:sz w:val="17"/>
          <w:szCs w:val="17"/>
          <w:color w:val="auto"/>
        </w:rPr>
        <w:t>You should read this information together with our audited consolidated financial statements and related notes included elsewhere in this prospectus and the information set forth under the headings ‘‘Use of Proceeds,’’ ‘‘Selected Historical Consolidated Financial and Other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JUNE 30, 2016</w:t>
            </w:r>
          </w:p>
        </w:tc>
        <w:tc>
          <w:tcPr>
            <w:tcW w:w="0" w:type="dxa"/>
            <w:vAlign w:val="bottom"/>
          </w:tcPr>
          <w:p>
            <w:pPr>
              <w:spacing w:after="0"/>
              <w:rPr>
                <w:sz w:val="1"/>
                <w:szCs w:val="1"/>
                <w:color w:val="auto"/>
              </w:rPr>
            </w:pPr>
          </w:p>
        </w:tc>
      </w:tr>
      <w:tr>
        <w:trPr>
          <w:trHeight w:val="150"/>
        </w:trPr>
        <w:tc>
          <w:tcPr>
            <w:tcW w:w="49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1460" w:type="dxa"/>
            <w:vAlign w:val="bottom"/>
            <w:tcBorders>
              <w:top w:val="single" w:sz="8" w:color="auto"/>
            </w:tcBorders>
            <w:gridSpan w:val="4"/>
          </w:tcPr>
          <w:p>
            <w:pPr>
              <w:jc w:val="right"/>
              <w:ind w:right="820"/>
              <w:spacing w:after="0" w:line="150" w:lineRule="exact"/>
              <w:rPr>
                <w:sz w:val="20"/>
                <w:szCs w:val="20"/>
                <w:color w:val="auto"/>
              </w:rPr>
            </w:pPr>
            <w:r>
              <w:rPr>
                <w:rFonts w:ascii="Arial" w:cs="Arial" w:eastAsia="Arial" w:hAnsi="Arial"/>
                <w:sz w:val="14"/>
                <w:szCs w:val="14"/>
                <w:b w:val="1"/>
                <w:bCs w:val="1"/>
                <w:color w:val="auto"/>
              </w:rPr>
              <w:t>ACTUAL</w:t>
            </w:r>
          </w:p>
        </w:tc>
        <w:tc>
          <w:tcPr>
            <w:tcW w:w="1120" w:type="dxa"/>
            <w:vAlign w:val="bottom"/>
            <w:tcBorders>
              <w:top w:val="single" w:sz="8" w:color="auto"/>
            </w:tcBorders>
          </w:tcPr>
          <w:p>
            <w:pPr>
              <w:spacing w:after="0" w:line="150"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7"/>
                <w:szCs w:val="17"/>
                <w:b w:val="1"/>
                <w:bCs w:val="1"/>
                <w:color w:val="auto"/>
                <w:vertAlign w:val="superscript"/>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Cash and cash equivalents</w:t>
            </w:r>
          </w:p>
        </w:tc>
        <w:tc>
          <w:tcPr>
            <w:tcW w:w="3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13,674</w:t>
            </w: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Debt:</w:t>
            </w: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 xml:space="preserve">Senior Secured Term Loan Facility </w:t>
            </w:r>
            <w:r>
              <w:rPr>
                <w:rFonts w:ascii="Arial" w:cs="Arial" w:eastAsia="Arial" w:hAnsi="Arial"/>
                <w:sz w:val="14"/>
                <w:szCs w:val="14"/>
                <w:color w:val="auto"/>
              </w:rPr>
              <w:t>(1)</w:t>
            </w: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w w:val="97"/>
              </w:rPr>
              <w:t>364,033</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 xml:space="preserve">Senior Secured Revolving Credit Facility </w:t>
            </w:r>
            <w:r>
              <w:rPr>
                <w:rFonts w:ascii="Arial" w:cs="Arial" w:eastAsia="Arial" w:hAnsi="Arial"/>
                <w:sz w:val="14"/>
                <w:szCs w:val="14"/>
                <w:color w:val="auto"/>
              </w:rPr>
              <w:t>(2)</w:t>
            </w:r>
          </w:p>
        </w:tc>
        <w:tc>
          <w:tcPr>
            <w:tcW w:w="3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740" w:type="dxa"/>
            <w:vAlign w:val="bottom"/>
            <w:gridSpan w:val="2"/>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Total long-term debt, net</w:t>
            </w: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w w:val="97"/>
              </w:rPr>
              <w:t>364,033</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line="189" w:lineRule="exact"/>
              <w:rPr>
                <w:sz w:val="20"/>
                <w:szCs w:val="20"/>
                <w:color w:val="auto"/>
              </w:rPr>
            </w:pPr>
            <w:r>
              <w:rPr>
                <w:rFonts w:ascii="Arial" w:cs="Arial" w:eastAsia="Arial" w:hAnsi="Arial"/>
                <w:sz w:val="17"/>
                <w:szCs w:val="17"/>
                <w:color w:val="auto"/>
              </w:rPr>
              <w:t>Shareholders’ equity:</w:t>
            </w:r>
          </w:p>
        </w:tc>
        <w:tc>
          <w:tcPr>
            <w:tcW w:w="39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900" w:type="dxa"/>
            <w:vAlign w:val="bottom"/>
            <w:gridSpan w:val="3"/>
            <w:shd w:val="clear" w:color="auto" w:fill="CCEEFF"/>
          </w:tcPr>
          <w:p>
            <w:pPr>
              <w:ind w:left="260"/>
              <w:spacing w:after="0" w:line="177" w:lineRule="exact"/>
              <w:rPr>
                <w:sz w:val="20"/>
                <w:szCs w:val="20"/>
                <w:color w:val="auto"/>
              </w:rPr>
            </w:pPr>
            <w:r>
              <w:rPr>
                <w:rFonts w:ascii="Arial" w:cs="Arial" w:eastAsia="Arial" w:hAnsi="Arial"/>
                <w:sz w:val="17"/>
                <w:szCs w:val="17"/>
                <w:color w:val="auto"/>
              </w:rPr>
              <w:t>Common stock, par value $0.01 per share; 60,000,000 shares authorized, 32,642,113 shares issued and</w:t>
            </w: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outstanding, actual; 250,000,000 shares authorized and</w:t>
            </w:r>
          </w:p>
        </w:tc>
        <w:tc>
          <w:tcPr>
            <w:tcW w:w="4000" w:type="dxa"/>
            <w:vAlign w:val="bottom"/>
            <w:gridSpan w:val="2"/>
            <w:shd w:val="clear" w:color="auto" w:fill="CCEEFF"/>
          </w:tcPr>
          <w:p>
            <w:pPr>
              <w:jc w:val="right"/>
              <w:ind w:right="1084"/>
              <w:spacing w:after="0" w:line="184" w:lineRule="exact"/>
              <w:rPr>
                <w:sz w:val="20"/>
                <w:szCs w:val="20"/>
                <w:color w:val="auto"/>
              </w:rPr>
            </w:pPr>
            <w:r>
              <w:rPr>
                <w:rFonts w:ascii="Arial" w:cs="Arial" w:eastAsia="Arial" w:hAnsi="Arial"/>
                <w:sz w:val="17"/>
                <w:szCs w:val="17"/>
                <w:color w:val="auto"/>
              </w:rPr>
              <w:t>shares issued and outstanding, as</w:t>
            </w: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adjusted</w:t>
            </w: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326</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Additional paid-in-capital</w:t>
            </w: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7"/>
              </w:rPr>
              <w:t>439,459</w:t>
            </w: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Accumulated deficit</w:t>
            </w: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700"/>
              <w:spacing w:after="0" w:line="184" w:lineRule="exact"/>
              <w:rPr>
                <w:sz w:val="20"/>
                <w:szCs w:val="20"/>
                <w:color w:val="auto"/>
              </w:rPr>
            </w:pPr>
            <w:r>
              <w:rPr>
                <w:rFonts w:ascii="Arial" w:cs="Arial" w:eastAsia="Arial" w:hAnsi="Arial"/>
                <w:sz w:val="17"/>
                <w:szCs w:val="17"/>
                <w:color w:val="auto"/>
              </w:rPr>
              <w:t>(14,599)</w:t>
            </w: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Accumulated other comprehensive loss</w:t>
            </w: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700"/>
              <w:spacing w:after="0" w:line="184" w:lineRule="exact"/>
              <w:rPr>
                <w:sz w:val="20"/>
                <w:szCs w:val="20"/>
                <w:color w:val="auto"/>
              </w:rPr>
            </w:pPr>
            <w:r>
              <w:rPr>
                <w:rFonts w:ascii="Arial" w:cs="Arial" w:eastAsia="Arial" w:hAnsi="Arial"/>
                <w:sz w:val="17"/>
                <w:szCs w:val="17"/>
                <w:color w:val="auto"/>
              </w:rPr>
              <w:t>(2,551)</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Total shareholders’ equity</w:t>
            </w:r>
          </w:p>
        </w:tc>
        <w:tc>
          <w:tcPr>
            <w:tcW w:w="390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97"/>
              </w:rPr>
              <w:t>422,636</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line="189" w:lineRule="exact"/>
              <w:rPr>
                <w:sz w:val="20"/>
                <w:szCs w:val="20"/>
                <w:color w:val="auto"/>
              </w:rPr>
            </w:pPr>
            <w:r>
              <w:rPr>
                <w:rFonts w:ascii="Arial" w:cs="Arial" w:eastAsia="Arial" w:hAnsi="Arial"/>
                <w:sz w:val="17"/>
                <w:szCs w:val="17"/>
                <w:color w:val="auto"/>
              </w:rPr>
              <w:t>Total capitalization</w:t>
            </w:r>
          </w:p>
        </w:tc>
        <w:tc>
          <w:tcPr>
            <w:tcW w:w="4000" w:type="dxa"/>
            <w:vAlign w:val="bottom"/>
            <w:gridSpan w:val="2"/>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7"/>
              </w:rPr>
              <w:t>786,669</w:t>
            </w: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2" w:lineRule="exact"/>
        <w:rPr>
          <w:sz w:val="20"/>
          <w:szCs w:val="20"/>
          <w:color w:val="auto"/>
        </w:rPr>
      </w:pPr>
    </w:p>
    <w:p>
      <w:pPr>
        <w:ind w:left="340" w:hanging="296"/>
        <w:spacing w:after="0"/>
        <w:tabs>
          <w:tab w:leader="none" w:pos="3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This amount is presented net of an unamortized discount of $1.8 million and unamortized debt issuance costs of $9.2 million.</w:t>
      </w:r>
    </w:p>
    <w:p>
      <w:pPr>
        <w:spacing w:after="0" w:line="28" w:lineRule="exact"/>
        <w:rPr>
          <w:rFonts w:ascii="Arial" w:cs="Arial" w:eastAsia="Arial" w:hAnsi="Arial"/>
          <w:sz w:val="24"/>
          <w:szCs w:val="24"/>
          <w:color w:val="auto"/>
          <w:vertAlign w:val="superscript"/>
        </w:rPr>
      </w:pPr>
    </w:p>
    <w:p>
      <w:pPr>
        <w:ind w:left="340" w:right="80" w:hanging="296"/>
        <w:spacing w:after="0" w:line="183" w:lineRule="auto"/>
        <w:tabs>
          <w:tab w:leader="none" w:pos="340" w:val="left"/>
        </w:tabs>
        <w:numPr>
          <w:ilvl w:val="0"/>
          <w:numId w:val="37"/>
        </w:numPr>
        <w:rPr>
          <w:rFonts w:ascii="Arial" w:cs="Arial" w:eastAsia="Arial" w:hAnsi="Arial"/>
          <w:sz w:val="22"/>
          <w:szCs w:val="22"/>
          <w:color w:val="auto"/>
          <w:vertAlign w:val="superscript"/>
        </w:rPr>
      </w:pPr>
      <w:r>
        <w:rPr>
          <w:rFonts w:ascii="Arial" w:cs="Arial" w:eastAsia="Arial" w:hAnsi="Arial"/>
          <w:sz w:val="13"/>
          <w:szCs w:val="13"/>
          <w:color w:val="auto"/>
        </w:rPr>
        <w:t>As of June 30, 2016, the Senior Secured Credit Facilities provided for a $60.0 million Senior Secured Revolving Credit Facility, under which we had no borrowings outstanding and $60.0 million of available borrowings.</w:t>
      </w:r>
    </w:p>
    <w:p>
      <w:pPr>
        <w:ind w:left="340" w:hanging="299"/>
        <w:spacing w:after="0" w:line="182" w:lineRule="auto"/>
        <w:tabs>
          <w:tab w:leader="none" w:pos="320" w:val="left"/>
        </w:tabs>
        <w:rPr>
          <w:sz w:val="20"/>
          <w:szCs w:val="20"/>
          <w:color w:val="auto"/>
        </w:rPr>
      </w:pP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3"/>
          <w:szCs w:val="13"/>
          <w:color w:val="auto"/>
        </w:rPr>
        <w:t>Assuming no exercise of the underwriters’ option to purchase additional shares, a $1.00 increase (decrease) in the assumed initial public offering price of $ per share (the midpoint of the price range listed on the cover page of this prospectus) would increase (decrease) the as adjusted amount of the Senior Secured Term Loan Facility, additional paid-</w:t>
      </w:r>
    </w:p>
    <w:p>
      <w:pPr>
        <w:spacing w:after="0" w:line="8" w:lineRule="exact"/>
        <w:rPr>
          <w:sz w:val="20"/>
          <w:szCs w:val="20"/>
          <w:color w:val="auto"/>
        </w:rPr>
      </w:pPr>
    </w:p>
    <w:p>
      <w:pPr>
        <w:ind w:left="340" w:right="240"/>
        <w:spacing w:after="0" w:line="473" w:lineRule="auto"/>
        <w:rPr>
          <w:sz w:val="20"/>
          <w:szCs w:val="20"/>
          <w:color w:val="auto"/>
        </w:rPr>
      </w:pPr>
      <w:r>
        <w:rPr>
          <w:rFonts w:ascii="Arial" w:cs="Arial" w:eastAsia="Arial" w:hAnsi="Arial"/>
          <w:sz w:val="14"/>
          <w:szCs w:val="14"/>
          <w:color w:val="auto"/>
        </w:rPr>
        <w:t>in capital and total shareholders’ equity by $ million, assuming the number of shares offered by us, as set forth on the cover page of this prospectus, remains the same. Each increase (decrease) of 1,000,000 shares in the number of shares of common stock offered by us would increase (decrease) the as adjusted amount of the Senior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right="260"/>
        <w:spacing w:after="0" w:line="245" w:lineRule="auto"/>
        <w:rPr>
          <w:sz w:val="20"/>
          <w:szCs w:val="20"/>
          <w:color w:val="auto"/>
        </w:rPr>
      </w:pPr>
      <w:r>
        <w:rPr>
          <w:rFonts w:ascii="Arial" w:cs="Arial" w:eastAsia="Arial" w:hAnsi="Arial"/>
          <w:sz w:val="14"/>
          <w:szCs w:val="14"/>
          <w:color w:val="auto"/>
        </w:rPr>
        <w:t>Term Loan Facility, additional paid-in capital and total shareholders’ equity by $ million, assuming an initial public offering price of $ per share (the midpoint of the price range listed on the cover page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49" w:right="239" w:bottom="1440" w:gutter="0" w:footer="0" w:header="0"/>
          <w:type w:val="continuous"/>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33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If you invest in our common stock in this offering, your interest will be diluted to the extent of the difference between the initial public offering price per share of our common stock and the net tangible book value per share of our common stock after this offering. Net tangible book value per share represents our total tangible assets less our total liabilities, divided by the total number of shares of common stock deemed to be outstanding at that date. Our net tangible</w:t>
      </w:r>
    </w:p>
    <w:p>
      <w:pPr>
        <w:spacing w:after="0"/>
        <w:tabs>
          <w:tab w:leader="none" w:pos="4140" w:val="left"/>
          <w:tab w:leader="none" w:pos="5780" w:val="left"/>
        </w:tabs>
        <w:rPr>
          <w:sz w:val="20"/>
          <w:szCs w:val="20"/>
          <w:color w:val="auto"/>
        </w:rPr>
      </w:pPr>
      <w:r>
        <w:rPr>
          <w:rFonts w:ascii="Arial" w:cs="Arial" w:eastAsia="Arial" w:hAnsi="Arial"/>
          <w:sz w:val="17"/>
          <w:szCs w:val="17"/>
          <w:color w:val="auto"/>
        </w:rPr>
        <w:t>book value (deficit) as of June 30, 2016 was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6"/>
          <w:szCs w:val="16"/>
          <w:color w:val="auto"/>
        </w:rPr>
        <w:t>) per share of our common stock.</w:t>
      </w:r>
    </w:p>
    <w:p>
      <w:pPr>
        <w:spacing w:after="0" w:line="133" w:lineRule="exact"/>
        <w:rPr>
          <w:sz w:val="20"/>
          <w:szCs w:val="20"/>
          <w:color w:val="auto"/>
        </w:rPr>
      </w:pPr>
    </w:p>
    <w:p>
      <w:pPr>
        <w:spacing w:after="0"/>
        <w:tabs>
          <w:tab w:leader="none" w:pos="3080" w:val="left"/>
          <w:tab w:leader="none" w:pos="10140" w:val="left"/>
        </w:tabs>
        <w:rPr>
          <w:sz w:val="20"/>
          <w:szCs w:val="20"/>
          <w:color w:val="auto"/>
        </w:rPr>
      </w:pPr>
      <w:r>
        <w:rPr>
          <w:rFonts w:ascii="Arial" w:cs="Arial" w:eastAsia="Arial" w:hAnsi="Arial"/>
          <w:sz w:val="17"/>
          <w:szCs w:val="17"/>
          <w:color w:val="auto"/>
        </w:rPr>
        <w:t>After giving effect to the sale of</w:t>
      </w:r>
      <w:r>
        <w:rPr>
          <w:sz w:val="20"/>
          <w:szCs w:val="20"/>
          <w:color w:val="auto"/>
        </w:rPr>
        <w:tab/>
      </w:r>
      <w:r>
        <w:rPr>
          <w:rFonts w:ascii="Arial" w:cs="Arial" w:eastAsia="Arial" w:hAnsi="Arial"/>
          <w:sz w:val="17"/>
          <w:szCs w:val="17"/>
          <w:color w:val="auto"/>
        </w:rPr>
        <w:t>shares of common stock in this offering at the assumed initial public offering price of $</w:t>
      </w:r>
      <w:r>
        <w:rPr>
          <w:sz w:val="20"/>
          <w:szCs w:val="20"/>
          <w:color w:val="auto"/>
        </w:rPr>
        <w:tab/>
      </w:r>
      <w:r>
        <w:rPr>
          <w:rFonts w:ascii="Arial" w:cs="Arial" w:eastAsia="Arial" w:hAnsi="Arial"/>
          <w:sz w:val="16"/>
          <w:szCs w:val="16"/>
          <w:color w:val="auto"/>
        </w:rPr>
        <w:t>per share (the</w:t>
      </w:r>
    </w:p>
    <w:p>
      <w:pPr>
        <w:spacing w:after="0" w:line="225" w:lineRule="auto"/>
        <w:rPr>
          <w:sz w:val="20"/>
          <w:szCs w:val="20"/>
          <w:color w:val="auto"/>
        </w:rPr>
      </w:pPr>
      <w:r>
        <w:rPr>
          <w:rFonts w:ascii="Arial" w:cs="Arial" w:eastAsia="Arial" w:hAnsi="Arial"/>
          <w:sz w:val="17"/>
          <w:szCs w:val="17"/>
          <w:color w:val="auto"/>
        </w:rPr>
        <w:t>midpoint of the price range listed on the cover page of this prospectus) and the application of the net proceeds from this offering, our as adjusted net</w:t>
      </w:r>
    </w:p>
    <w:p>
      <w:pPr>
        <w:spacing w:after="0" w:line="367"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tangible book value (deficit) as of June 30, 2016 would have been $ million, or $ per share of our common stock. This represents an immediate increase in net tangible book value (deficit) of $ per share to our existing investors and an immediate dilution in net tangible book value (deficit) of $ per share to new investors.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of common stock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 of common stock</w:t>
            </w:r>
          </w:p>
        </w:tc>
        <w:tc>
          <w:tcPr>
            <w:tcW w:w="6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6"/>
                <w:szCs w:val="16"/>
                <w:color w:val="auto"/>
              </w:rPr>
            </w:pPr>
          </w:p>
        </w:tc>
      </w:tr>
      <w:tr>
        <w:trPr>
          <w:trHeight w:val="183"/>
        </w:trPr>
        <w:tc>
          <w:tcPr>
            <w:tcW w:w="6260" w:type="dxa"/>
            <w:vAlign w:val="bottom"/>
          </w:tcPr>
          <w:p>
            <w:pPr>
              <w:ind w:left="260"/>
              <w:spacing w:after="0" w:line="184" w:lineRule="exact"/>
              <w:rPr>
                <w:sz w:val="20"/>
                <w:szCs w:val="20"/>
                <w:color w:val="auto"/>
              </w:rPr>
            </w:pPr>
            <w:r>
              <w:rPr>
                <w:rFonts w:ascii="Arial" w:cs="Arial" w:eastAsia="Arial" w:hAnsi="Arial"/>
                <w:sz w:val="17"/>
                <w:szCs w:val="17"/>
                <w:color w:val="auto"/>
                <w:w w:val="97"/>
              </w:rPr>
              <w:t>Net tangible book value (deficit) per share as of June 30, 2016 before this offering</w:t>
            </w:r>
          </w:p>
        </w:tc>
        <w:tc>
          <w:tcPr>
            <w:tcW w:w="640" w:type="dxa"/>
            <w:vAlign w:val="bottom"/>
          </w:tcPr>
          <w:p>
            <w:pPr>
              <w:spacing w:after="0"/>
              <w:rPr>
                <w:sz w:val="15"/>
                <w:szCs w:val="15"/>
                <w:color w:val="auto"/>
              </w:rPr>
            </w:pPr>
          </w:p>
        </w:tc>
        <w:tc>
          <w:tcPr>
            <w:tcW w:w="3120" w:type="dxa"/>
            <w:vAlign w:val="bottom"/>
            <w:gridSpan w:val="2"/>
          </w:tcPr>
          <w:p>
            <w:pPr>
              <w:jc w:val="right"/>
              <w:ind w:right="560"/>
              <w:spacing w:after="0" w:line="184" w:lineRule="exact"/>
              <w:rPr>
                <w:sz w:val="20"/>
                <w:szCs w:val="20"/>
                <w:color w:val="auto"/>
              </w:rPr>
            </w:pPr>
            <w:r>
              <w:rPr>
                <w:rFonts w:ascii="Arial" w:cs="Arial" w:eastAsia="Arial" w:hAnsi="Arial"/>
                <w:sz w:val="17"/>
                <w:szCs w:val="17"/>
                <w:color w:val="auto"/>
              </w:rPr>
              <w:t>$ (</w:t>
            </w:r>
          </w:p>
        </w:tc>
        <w:tc>
          <w:tcPr>
            <w:tcW w:w="440" w:type="dxa"/>
            <w:vAlign w:val="bottom"/>
          </w:tcPr>
          <w:p>
            <w:pPr>
              <w:jc w:val="right"/>
              <w:ind w:right="302"/>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2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w w:val="97"/>
              </w:rPr>
              <w:t>Increase in net tangible book value (deficit) per share attributable to new investors</w:t>
            </w:r>
          </w:p>
        </w:tc>
        <w:tc>
          <w:tcPr>
            <w:tcW w:w="6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6260" w:type="dxa"/>
            <w:vAlign w:val="bottom"/>
          </w:tcPr>
          <w:p>
            <w:pPr>
              <w:ind w:left="260"/>
              <w:spacing w:after="0" w:line="189" w:lineRule="exact"/>
              <w:rPr>
                <w:sz w:val="20"/>
                <w:szCs w:val="20"/>
                <w:color w:val="auto"/>
              </w:rPr>
            </w:pPr>
            <w:r>
              <w:rPr>
                <w:rFonts w:ascii="Arial" w:cs="Arial" w:eastAsia="Arial" w:hAnsi="Arial"/>
                <w:sz w:val="17"/>
                <w:szCs w:val="17"/>
                <w:color w:val="auto"/>
              </w:rPr>
              <w:t>As adjusted net tangible book value (deficit) per share after this offering</w:t>
            </w:r>
          </w:p>
        </w:tc>
        <w:tc>
          <w:tcPr>
            <w:tcW w:w="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2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Dilution in net tangible book value (deficit) per share to new investors</w:t>
            </w:r>
          </w:p>
        </w:tc>
        <w:tc>
          <w:tcPr>
            <w:tcW w:w="6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77"/>
              <w:spacing w:after="0" w:line="184" w:lineRule="exact"/>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5"/>
                <w:szCs w:val="15"/>
                <w:color w:val="auto"/>
              </w:rPr>
            </w:pPr>
          </w:p>
        </w:tc>
      </w:tr>
      <w:tr>
        <w:trPr>
          <w:trHeight w:val="20"/>
        </w:trPr>
        <w:tc>
          <w:tcPr>
            <w:tcW w:w="626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626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6"/>
          </w:tcPr>
          <w:p>
            <w:pPr>
              <w:spacing w:after="0"/>
              <w:rPr>
                <w:sz w:val="17"/>
                <w:szCs w:val="17"/>
                <w:color w:val="auto"/>
              </w:rPr>
            </w:pPr>
          </w:p>
        </w:tc>
      </w:tr>
      <w:tr>
        <w:trPr>
          <w:trHeight w:val="328"/>
        </w:trPr>
        <w:tc>
          <w:tcPr>
            <w:tcW w:w="6260" w:type="dxa"/>
            <w:vAlign w:val="bottom"/>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160" w:type="dxa"/>
            <w:vAlign w:val="bottom"/>
            <w:gridSpan w:val="6"/>
          </w:tcPr>
          <w:p>
            <w:pPr>
              <w:spacing w:after="0"/>
              <w:rPr>
                <w:sz w:val="20"/>
                <w:szCs w:val="20"/>
                <w:color w:val="auto"/>
              </w:rPr>
            </w:pPr>
            <w:r>
              <w:rPr>
                <w:rFonts w:ascii="Arial" w:cs="Arial" w:eastAsia="Arial" w:hAnsi="Arial"/>
                <w:sz w:val="17"/>
                <w:szCs w:val="17"/>
                <w:color w:val="auto"/>
                <w:w w:val="99"/>
              </w:rPr>
              <w:t>per share (the midpoint of the price range listed on the cover page of</w:t>
            </w:r>
          </w:p>
        </w:tc>
      </w:tr>
      <w:tr>
        <w:trPr>
          <w:trHeight w:val="183"/>
        </w:trPr>
        <w:tc>
          <w:tcPr>
            <w:tcW w:w="10460" w:type="dxa"/>
            <w:vAlign w:val="bottom"/>
            <w:gridSpan w:val="5"/>
          </w:tcPr>
          <w:p>
            <w:pPr>
              <w:spacing w:after="0" w:line="184" w:lineRule="exact"/>
              <w:rPr>
                <w:sz w:val="20"/>
                <w:szCs w:val="20"/>
                <w:color w:val="auto"/>
              </w:rPr>
            </w:pPr>
            <w:r>
              <w:rPr>
                <w:rFonts w:ascii="Arial" w:cs="Arial" w:eastAsia="Arial" w:hAnsi="Arial"/>
                <w:sz w:val="17"/>
                <w:szCs w:val="17"/>
                <w:color w:val="auto"/>
              </w:rPr>
              <w:t>this prospectus) would increase (decrease) the as adjusted net tangible book value (deficit) per share after this offering by approximately $</w:t>
            </w:r>
          </w:p>
        </w:tc>
        <w:tc>
          <w:tcPr>
            <w:tcW w:w="960" w:type="dxa"/>
            <w:vAlign w:val="bottom"/>
            <w:gridSpan w:val="2"/>
          </w:tcPr>
          <w:p>
            <w:pPr>
              <w:ind w:left="420"/>
              <w:spacing w:after="0" w:line="184" w:lineRule="exact"/>
              <w:rPr>
                <w:sz w:val="20"/>
                <w:szCs w:val="20"/>
                <w:color w:val="auto"/>
              </w:rPr>
            </w:pPr>
            <w:r>
              <w:rPr>
                <w:rFonts w:ascii="Arial" w:cs="Arial" w:eastAsia="Arial" w:hAnsi="Arial"/>
                <w:sz w:val="17"/>
                <w:szCs w:val="17"/>
                <w:color w:val="auto"/>
              </w:rPr>
              <w:t>, and</w:t>
            </w:r>
          </w:p>
        </w:tc>
      </w:tr>
      <w:tr>
        <w:trPr>
          <w:trHeight w:val="183"/>
        </w:trPr>
        <w:tc>
          <w:tcPr>
            <w:tcW w:w="6900" w:type="dxa"/>
            <w:vAlign w:val="bottom"/>
            <w:gridSpan w:val="2"/>
          </w:tcPr>
          <w:p>
            <w:pPr>
              <w:spacing w:after="0" w:line="184" w:lineRule="exact"/>
              <w:rPr>
                <w:sz w:val="20"/>
                <w:szCs w:val="20"/>
                <w:color w:val="auto"/>
              </w:rPr>
            </w:pPr>
            <w:r>
              <w:rPr>
                <w:rFonts w:ascii="Arial" w:cs="Arial" w:eastAsia="Arial" w:hAnsi="Arial"/>
                <w:sz w:val="17"/>
                <w:szCs w:val="17"/>
                <w:color w:val="auto"/>
              </w:rPr>
              <w:t>dilution in net tangible book value (deficit) per share to new investors by approximately $(</w:t>
            </w:r>
          </w:p>
        </w:tc>
        <w:tc>
          <w:tcPr>
            <w:tcW w:w="4520" w:type="dxa"/>
            <w:vAlign w:val="bottom"/>
            <w:gridSpan w:val="5"/>
          </w:tcPr>
          <w:p>
            <w:pPr>
              <w:ind w:left="360"/>
              <w:spacing w:after="0" w:line="184" w:lineRule="exact"/>
              <w:rPr>
                <w:sz w:val="20"/>
                <w:szCs w:val="20"/>
                <w:color w:val="auto"/>
              </w:rPr>
            </w:pPr>
            <w:r>
              <w:rPr>
                <w:rFonts w:ascii="Arial" w:cs="Arial" w:eastAsia="Arial" w:hAnsi="Arial"/>
                <w:sz w:val="17"/>
                <w:szCs w:val="17"/>
                <w:color w:val="auto"/>
                <w:w w:val="99"/>
              </w:rPr>
              <w:t>), assuming that the number of shares offered by us, as</w:t>
            </w:r>
          </w:p>
        </w:tc>
      </w:tr>
    </w:tbl>
    <w:p>
      <w:pPr>
        <w:ind w:right="360"/>
        <w:spacing w:after="0" w:line="235" w:lineRule="auto"/>
        <w:rPr>
          <w:sz w:val="20"/>
          <w:szCs w:val="20"/>
          <w:color w:val="auto"/>
        </w:rPr>
      </w:pPr>
      <w:r>
        <w:rPr>
          <w:rFonts w:ascii="Arial" w:cs="Arial" w:eastAsia="Arial" w:hAnsi="Arial"/>
          <w:sz w:val="17"/>
          <w:szCs w:val="17"/>
          <w:color w:val="auto"/>
        </w:rPr>
        <w:t>set forth on the cover page of this prospectus, remains the same and after deducting estimated underwriting discounts and commissions and estimated expenses payable by us in connection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shares of our common stock in full in this offering, the as adjusted net tangible book value</w:t>
      </w:r>
    </w:p>
    <w:p>
      <w:pPr>
        <w:spacing w:after="0"/>
        <w:tabs>
          <w:tab w:leader="none" w:pos="3420" w:val="left"/>
        </w:tabs>
        <w:rPr>
          <w:sz w:val="20"/>
          <w:szCs w:val="20"/>
          <w:color w:val="auto"/>
        </w:rPr>
      </w:pPr>
      <w:r>
        <w:rPr>
          <w:rFonts w:ascii="Arial" w:cs="Arial" w:eastAsia="Arial" w:hAnsi="Arial"/>
          <w:sz w:val="17"/>
          <w:szCs w:val="17"/>
          <w:color w:val="auto"/>
        </w:rPr>
        <w:t>(deficit) after the offering would be $(</w:t>
      </w:r>
      <w:r>
        <w:rPr>
          <w:sz w:val="20"/>
          <w:szCs w:val="20"/>
          <w:color w:val="auto"/>
        </w:rPr>
        <w:tab/>
      </w:r>
      <w:r>
        <w:rPr>
          <w:rFonts w:ascii="Arial" w:cs="Arial" w:eastAsia="Arial" w:hAnsi="Arial"/>
          <w:sz w:val="16"/>
          <w:szCs w:val="16"/>
          <w:color w:val="auto"/>
        </w:rPr>
        <w:t>) per share, the increase in net tangible book value (deficit) per share to existing shareholders would be</w:t>
      </w:r>
    </w:p>
    <w:p>
      <w:pPr>
        <w:spacing w:after="0"/>
        <w:tabs>
          <w:tab w:leader="none" w:pos="860" w:val="left"/>
          <w:tab w:leader="none" w:pos="81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 the dilution in net tangible book value (deficit) per share to new investors would be $(</w:t>
      </w:r>
      <w:r>
        <w:rPr>
          <w:sz w:val="20"/>
          <w:szCs w:val="20"/>
          <w:color w:val="auto"/>
        </w:rPr>
        <w:tab/>
      </w:r>
      <w:r>
        <w:rPr>
          <w:rFonts w:ascii="Arial" w:cs="Arial" w:eastAsia="Arial" w:hAnsi="Arial"/>
          <w:sz w:val="16"/>
          <w:szCs w:val="16"/>
          <w:color w:val="auto"/>
        </w:rPr>
        <w:t>) per share, in each case assuming an initial</w:t>
      </w:r>
    </w:p>
    <w:p>
      <w:pPr>
        <w:spacing w:after="0"/>
        <w:tabs>
          <w:tab w:leader="none" w:pos="2520" w:val="left"/>
        </w:tabs>
        <w:rPr>
          <w:sz w:val="20"/>
          <w:szCs w:val="20"/>
          <w:color w:val="auto"/>
        </w:rPr>
      </w:pPr>
      <w:r>
        <w:rPr>
          <w:rFonts w:ascii="Arial" w:cs="Arial" w:eastAsia="Arial" w:hAnsi="Arial"/>
          <w:sz w:val="17"/>
          <w:szCs w:val="17"/>
          <w:color w:val="auto"/>
        </w:rPr>
        <w:t>public offering price of $</w:t>
      </w:r>
      <w:r>
        <w:rPr>
          <w:sz w:val="20"/>
          <w:szCs w:val="20"/>
          <w:color w:val="auto"/>
        </w:rPr>
        <w:tab/>
      </w:r>
      <w:r>
        <w:rPr>
          <w:rFonts w:ascii="Arial" w:cs="Arial" w:eastAsia="Arial" w:hAnsi="Arial"/>
          <w:sz w:val="16"/>
          <w:szCs w:val="16"/>
          <w:color w:val="auto"/>
        </w:rPr>
        <w:t>per share (the midpoint of the price range listed on the cover page of this prospectus).</w:t>
      </w:r>
    </w:p>
    <w:p>
      <w:pPr>
        <w:spacing w:after="0" w:line="145"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The following table summarizes as of June 30, 2016, on an as adjusted basis after giving effect to this offering, the total number of shares of common stock purchased from us, the total cash consideration paid to us, or to be paid, and the average price per share paid, or to be paid, by our existing investors and</w:t>
      </w:r>
    </w:p>
    <w:p>
      <w:pPr>
        <w:spacing w:after="0" w:line="231" w:lineRule="auto"/>
        <w:rPr>
          <w:sz w:val="20"/>
          <w:szCs w:val="20"/>
          <w:color w:val="auto"/>
        </w:rPr>
      </w:pPr>
      <w:r>
        <w:rPr>
          <w:rFonts w:ascii="Arial" w:cs="Arial" w:eastAsia="Arial" w:hAnsi="Arial"/>
          <w:sz w:val="17"/>
          <w:szCs w:val="17"/>
          <w:color w:val="auto"/>
        </w:rPr>
        <w:t>by new investors purchasing shares in this offering, at the assumed initial public offering price of $ per share (the midpoint of the price range listed on the cover page of this prospectus) before deducting the estimated underwriting discounts and commissions and estimated expenses payable by us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SHARES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3"/>
          </w:tcPr>
          <w:p>
            <w:pPr>
              <w:jc w:val="center"/>
              <w:ind w:right="870"/>
              <w:spacing w:after="0"/>
              <w:rPr>
                <w:sz w:val="20"/>
                <w:szCs w:val="20"/>
                <w:color w:val="auto"/>
              </w:rPr>
            </w:pPr>
            <w:r>
              <w:rPr>
                <w:rFonts w:ascii="Arial" w:cs="Arial" w:eastAsia="Arial" w:hAnsi="Arial"/>
                <w:sz w:val="14"/>
                <w:szCs w:val="14"/>
                <w:b w:val="1"/>
                <w:bCs w:val="1"/>
                <w:color w:val="auto"/>
                <w:w w:val="98"/>
              </w:rPr>
              <w:t>TOTAL</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PURCHASED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CONSIDERATION</w:t>
            </w:r>
          </w:p>
        </w:tc>
        <w:tc>
          <w:tcPr>
            <w:tcW w:w="6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AVERAGE PRICE</w:t>
            </w:r>
          </w:p>
        </w:tc>
      </w:tr>
      <w:tr>
        <w:trPr>
          <w:trHeight w:val="150"/>
        </w:trPr>
        <w:tc>
          <w:tcPr>
            <w:tcW w:w="4840" w:type="dxa"/>
            <w:vAlign w:val="bottom"/>
          </w:tcPr>
          <w:p>
            <w:pPr>
              <w:spacing w:after="0"/>
              <w:rPr>
                <w:sz w:val="13"/>
                <w:szCs w:val="13"/>
                <w:color w:val="auto"/>
              </w:rPr>
            </w:pPr>
          </w:p>
        </w:tc>
        <w:tc>
          <w:tcPr>
            <w:tcW w:w="620" w:type="dxa"/>
            <w:vAlign w:val="bottom"/>
          </w:tcPr>
          <w:p>
            <w:pPr>
              <w:spacing w:after="0" w:line="150" w:lineRule="exact"/>
              <w:rPr>
                <w:sz w:val="20"/>
                <w:szCs w:val="20"/>
                <w:color w:val="auto"/>
              </w:rPr>
            </w:pPr>
            <w:r>
              <w:rPr>
                <w:rFonts w:ascii="Arial" w:cs="Arial" w:eastAsia="Arial" w:hAnsi="Arial"/>
                <w:sz w:val="14"/>
                <w:szCs w:val="14"/>
                <w:b w:val="1"/>
                <w:bCs w:val="1"/>
                <w:color w:val="auto"/>
                <w:w w:val="97"/>
              </w:rPr>
              <w:t>NUMBER</w:t>
            </w:r>
          </w:p>
        </w:tc>
        <w:tc>
          <w:tcPr>
            <w:tcW w:w="440" w:type="dxa"/>
            <w:vAlign w:val="bottom"/>
          </w:tcPr>
          <w:p>
            <w:pPr>
              <w:spacing w:after="0"/>
              <w:rPr>
                <w:sz w:val="13"/>
                <w:szCs w:val="13"/>
                <w:color w:val="auto"/>
              </w:rPr>
            </w:pPr>
          </w:p>
        </w:tc>
        <w:tc>
          <w:tcPr>
            <w:tcW w:w="660" w:type="dxa"/>
            <w:vAlign w:val="bottom"/>
          </w:tcPr>
          <w:p>
            <w:pPr>
              <w:spacing w:after="0" w:line="150" w:lineRule="exact"/>
              <w:rPr>
                <w:sz w:val="20"/>
                <w:szCs w:val="20"/>
                <w:color w:val="auto"/>
              </w:rPr>
            </w:pPr>
            <w:r>
              <w:rPr>
                <w:rFonts w:ascii="Arial" w:cs="Arial" w:eastAsia="Arial" w:hAnsi="Arial"/>
                <w:sz w:val="14"/>
                <w:szCs w:val="14"/>
                <w:b w:val="1"/>
                <w:bCs w:val="1"/>
                <w:color w:val="auto"/>
                <w:w w:val="95"/>
              </w:rPr>
              <w:t>PERCENT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line="150" w:lineRule="exact"/>
              <w:rPr>
                <w:sz w:val="20"/>
                <w:szCs w:val="20"/>
                <w:color w:val="auto"/>
              </w:rPr>
            </w:pPr>
            <w:r>
              <w:rPr>
                <w:rFonts w:ascii="Arial" w:cs="Arial" w:eastAsia="Arial" w:hAnsi="Arial"/>
                <w:sz w:val="14"/>
                <w:szCs w:val="14"/>
                <w:b w:val="1"/>
                <w:bCs w:val="1"/>
                <w:color w:val="auto"/>
                <w:w w:val="95"/>
              </w:rPr>
              <w:t>PERCENT</w:t>
            </w:r>
          </w:p>
        </w:tc>
        <w:tc>
          <w:tcPr>
            <w:tcW w:w="600" w:type="dxa"/>
            <w:vAlign w:val="bottom"/>
          </w:tcPr>
          <w:p>
            <w:pPr>
              <w:spacing w:after="0"/>
              <w:rPr>
                <w:sz w:val="13"/>
                <w:szCs w:val="13"/>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4"/>
                <w:szCs w:val="14"/>
                <w:b w:val="1"/>
                <w:bCs w:val="1"/>
                <w:color w:val="auto"/>
              </w:rPr>
              <w:t>PER SHARE</w:t>
            </w:r>
          </w:p>
        </w:tc>
      </w:tr>
      <w:tr>
        <w:trPr>
          <w:trHeight w:val="176"/>
        </w:trPr>
        <w:tc>
          <w:tcPr>
            <w:tcW w:w="48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Existing shareholders</w:t>
            </w:r>
          </w:p>
        </w:tc>
        <w:tc>
          <w:tcPr>
            <w:tcW w:w="6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jc w:val="right"/>
              <w:ind w:right="137"/>
              <w:spacing w:after="0" w:line="176" w:lineRule="exact"/>
              <w:rPr>
                <w:sz w:val="20"/>
                <w:szCs w:val="20"/>
                <w:color w:val="auto"/>
              </w:rPr>
            </w:pPr>
            <w:r>
              <w:rPr>
                <w:rFonts w:ascii="Arial" w:cs="Arial" w:eastAsia="Arial" w:hAnsi="Arial"/>
                <w:sz w:val="17"/>
                <w:szCs w:val="17"/>
                <w:color w:val="auto"/>
                <w:w w:val="92"/>
              </w:rPr>
              <w:t>%</w:t>
            </w:r>
          </w:p>
        </w:tc>
        <w:tc>
          <w:tcPr>
            <w:tcW w:w="2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784"/>
              <w:spacing w:after="0" w:line="176"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ind w:right="357"/>
              <w:spacing w:after="0" w:line="176" w:lineRule="exact"/>
              <w:rPr>
                <w:sz w:val="20"/>
                <w:szCs w:val="20"/>
                <w:color w:val="auto"/>
              </w:rPr>
            </w:pPr>
            <w:r>
              <w:rPr>
                <w:rFonts w:ascii="Arial" w:cs="Arial" w:eastAsia="Arial" w:hAnsi="Arial"/>
                <w:sz w:val="17"/>
                <w:szCs w:val="17"/>
                <w:color w:val="auto"/>
                <w:w w:val="92"/>
              </w:rPr>
              <w:t>%</w:t>
            </w:r>
          </w:p>
        </w:tc>
        <w:tc>
          <w:tcPr>
            <w:tcW w:w="1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90"/>
        </w:trPr>
        <w:tc>
          <w:tcPr>
            <w:tcW w:w="4840" w:type="dxa"/>
            <w:vAlign w:val="bottom"/>
          </w:tcPr>
          <w:p>
            <w:pPr>
              <w:spacing w:after="0" w:line="184" w:lineRule="exact"/>
              <w:rPr>
                <w:sz w:val="20"/>
                <w:szCs w:val="20"/>
                <w:color w:val="auto"/>
              </w:rPr>
            </w:pPr>
            <w:r>
              <w:rPr>
                <w:rFonts w:ascii="Arial" w:cs="Arial" w:eastAsia="Arial" w:hAnsi="Arial"/>
                <w:sz w:val="17"/>
                <w:szCs w:val="17"/>
                <w:color w:val="auto"/>
              </w:rPr>
              <w:t>New investors</w:t>
            </w:r>
          </w:p>
        </w:tc>
        <w:tc>
          <w:tcPr>
            <w:tcW w:w="6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Pr>
          <w:p>
            <w:pPr>
              <w:jc w:val="right"/>
              <w:ind w:right="137"/>
              <w:spacing w:after="0" w:line="184" w:lineRule="exact"/>
              <w:rPr>
                <w:sz w:val="20"/>
                <w:szCs w:val="20"/>
                <w:color w:val="auto"/>
              </w:rPr>
            </w:pPr>
            <w:r>
              <w:rPr>
                <w:rFonts w:ascii="Arial" w:cs="Arial" w:eastAsia="Arial" w:hAnsi="Arial"/>
                <w:sz w:val="17"/>
                <w:szCs w:val="17"/>
                <w:color w:val="auto"/>
                <w:w w:val="92"/>
              </w:rPr>
              <w:t>%</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784"/>
              <w:spacing w:after="0" w:line="184" w:lineRule="exact"/>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0" w:type="dxa"/>
            <w:vAlign w:val="bottom"/>
          </w:tcPr>
          <w:p>
            <w:pPr>
              <w:jc w:val="right"/>
              <w:ind w:right="357"/>
              <w:spacing w:after="0" w:line="184" w:lineRule="exact"/>
              <w:rPr>
                <w:sz w:val="20"/>
                <w:szCs w:val="20"/>
                <w:color w:val="auto"/>
              </w:rPr>
            </w:pPr>
            <w:r>
              <w:rPr>
                <w:rFonts w:ascii="Arial" w:cs="Arial" w:eastAsia="Arial" w:hAnsi="Arial"/>
                <w:sz w:val="17"/>
                <w:szCs w:val="17"/>
                <w:color w:val="auto"/>
                <w:w w:val="92"/>
              </w:rPr>
              <w:t>%</w:t>
            </w:r>
          </w:p>
        </w:tc>
        <w:tc>
          <w:tcPr>
            <w:tcW w:w="1160" w:type="dxa"/>
            <w:vAlign w:val="bottom"/>
            <w:tcBorders>
              <w:bottom w:val="single" w:sz="8" w:color="auto"/>
            </w:tcBorders>
          </w:tcPr>
          <w:p>
            <w:pPr>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3"/>
        </w:trPr>
        <w:tc>
          <w:tcPr>
            <w:tcW w:w="546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Total</w:t>
            </w: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37"/>
              <w:spacing w:after="0" w:line="184" w:lineRule="exact"/>
              <w:rPr>
                <w:sz w:val="20"/>
                <w:szCs w:val="20"/>
                <w:color w:val="auto"/>
              </w:rPr>
            </w:pPr>
            <w:r>
              <w:rPr>
                <w:rFonts w:ascii="Arial" w:cs="Arial" w:eastAsia="Arial" w:hAnsi="Arial"/>
                <w:sz w:val="17"/>
                <w:szCs w:val="17"/>
                <w:color w:val="auto"/>
                <w:w w:val="92"/>
              </w:rPr>
              <w:t>%</w:t>
            </w:r>
          </w:p>
        </w:tc>
        <w:tc>
          <w:tcPr>
            <w:tcW w:w="1180" w:type="dxa"/>
            <w:vAlign w:val="bottom"/>
            <w:gridSpan w:val="2"/>
            <w:shd w:val="clear" w:color="auto" w:fill="CCEEFF"/>
          </w:tcPr>
          <w:p>
            <w:pPr>
              <w:jc w:val="right"/>
              <w:ind w:right="784"/>
              <w:spacing w:after="0" w:line="18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57"/>
              <w:spacing w:after="0" w:line="184" w:lineRule="exact"/>
              <w:rPr>
                <w:sz w:val="20"/>
                <w:szCs w:val="20"/>
                <w:color w:val="auto"/>
              </w:rPr>
            </w:pPr>
            <w:r>
              <w:rPr>
                <w:rFonts w:ascii="Arial" w:cs="Arial" w:eastAsia="Arial" w:hAnsi="Arial"/>
                <w:sz w:val="17"/>
                <w:szCs w:val="17"/>
                <w:color w:val="auto"/>
                <w:w w:val="92"/>
              </w:rPr>
              <w:t>%</w:t>
            </w:r>
          </w:p>
        </w:tc>
        <w:tc>
          <w:tcPr>
            <w:tcW w:w="11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r>
      <w:tr>
        <w:trPr>
          <w:trHeight w:val="20"/>
        </w:trPr>
        <w:tc>
          <w:tcPr>
            <w:tcW w:w="4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550"/>
        </w:trPr>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51</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tabs>
          <w:tab w:leader="none" w:pos="6240" w:val="left"/>
        </w:tabs>
        <w:rPr>
          <w:sz w:val="20"/>
          <w:szCs w:val="20"/>
          <w:color w:val="auto"/>
        </w:rPr>
      </w:pPr>
      <w:r>
        <w:rPr>
          <w:rFonts w:ascii="Arial" w:cs="Arial" w:eastAsia="Arial" w:hAnsi="Arial"/>
          <w:sz w:val="17"/>
          <w:szCs w:val="17"/>
          <w:color w:val="auto"/>
        </w:rPr>
        <w:t>A $1.00 increase (decrease) in the assumed initial public offering price of $</w:t>
      </w:r>
      <w:r>
        <w:rPr>
          <w:sz w:val="20"/>
          <w:szCs w:val="20"/>
          <w:color w:val="auto"/>
        </w:rPr>
        <w:tab/>
      </w:r>
      <w:r>
        <w:rPr>
          <w:rFonts w:ascii="Arial" w:cs="Arial" w:eastAsia="Arial" w:hAnsi="Arial"/>
          <w:sz w:val="16"/>
          <w:szCs w:val="16"/>
          <w:color w:val="auto"/>
        </w:rPr>
        <w:t>per share (the midpoint of the price range listed on the cover page of</w:t>
      </w:r>
    </w:p>
    <w:p>
      <w:pPr>
        <w:spacing w:after="0" w:line="225" w:lineRule="auto"/>
        <w:rPr>
          <w:sz w:val="20"/>
          <w:szCs w:val="20"/>
          <w:color w:val="auto"/>
        </w:rPr>
      </w:pPr>
      <w:r>
        <w:rPr>
          <w:rFonts w:ascii="Arial" w:cs="Arial" w:eastAsia="Arial" w:hAnsi="Arial"/>
          <w:sz w:val="17"/>
          <w:szCs w:val="17"/>
          <w:color w:val="auto"/>
        </w:rPr>
        <w:t>this prospectus) would increase (decrease) the total consideration paid by new investors and the total consideration paid by all shareholders by $</w:t>
      </w:r>
    </w:p>
    <w:p>
      <w:pPr>
        <w:spacing w:after="0"/>
        <w:rPr>
          <w:sz w:val="20"/>
          <w:szCs w:val="20"/>
          <w:color w:val="auto"/>
        </w:rPr>
      </w:pPr>
      <w:r>
        <w:rPr>
          <w:rFonts w:ascii="Arial" w:cs="Arial" w:eastAsia="Arial" w:hAnsi="Arial"/>
          <w:sz w:val="16"/>
          <w:szCs w:val="16"/>
          <w:color w:val="auto"/>
        </w:rPr>
        <w:t>million, assuming the number of shares offered by us remains the same and before deducting the estimated underwriting discounts and commissions and</w:t>
      </w:r>
    </w:p>
    <w:p>
      <w:pPr>
        <w:spacing w:after="0"/>
        <w:rPr>
          <w:sz w:val="20"/>
          <w:szCs w:val="20"/>
          <w:color w:val="auto"/>
        </w:rPr>
      </w:pPr>
      <w:r>
        <w:rPr>
          <w:rFonts w:ascii="Arial" w:cs="Arial" w:eastAsia="Arial" w:hAnsi="Arial"/>
          <w:sz w:val="17"/>
          <w:szCs w:val="17"/>
          <w:color w:val="auto"/>
        </w:rPr>
        <w:t>estimated expenses payable by us in connection with this offering.</w:t>
      </w:r>
    </w:p>
    <w:p>
      <w:pPr>
        <w:spacing w:after="0" w:line="145"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If the underwriters were to fully exercise their option to purchase additional shares of our common stock, the percentage of shares of our common stock held by existing investors would be %, and the percentage of shares of our common stock held by new investors would be %.</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above discussion and tables are based on the number of shares outstanding as of June 30, 2016 and excludes:</w:t>
      </w:r>
    </w:p>
    <w:p>
      <w:pPr>
        <w:spacing w:after="0" w:line="92" w:lineRule="exact"/>
        <w:rPr>
          <w:sz w:val="20"/>
          <w:szCs w:val="20"/>
          <w:color w:val="auto"/>
        </w:rPr>
      </w:pPr>
    </w:p>
    <w:p>
      <w:pPr>
        <w:ind w:left="800" w:hanging="455"/>
        <w:spacing w:after="0"/>
        <w:tabs>
          <w:tab w:leader="none" w:pos="80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shares of common stock issuable upon exercise of stock options outstanding as of June 30, 2016 at a weighted average exercise price of</w:t>
      </w:r>
    </w:p>
    <w:p>
      <w:pPr>
        <w:ind w:left="1660" w:hanging="870"/>
        <w:spacing w:after="0"/>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 share; and</w:t>
      </w:r>
    </w:p>
    <w:p>
      <w:pPr>
        <w:spacing w:after="0" w:line="19" w:lineRule="exact"/>
        <w:rPr>
          <w:sz w:val="20"/>
          <w:szCs w:val="20"/>
          <w:color w:val="auto"/>
        </w:rPr>
      </w:pPr>
    </w:p>
    <w:p>
      <w:pPr>
        <w:ind w:left="800" w:right="120" w:hanging="459"/>
        <w:spacing w:after="0" w:line="203" w:lineRule="auto"/>
        <w:tabs>
          <w:tab w:leader="none" w:pos="780" w:val="left"/>
        </w:tabs>
        <w:rPr>
          <w:sz w:val="20"/>
          <w:szCs w:val="20"/>
          <w:color w:val="auto"/>
        </w:rPr>
      </w:pPr>
      <w:r>
        <w:rPr>
          <w:rFonts w:ascii="Arial" w:cs="Arial" w:eastAsia="Arial" w:hAnsi="Arial"/>
          <w:sz w:val="24"/>
          <w:szCs w:val="24"/>
          <w:color w:val="auto"/>
          <w:vertAlign w:val="superscript"/>
        </w:rPr>
        <w:t>n</w:t>
      </w:r>
      <w:r>
        <w:rPr>
          <w:sz w:val="20"/>
          <w:szCs w:val="20"/>
          <w:color w:val="auto"/>
        </w:rPr>
        <w:tab/>
      </w:r>
      <w:r>
        <w:rPr>
          <w:rFonts w:ascii="Arial" w:cs="Arial" w:eastAsia="Arial" w:hAnsi="Arial"/>
          <w:sz w:val="17"/>
          <w:szCs w:val="17"/>
          <w:color w:val="auto"/>
        </w:rPr>
        <w:t>an additional shares of common stock reserved for future issuance under the Plan, including pursuant to equity awards to be granted in connection with this offering, as described in “Executive and Director Compensation—Narrative to Summary Compensation Table—Offering Grants to Employees under the 2016 Incentive Award Plan.”</w:t>
      </w:r>
    </w:p>
    <w:p>
      <w:pPr>
        <w:spacing w:after="0" w:line="15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shareholders. See “Risk Factors—Risks Relating to Our Common Stock and this Offering—If you purchase shares of common stock sold in this offering, you will incur immediate and substantial dilution.”</w:t>
      </w:r>
    </w:p>
    <w:p>
      <w:pPr>
        <w:spacing w:after="0" w:line="14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However, because indications of interest are not binding agreements or commitments to purchase, this existing shareholder may determine to increase or reduce the amount of his indication of interest, or otherwise elect not to purchase any shares. It is also possible that the number of shares, if any, allocated to this shareholder in the offering may be smaller than the amount of his indication of interest. Any allocation of shares in the offering to this existing shareholder will be made at our direction.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49"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CONSOLIDATED FINANCIAL AND OTHER DATA</w:t>
      </w:r>
    </w:p>
    <w:p>
      <w:pPr>
        <w:spacing w:after="0" w:line="332"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following tables set forth our selected consolidated historical financial and other data for the periods ending on and as of the dates indicated. We derived the consolidated statements of operations data for the years ended December 31, 2013 (Predecessor) and December 31, 2015 (Successor) and the consolidated balance sheet data as of December 31, 2014 and December 31, 2015 from our audited consolidated financial statements and the related notes thereto included elsewhere in this prospectus. We derived the consolidated statements of operations data for the Predecessor three month period ended March 31, 2014 and the Successor nine month period ended December 31, 2014 from our audited consolidated financial statements and the related notes thereto included elsewhere in this prospectus. We derived the condensed consolidated statements of operations data for the Successor six months ended June 30, 2015 and June 30, 2016 and the condensed consolidated balance sheet data as of June 30, 2016 from our unaudited condensed consolidated financial statements included elsewhere in this prospectus. We have prepared the unaudited condensed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w:t>
      </w:r>
    </w:p>
    <w:p>
      <w:pPr>
        <w:spacing w:after="0" w:line="143"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period and Successor period.</w:t>
      </w:r>
    </w:p>
    <w:p>
      <w:pPr>
        <w:spacing w:after="0" w:line="143"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The results for any interim period are not necessarily indicative of the results that may be expected for a full year. Additionally, our historical results are not necessarily indicative of future results. You should read the information set forth below together with “Management’s Discussion and Analysis of Financial Condition and Results of Operations,” “Capitalization” and our consolidated financial statements and the related notes thereto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NINE MONTH</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gridSpan w:val="3"/>
          </w:tcPr>
          <w:p>
            <w:pPr>
              <w:jc w:val="center"/>
              <w:ind w:right="180"/>
              <w:spacing w:after="0" w:line="139" w:lineRule="exact"/>
              <w:rPr>
                <w:sz w:val="20"/>
                <w:szCs w:val="20"/>
                <w:color w:val="auto"/>
              </w:rPr>
            </w:pPr>
            <w:r>
              <w:rPr>
                <w:rFonts w:ascii="Arial" w:cs="Arial" w:eastAsia="Arial" w:hAnsi="Arial"/>
                <w:sz w:val="14"/>
                <w:szCs w:val="14"/>
                <w:b w:val="1"/>
                <w:bCs w:val="1"/>
                <w:color w:val="auto"/>
                <w:w w:val="99"/>
              </w:rPr>
              <w:t>THREE MONTH</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right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3"/>
                <w:szCs w:val="13"/>
                <w:color w:val="auto"/>
              </w:rPr>
            </w:pPr>
          </w:p>
        </w:tc>
        <w:tc>
          <w:tcPr>
            <w:tcW w:w="120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7"/>
              </w:rPr>
              <w:t>SIX</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30"/>
              <w:spacing w:after="0" w:line="157" w:lineRule="exact"/>
              <w:rPr>
                <w:sz w:val="20"/>
                <w:szCs w:val="20"/>
                <w:color w:val="auto"/>
              </w:rPr>
            </w:pPr>
            <w:r>
              <w:rPr>
                <w:rFonts w:ascii="Arial" w:cs="Arial" w:eastAsia="Arial" w:hAnsi="Arial"/>
                <w:sz w:val="14"/>
                <w:szCs w:val="14"/>
                <w:b w:val="1"/>
                <w:bCs w:val="1"/>
                <w:color w:val="auto"/>
              </w:rPr>
              <w:t>SIX</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APRIL 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JANUARY 1,</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MONTHS</w:t>
            </w:r>
          </w:p>
        </w:tc>
        <w:tc>
          <w:tcPr>
            <w:tcW w:w="100" w:type="dxa"/>
            <w:vAlign w:val="bottom"/>
          </w:tcPr>
          <w:p>
            <w:pPr>
              <w:spacing w:after="0"/>
              <w:rPr>
                <w:sz w:val="13"/>
                <w:szCs w:val="13"/>
                <w:color w:val="auto"/>
              </w:rPr>
            </w:pPr>
          </w:p>
        </w:tc>
        <w:tc>
          <w:tcPr>
            <w:tcW w:w="720" w:type="dxa"/>
            <w:vAlign w:val="bottom"/>
            <w:gridSpan w:val="3"/>
          </w:tcPr>
          <w:p>
            <w:pPr>
              <w:jc w:val="center"/>
              <w:ind w:right="50"/>
              <w:spacing w:after="0" w:line="157" w:lineRule="exact"/>
              <w:rPr>
                <w:sz w:val="20"/>
                <w:szCs w:val="20"/>
                <w:color w:val="auto"/>
              </w:rPr>
            </w:pPr>
            <w:r>
              <w:rPr>
                <w:rFonts w:ascii="Arial" w:cs="Arial" w:eastAsia="Arial" w:hAnsi="Arial"/>
                <w:sz w:val="14"/>
                <w:szCs w:val="14"/>
                <w:b w:val="1"/>
                <w:bCs w:val="1"/>
                <w:color w:val="auto"/>
                <w:w w:val="98"/>
              </w:rPr>
              <w:t>MONTHS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0"/>
              <w:spacing w:after="0" w:line="157"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0"/>
              <w:spacing w:after="0" w:line="157"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3"/>
                <w:szCs w:val="13"/>
                <w:color w:val="auto"/>
              </w:rPr>
            </w:pPr>
          </w:p>
        </w:tc>
        <w:tc>
          <w:tcPr>
            <w:tcW w:w="720" w:type="dxa"/>
            <w:vAlign w:val="bottom"/>
            <w:gridSpan w:val="3"/>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ENDED</w:t>
            </w:r>
          </w:p>
        </w:tc>
        <w:tc>
          <w:tcPr>
            <w:tcW w:w="60" w:type="dxa"/>
            <w:vAlign w:val="bottom"/>
          </w:tcPr>
          <w:p>
            <w:pPr>
              <w:spacing w:after="0"/>
              <w:rPr>
                <w:sz w:val="13"/>
                <w:szCs w:val="13"/>
                <w:color w:val="auto"/>
              </w:rPr>
            </w:pPr>
          </w:p>
        </w:tc>
        <w:tc>
          <w:tcPr>
            <w:tcW w:w="1160" w:type="dxa"/>
            <w:vAlign w:val="bottom"/>
            <w:gridSpan w:val="3"/>
          </w:tcPr>
          <w:p>
            <w:pPr>
              <w:jc w:val="right"/>
              <w:ind w:right="180"/>
              <w:spacing w:after="0" w:line="15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THROUGH</w:t>
            </w:r>
          </w:p>
        </w:tc>
        <w:tc>
          <w:tcPr>
            <w:tcW w:w="112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7"/>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Pr>
          <w:p>
            <w:pPr>
              <w:spacing w:after="0"/>
              <w:rPr>
                <w:sz w:val="13"/>
                <w:szCs w:val="13"/>
                <w:color w:val="auto"/>
              </w:rPr>
            </w:pPr>
          </w:p>
        </w:tc>
        <w:tc>
          <w:tcPr>
            <w:tcW w:w="7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JUNE 30,</w:t>
            </w:r>
          </w:p>
        </w:tc>
        <w:tc>
          <w:tcPr>
            <w:tcW w:w="100" w:type="dxa"/>
            <w:vAlign w:val="bottom"/>
          </w:tcPr>
          <w:p>
            <w:pPr>
              <w:spacing w:after="0"/>
              <w:rPr>
                <w:sz w:val="13"/>
                <w:szCs w:val="13"/>
                <w:color w:val="auto"/>
              </w:rPr>
            </w:pPr>
          </w:p>
        </w:tc>
        <w:tc>
          <w:tcPr>
            <w:tcW w:w="720" w:type="dxa"/>
            <w:vAlign w:val="bottom"/>
            <w:gridSpan w:val="3"/>
          </w:tcPr>
          <w:p>
            <w:pPr>
              <w:jc w:val="center"/>
              <w:ind w:right="50"/>
              <w:spacing w:after="0" w:line="157" w:lineRule="exact"/>
              <w:rPr>
                <w:sz w:val="20"/>
                <w:szCs w:val="20"/>
                <w:color w:val="auto"/>
              </w:rPr>
            </w:pPr>
            <w:r>
              <w:rPr>
                <w:rFonts w:ascii="Arial" w:cs="Arial" w:eastAsia="Arial" w:hAnsi="Arial"/>
                <w:sz w:val="14"/>
                <w:szCs w:val="14"/>
                <w:b w:val="1"/>
                <w:bCs w:val="1"/>
                <w:color w:val="auto"/>
                <w:w w:val="98"/>
              </w:rPr>
              <w:t>JUNE 30,</w:t>
            </w:r>
          </w:p>
        </w:tc>
        <w:tc>
          <w:tcPr>
            <w:tcW w:w="60" w:type="dxa"/>
            <w:vAlign w:val="bottom"/>
          </w:tcPr>
          <w:p>
            <w:pPr>
              <w:spacing w:after="0"/>
              <w:rPr>
                <w:sz w:val="13"/>
                <w:szCs w:val="13"/>
                <w:color w:val="auto"/>
              </w:rPr>
            </w:pPr>
          </w:p>
        </w:tc>
        <w:tc>
          <w:tcPr>
            <w:tcW w:w="11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MARCH 31,</w:t>
            </w:r>
          </w:p>
        </w:tc>
        <w:tc>
          <w:tcPr>
            <w:tcW w:w="1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30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Consolidated Statements of Operations Data:</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line="157" w:lineRule="exact"/>
              <w:rPr>
                <w:sz w:val="20"/>
                <w:szCs w:val="20"/>
                <w:color w:val="auto"/>
              </w:rPr>
            </w:pPr>
            <w:r>
              <w:rPr>
                <w:rFonts w:ascii="Arial" w:cs="Arial" w:eastAsia="Arial" w:hAnsi="Arial"/>
                <w:sz w:val="14"/>
                <w:szCs w:val="14"/>
                <w:color w:val="auto"/>
              </w:rPr>
              <w:t>Service revenue, net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98"/>
              </w:rPr>
              <w:t>180,433</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w w:val="98"/>
              </w:rPr>
              <w:t>152,782</w:t>
            </w:r>
          </w:p>
        </w:tc>
        <w:tc>
          <w:tcPr>
            <w:tcW w:w="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320,101</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219,791</w:t>
            </w:r>
          </w:p>
        </w:tc>
        <w:tc>
          <w:tcPr>
            <w:tcW w:w="1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70,250</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244,270</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Reimbursed out-of-pocket revenue</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25,107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18,105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38,958</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28,708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7,679</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28,620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0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205,540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color w:val="auto"/>
                <w:w w:val="98"/>
              </w:rPr>
              <w:t>170,887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359,059</w:t>
            </w:r>
          </w:p>
        </w:tc>
        <w:tc>
          <w:tcPr>
            <w:tcW w:w="120" w:type="dxa"/>
            <w:vAlign w:val="bottom"/>
          </w:tcPr>
          <w:p>
            <w:pPr>
              <w:spacing w:after="0"/>
              <w:rPr>
                <w:sz w:val="14"/>
                <w:szCs w:val="14"/>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248,499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77,929</w:t>
            </w:r>
          </w:p>
        </w:tc>
        <w:tc>
          <w:tcPr>
            <w:tcW w:w="2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272,890</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Operating expenses: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ind w:left="240"/>
              <w:spacing w:after="0" w:line="157" w:lineRule="exact"/>
              <w:rPr>
                <w:sz w:val="20"/>
                <w:szCs w:val="20"/>
                <w:color w:val="auto"/>
              </w:rPr>
            </w:pPr>
            <w:r>
              <w:rPr>
                <w:rFonts w:ascii="Arial" w:cs="Arial" w:eastAsia="Arial" w:hAnsi="Arial"/>
                <w:sz w:val="14"/>
                <w:szCs w:val="14"/>
                <w:color w:val="auto"/>
              </w:rPr>
              <w:t>Direct costs, excluding depreciation and amortization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96,215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77,725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163,707</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117,550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38,759</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119,779</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Reimbursed out-of-pocket expenses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25,107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18,105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38,958</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28,708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7,679</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28,620</w:t>
            </w:r>
          </w:p>
        </w:tc>
        <w:tc>
          <w:tcPr>
            <w:tcW w:w="0" w:type="dxa"/>
            <w:vAlign w:val="bottom"/>
          </w:tcPr>
          <w:p>
            <w:pPr>
              <w:spacing w:after="0"/>
              <w:rPr>
                <w:sz w:val="1"/>
                <w:szCs w:val="1"/>
                <w:color w:val="auto"/>
              </w:rPr>
            </w:pPr>
          </w:p>
        </w:tc>
      </w:tr>
      <w:tr>
        <w:trPr>
          <w:trHeight w:val="157"/>
        </w:trPr>
        <w:tc>
          <w:tcPr>
            <w:tcW w:w="4300" w:type="dxa"/>
            <w:vAlign w:val="bottom"/>
          </w:tcPr>
          <w:p>
            <w:pPr>
              <w:ind w:left="240"/>
              <w:spacing w:after="0" w:line="157" w:lineRule="exact"/>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28,333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23,448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56,998</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29,465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10,203</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35,109</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Acquisition and integration</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9,297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300" w:type="dxa"/>
            <w:vAlign w:val="bottom"/>
          </w:tcPr>
          <w:p>
            <w:pPr>
              <w:ind w:left="240"/>
              <w:spacing w:after="0" w:line="157" w:lineRule="exact"/>
              <w:rPr>
                <w:sz w:val="20"/>
                <w:szCs w:val="20"/>
                <w:color w:val="auto"/>
              </w:rPr>
            </w:pPr>
            <w:r>
              <w:rPr>
                <w:rFonts w:ascii="Arial" w:cs="Arial" w:eastAsia="Arial" w:hAnsi="Arial"/>
                <w:sz w:val="14"/>
                <w:szCs w:val="14"/>
                <w:color w:val="auto"/>
              </w:rPr>
              <w:t>Impairment of goodwill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9,313</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Depreciation</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3,110</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4,610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57"/>
        </w:trPr>
        <w:tc>
          <w:tcPr>
            <w:tcW w:w="4300" w:type="dxa"/>
            <w:vAlign w:val="bottom"/>
          </w:tcPr>
          <w:p>
            <w:pPr>
              <w:ind w:left="240"/>
              <w:spacing w:after="0" w:line="157" w:lineRule="exact"/>
              <w:rPr>
                <w:sz w:val="20"/>
                <w:szCs w:val="20"/>
                <w:color w:val="auto"/>
              </w:rPr>
            </w:pPr>
            <w:r>
              <w:rPr>
                <w:rFonts w:ascii="Arial" w:cs="Arial" w:eastAsia="Arial" w:hAnsi="Arial"/>
                <w:sz w:val="14"/>
                <w:szCs w:val="14"/>
                <w:color w:val="auto"/>
              </w:rPr>
              <w:t>Amortization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25,336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34,243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63,142</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56,422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5,199</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23,854</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Total operating expenses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8"/>
              </w:rPr>
              <w:t>178,557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8"/>
              </w:rPr>
              <w:t>156,631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338,497</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246,052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76,092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214,027</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4"/>
                <w:szCs w:val="14"/>
                <w:color w:val="auto"/>
              </w:rPr>
              <w:t>Income from operations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26,983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color w:val="auto"/>
              </w:rPr>
              <w:t>14,256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20,562</w:t>
            </w:r>
          </w:p>
        </w:tc>
        <w:tc>
          <w:tcPr>
            <w:tcW w:w="1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1,837</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58,863</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Other (expense) income, net:</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ind w:left="240"/>
              <w:spacing w:after="0" w:line="157" w:lineRule="exact"/>
              <w:rPr>
                <w:sz w:val="20"/>
                <w:szCs w:val="20"/>
                <w:color w:val="auto"/>
              </w:rPr>
            </w:pPr>
            <w:r>
              <w:rPr>
                <w:rFonts w:ascii="Arial" w:cs="Arial" w:eastAsia="Arial" w:hAnsi="Arial"/>
                <w:sz w:val="14"/>
                <w:szCs w:val="14"/>
                <w:color w:val="auto"/>
              </w:rPr>
              <w:t>Miscellaneous (expense) income, net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(941)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(978)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(1,133)</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1,213</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(11,894)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(13,975)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(27,259)</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(23,185)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00" w:type="dxa"/>
            <w:vAlign w:val="bottom"/>
          </w:tcPr>
          <w:p>
            <w:pPr>
              <w:ind w:left="500"/>
              <w:spacing w:after="0"/>
              <w:rPr>
                <w:sz w:val="20"/>
                <w:szCs w:val="20"/>
                <w:color w:val="auto"/>
              </w:rPr>
            </w:pPr>
            <w:r>
              <w:rPr>
                <w:rFonts w:ascii="Arial" w:cs="Arial" w:eastAsia="Arial" w:hAnsi="Arial"/>
                <w:sz w:val="14"/>
                <w:szCs w:val="14"/>
                <w:color w:val="auto"/>
              </w:rPr>
              <w:t>Total other expense, net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(12,835)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(14,953)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(28,392)</w:t>
            </w:r>
          </w:p>
        </w:tc>
        <w:tc>
          <w:tcPr>
            <w:tcW w:w="120" w:type="dxa"/>
            <w:vAlign w:val="bottom"/>
          </w:tcPr>
          <w:p>
            <w:pPr>
              <w:spacing w:after="0"/>
              <w:rPr>
                <w:sz w:val="14"/>
                <w:szCs w:val="14"/>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(23,486)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(2,059)</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(19,718)</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(loss) before income taxes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14,148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(697)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(7,830)</w:t>
            </w:r>
          </w:p>
        </w:tc>
        <w:tc>
          <w:tcPr>
            <w:tcW w:w="12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(21,039)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39,145</w:t>
            </w:r>
          </w:p>
        </w:tc>
        <w:tc>
          <w:tcPr>
            <w:tcW w:w="0" w:type="dxa"/>
            <w:vAlign w:val="bottom"/>
          </w:tcPr>
          <w:p>
            <w:pPr>
              <w:spacing w:after="0"/>
              <w:rPr>
                <w:sz w:val="1"/>
                <w:szCs w:val="1"/>
                <w:color w:val="auto"/>
              </w:rPr>
            </w:pPr>
          </w:p>
        </w:tc>
      </w:tr>
      <w:tr>
        <w:trPr>
          <w:trHeight w:val="157"/>
        </w:trPr>
        <w:tc>
          <w:tcPr>
            <w:tcW w:w="4300" w:type="dxa"/>
            <w:vAlign w:val="bottom"/>
          </w:tcPr>
          <w:p>
            <w:pPr>
              <w:spacing w:after="0" w:line="157" w:lineRule="exact"/>
              <w:rPr>
                <w:sz w:val="20"/>
                <w:szCs w:val="20"/>
                <w:color w:val="auto"/>
              </w:rPr>
            </w:pPr>
            <w:r>
              <w:rPr>
                <w:rFonts w:ascii="Arial" w:cs="Arial" w:eastAsia="Arial" w:hAnsi="Arial"/>
                <w:sz w:val="14"/>
                <w:szCs w:val="14"/>
                <w:color w:val="auto"/>
              </w:rPr>
              <w:t>Income tax provision (benefit)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5,738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(733)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843</w:t>
            </w:r>
          </w:p>
        </w:tc>
        <w:tc>
          <w:tcPr>
            <w:tcW w:w="1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(6,703)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1,014</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income (loss)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8,410</w:t>
            </w:r>
          </w:p>
        </w:tc>
        <w:tc>
          <w:tcPr>
            <w:tcW w:w="1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36</w:t>
            </w:r>
          </w:p>
        </w:tc>
        <w:tc>
          <w:tcPr>
            <w:tcW w:w="28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(8,673)</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(14,336)</w:t>
            </w:r>
          </w:p>
        </w:tc>
        <w:tc>
          <w:tcPr>
            <w:tcW w:w="1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(1,236)</w:t>
            </w:r>
          </w:p>
        </w:tc>
        <w:tc>
          <w:tcPr>
            <w:tcW w:w="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24,844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49"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6"/>
          </w:tcPr>
          <w:p>
            <w:pPr>
              <w:jc w:val="right"/>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7"/>
          </w:tcPr>
          <w:p>
            <w:pPr>
              <w:jc w:val="center"/>
              <w:spacing w:after="0" w:line="139" w:lineRule="exact"/>
              <w:rPr>
                <w:sz w:val="20"/>
                <w:szCs w:val="20"/>
                <w:color w:val="auto"/>
              </w:rPr>
            </w:pPr>
            <w:r>
              <w:rPr>
                <w:rFonts w:ascii="Arial" w:cs="Arial" w:eastAsia="Arial" w:hAnsi="Arial"/>
                <w:sz w:val="14"/>
                <w:szCs w:val="14"/>
                <w:b w:val="1"/>
                <w:bCs w:val="1"/>
                <w:color w:val="auto"/>
                <w:w w:val="99"/>
              </w:rPr>
              <w:t>NINE MONTH</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gridSpan w:val="6"/>
          </w:tcPr>
          <w:p>
            <w:pPr>
              <w:spacing w:after="0" w:line="139" w:lineRule="exact"/>
              <w:rPr>
                <w:sz w:val="20"/>
                <w:szCs w:val="20"/>
                <w:color w:val="auto"/>
              </w:rPr>
            </w:pPr>
            <w:r>
              <w:rPr>
                <w:rFonts w:ascii="Arial" w:cs="Arial" w:eastAsia="Arial" w:hAnsi="Arial"/>
                <w:sz w:val="14"/>
                <w:szCs w:val="14"/>
                <w:b w:val="1"/>
                <w:bCs w:val="1"/>
                <w:color w:val="auto"/>
              </w:rPr>
              <w:t>THREE MONTH</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right w:val="single" w:sz="8" w:color="auto"/>
            </w:tcBorders>
            <w:gridSpan w:val="8"/>
          </w:tcPr>
          <w:p>
            <w:pPr>
              <w:jc w:val="center"/>
              <w:ind w:right="50"/>
              <w:spacing w:after="0" w:line="157" w:lineRule="exact"/>
              <w:rPr>
                <w:sz w:val="20"/>
                <w:szCs w:val="20"/>
                <w:color w:val="auto"/>
              </w:rPr>
            </w:pPr>
            <w:r>
              <w:rPr>
                <w:rFonts w:ascii="Arial" w:cs="Arial" w:eastAsia="Arial" w:hAnsi="Arial"/>
                <w:sz w:val="14"/>
                <w:szCs w:val="14"/>
                <w:b w:val="1"/>
                <w:bCs w:val="1"/>
                <w:color w:val="auto"/>
              </w:rPr>
              <w:t>PERIOD FROM</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6"/>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7"/>
              </w:rPr>
              <w:t>SIX</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50"/>
              <w:spacing w:after="0" w:line="157" w:lineRule="exact"/>
              <w:rPr>
                <w:sz w:val="20"/>
                <w:szCs w:val="20"/>
                <w:color w:val="auto"/>
              </w:rPr>
            </w:pPr>
            <w:r>
              <w:rPr>
                <w:rFonts w:ascii="Arial" w:cs="Arial" w:eastAsia="Arial" w:hAnsi="Arial"/>
                <w:sz w:val="14"/>
                <w:szCs w:val="14"/>
                <w:b w:val="1"/>
                <w:bCs w:val="1"/>
                <w:color w:val="auto"/>
              </w:rPr>
              <w:t>SIX</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right w:val="single" w:sz="8" w:color="auto"/>
            </w:tcBorders>
            <w:gridSpan w:val="7"/>
          </w:tcPr>
          <w:p>
            <w:pPr>
              <w:jc w:val="center"/>
              <w:ind w:right="130"/>
              <w:spacing w:after="0" w:line="157" w:lineRule="exact"/>
              <w:rPr>
                <w:sz w:val="20"/>
                <w:szCs w:val="20"/>
                <w:color w:val="auto"/>
              </w:rPr>
            </w:pPr>
            <w:r>
              <w:rPr>
                <w:rFonts w:ascii="Arial" w:cs="Arial" w:eastAsia="Arial" w:hAnsi="Arial"/>
                <w:sz w:val="14"/>
                <w:szCs w:val="14"/>
                <w:b w:val="1"/>
                <w:bCs w:val="1"/>
                <w:color w:val="auto"/>
                <w:w w:val="97"/>
              </w:rPr>
              <w:t>APRIL 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JANUARY 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3"/>
                <w:szCs w:val="13"/>
                <w:color w:val="auto"/>
              </w:rPr>
            </w:pPr>
          </w:p>
        </w:tc>
        <w:tc>
          <w:tcPr>
            <w:tcW w:w="7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left="110"/>
              <w:spacing w:after="0" w:line="157"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3"/>
                <w:szCs w:val="13"/>
                <w:color w:val="auto"/>
              </w:rPr>
            </w:pPr>
          </w:p>
        </w:tc>
        <w:tc>
          <w:tcPr>
            <w:tcW w:w="720" w:type="dxa"/>
            <w:vAlign w:val="bottom"/>
            <w:gridSpan w:val="4"/>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ENDED</w:t>
            </w:r>
          </w:p>
        </w:tc>
        <w:tc>
          <w:tcPr>
            <w:tcW w:w="60" w:type="dxa"/>
            <w:vAlign w:val="bottom"/>
          </w:tcPr>
          <w:p>
            <w:pPr>
              <w:spacing w:after="0"/>
              <w:rPr>
                <w:sz w:val="13"/>
                <w:szCs w:val="13"/>
                <w:color w:val="auto"/>
              </w:rPr>
            </w:pPr>
          </w:p>
        </w:tc>
        <w:tc>
          <w:tcPr>
            <w:tcW w:w="1160" w:type="dxa"/>
            <w:vAlign w:val="bottom"/>
            <w:gridSpan w:val="6"/>
          </w:tcPr>
          <w:p>
            <w:pPr>
              <w:jc w:val="center"/>
              <w:ind w:right="120"/>
              <w:spacing w:after="0" w:line="157"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3"/>
                <w:szCs w:val="13"/>
                <w:color w:val="auto"/>
              </w:rPr>
            </w:pPr>
          </w:p>
        </w:tc>
        <w:tc>
          <w:tcPr>
            <w:tcW w:w="1080" w:type="dxa"/>
            <w:vAlign w:val="bottom"/>
            <w:tcBorders>
              <w:right w:val="single" w:sz="8" w:color="auto"/>
            </w:tcBorders>
            <w:gridSpan w:val="7"/>
          </w:tcPr>
          <w:p>
            <w:pPr>
              <w:jc w:val="center"/>
              <w:ind w:right="130"/>
              <w:spacing w:after="0" w:line="157" w:lineRule="exact"/>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THROUGH</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00"/>
              <w:spacing w:after="0" w:line="157"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7"/>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JUNE 30,</w:t>
            </w:r>
          </w:p>
        </w:tc>
        <w:tc>
          <w:tcPr>
            <w:tcW w:w="80" w:type="dxa"/>
            <w:vAlign w:val="bottom"/>
          </w:tcPr>
          <w:p>
            <w:pPr>
              <w:spacing w:after="0"/>
              <w:rPr>
                <w:sz w:val="13"/>
                <w:szCs w:val="13"/>
                <w:color w:val="auto"/>
              </w:rPr>
            </w:pPr>
          </w:p>
        </w:tc>
        <w:tc>
          <w:tcPr>
            <w:tcW w:w="7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16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8"/>
          </w:tcPr>
          <w:p>
            <w:pPr>
              <w:jc w:val="center"/>
              <w:ind w:right="50"/>
              <w:spacing w:after="0" w:line="157"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MARCH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0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left="110"/>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left="50"/>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8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w w:val="99"/>
              </w:rPr>
              <w:t>Net income (loss) per share attributable to common shareholders:</w:t>
            </w:r>
          </w:p>
        </w:tc>
        <w:tc>
          <w:tcPr>
            <w:tcW w:w="6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80" w:type="dxa"/>
            <w:vAlign w:val="bottom"/>
          </w:tcPr>
          <w:p>
            <w:pPr>
              <w:ind w:left="240"/>
              <w:spacing w:after="0" w:line="157" w:lineRule="exact"/>
              <w:rPr>
                <w:sz w:val="20"/>
                <w:szCs w:val="20"/>
                <w:color w:val="auto"/>
              </w:rPr>
            </w:pPr>
            <w:r>
              <w:rPr>
                <w:rFonts w:ascii="Arial" w:cs="Arial" w:eastAsia="Arial" w:hAnsi="Arial"/>
                <w:sz w:val="14"/>
                <w:szCs w:val="14"/>
                <w:color w:val="auto"/>
              </w:rPr>
              <w:t>Basic</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0.26</w:t>
            </w:r>
          </w:p>
        </w:tc>
        <w:tc>
          <w:tcPr>
            <w:tcW w:w="1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50"/>
              <w:spacing w:after="0" w:line="157" w:lineRule="exact"/>
              <w:rPr>
                <w:sz w:val="20"/>
                <w:szCs w:val="20"/>
                <w:color w:val="auto"/>
              </w:rPr>
            </w:pPr>
            <w:r>
              <w:rPr>
                <w:rFonts w:ascii="Arial" w:cs="Arial" w:eastAsia="Arial" w:hAnsi="Arial"/>
                <w:sz w:val="14"/>
                <w:szCs w:val="14"/>
                <w:color w:val="auto"/>
              </w:rPr>
              <w:t>0.00</w:t>
            </w:r>
          </w:p>
        </w:tc>
        <w:tc>
          <w:tcPr>
            <w:tcW w:w="5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gridSpan w:val="4"/>
          </w:tcPr>
          <w:p>
            <w:pPr>
              <w:jc w:val="right"/>
              <w:ind w:right="80"/>
              <w:spacing w:after="0" w:line="157" w:lineRule="exact"/>
              <w:rPr>
                <w:sz w:val="20"/>
                <w:szCs w:val="20"/>
                <w:color w:val="auto"/>
              </w:rPr>
            </w:pPr>
            <w:r>
              <w:rPr>
                <w:rFonts w:ascii="Arial" w:cs="Arial" w:eastAsia="Arial" w:hAnsi="Arial"/>
                <w:sz w:val="14"/>
                <w:szCs w:val="14"/>
                <w:color w:val="auto"/>
              </w:rPr>
              <w:t>(0.28)</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right w:val="single" w:sz="8" w:color="auto"/>
            </w:tcBorders>
            <w:gridSpan w:val="5"/>
          </w:tcPr>
          <w:p>
            <w:pPr>
              <w:jc w:val="right"/>
              <w:ind w:right="10"/>
              <w:spacing w:after="0" w:line="157" w:lineRule="exact"/>
              <w:rPr>
                <w:sz w:val="20"/>
                <w:szCs w:val="20"/>
                <w:color w:val="auto"/>
              </w:rPr>
            </w:pPr>
            <w:r>
              <w:rPr>
                <w:rFonts w:ascii="Arial" w:cs="Arial" w:eastAsia="Arial" w:hAnsi="Arial"/>
                <w:sz w:val="14"/>
                <w:szCs w:val="14"/>
                <w:color w:val="auto"/>
              </w:rPr>
              <w:t>(0.46)</w:t>
            </w:r>
          </w:p>
        </w:tc>
        <w:tc>
          <w:tcPr>
            <w:tcW w:w="16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20"/>
              <w:spacing w:after="0" w:line="157" w:lineRule="exact"/>
              <w:rPr>
                <w:sz w:val="20"/>
                <w:szCs w:val="20"/>
                <w:color w:val="auto"/>
              </w:rPr>
            </w:pPr>
            <w:r>
              <w:rPr>
                <w:rFonts w:ascii="Arial" w:cs="Arial" w:eastAsia="Arial" w:hAnsi="Arial"/>
                <w:sz w:val="14"/>
                <w:szCs w:val="14"/>
                <w:color w:val="auto"/>
              </w:rPr>
              <w:t>(0.05)</w:t>
            </w:r>
          </w:p>
        </w:tc>
        <w:tc>
          <w:tcPr>
            <w:tcW w:w="10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0.99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Diluted</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0.26</w:t>
            </w:r>
          </w:p>
        </w:tc>
        <w:tc>
          <w:tcPr>
            <w:tcW w:w="18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0.00</w:t>
            </w:r>
          </w:p>
        </w:tc>
        <w:tc>
          <w:tcPr>
            <w:tcW w:w="5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(0.28)</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5"/>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(0.46)</w:t>
            </w:r>
          </w:p>
        </w:tc>
        <w:tc>
          <w:tcPr>
            <w:tcW w:w="16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5"/>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(0.05)</w:t>
            </w:r>
          </w:p>
        </w:tc>
        <w:tc>
          <w:tcPr>
            <w:tcW w:w="1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Weighted average common shares outstanding:</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Basic</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32,631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31,527</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31,346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5"/>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30,869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25,047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25,204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ind w:left="240"/>
              <w:spacing w:after="0"/>
              <w:rPr>
                <w:sz w:val="20"/>
                <w:szCs w:val="20"/>
                <w:color w:val="auto"/>
              </w:rPr>
            </w:pPr>
            <w:r>
              <w:rPr>
                <w:rFonts w:ascii="Arial" w:cs="Arial" w:eastAsia="Arial" w:hAnsi="Arial"/>
                <w:sz w:val="14"/>
                <w:szCs w:val="14"/>
                <w:color w:val="auto"/>
              </w:rPr>
              <w:t>Diluted</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32,631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50"/>
              <w:spacing w:after="0"/>
              <w:rPr>
                <w:sz w:val="20"/>
                <w:szCs w:val="20"/>
                <w:color w:val="auto"/>
              </w:rPr>
            </w:pPr>
            <w:r>
              <w:rPr>
                <w:rFonts w:ascii="Arial" w:cs="Arial" w:eastAsia="Arial" w:hAnsi="Arial"/>
                <w:sz w:val="14"/>
                <w:szCs w:val="14"/>
                <w:color w:val="auto"/>
              </w:rPr>
              <w:t>31,591</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4"/>
                <w:szCs w:val="14"/>
                <w:color w:val="auto"/>
              </w:rPr>
              <w:t>31,346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right w:val="single" w:sz="8" w:color="auto"/>
            </w:tcBorders>
            <w:gridSpan w:val="5"/>
          </w:tcPr>
          <w:p>
            <w:pPr>
              <w:jc w:val="right"/>
              <w:ind w:right="50"/>
              <w:spacing w:after="0"/>
              <w:rPr>
                <w:sz w:val="20"/>
                <w:szCs w:val="20"/>
                <w:color w:val="auto"/>
              </w:rPr>
            </w:pPr>
            <w:r>
              <w:rPr>
                <w:rFonts w:ascii="Arial" w:cs="Arial" w:eastAsia="Arial" w:hAnsi="Arial"/>
                <w:sz w:val="14"/>
                <w:szCs w:val="14"/>
                <w:color w:val="auto"/>
              </w:rPr>
              <w:t>30,869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jc w:val="right"/>
              <w:ind w:right="180"/>
              <w:spacing w:after="0"/>
              <w:rPr>
                <w:sz w:val="20"/>
                <w:szCs w:val="20"/>
                <w:color w:val="auto"/>
              </w:rPr>
            </w:pPr>
            <w:r>
              <w:rPr>
                <w:rFonts w:ascii="Arial" w:cs="Arial" w:eastAsia="Arial" w:hAnsi="Arial"/>
                <w:sz w:val="14"/>
                <w:szCs w:val="14"/>
                <w:color w:val="auto"/>
              </w:rPr>
              <w:t>25,047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26,150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Cash Flow Data:</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Net cash provided by operating activities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19,982</w:t>
            </w:r>
          </w:p>
        </w:tc>
        <w:tc>
          <w:tcPr>
            <w:tcW w:w="1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50"/>
              <w:spacing w:after="0" w:line="157" w:lineRule="exact"/>
              <w:rPr>
                <w:sz w:val="20"/>
                <w:szCs w:val="20"/>
                <w:color w:val="auto"/>
              </w:rPr>
            </w:pPr>
            <w:r>
              <w:rPr>
                <w:rFonts w:ascii="Arial" w:cs="Arial" w:eastAsia="Arial" w:hAnsi="Arial"/>
                <w:sz w:val="14"/>
                <w:szCs w:val="14"/>
                <w:color w:val="auto"/>
              </w:rPr>
              <w:t>26,271</w:t>
            </w:r>
          </w:p>
        </w:tc>
        <w:tc>
          <w:tcPr>
            <w:tcW w:w="5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gridSpan w:val="4"/>
          </w:tcPr>
          <w:p>
            <w:pPr>
              <w:jc w:val="right"/>
              <w:ind w:right="120"/>
              <w:spacing w:after="0" w:line="157" w:lineRule="exact"/>
              <w:rPr>
                <w:sz w:val="20"/>
                <w:szCs w:val="20"/>
                <w:color w:val="auto"/>
              </w:rPr>
            </w:pPr>
            <w:r>
              <w:rPr>
                <w:rFonts w:ascii="Arial" w:cs="Arial" w:eastAsia="Arial" w:hAnsi="Arial"/>
                <w:sz w:val="14"/>
                <w:szCs w:val="14"/>
                <w:color w:val="auto"/>
              </w:rPr>
              <w:t>84,117</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right w:val="single" w:sz="8" w:color="auto"/>
            </w:tcBorders>
            <w:gridSpan w:val="5"/>
          </w:tcPr>
          <w:p>
            <w:pPr>
              <w:jc w:val="right"/>
              <w:ind w:right="50"/>
              <w:spacing w:after="0" w:line="157" w:lineRule="exact"/>
              <w:rPr>
                <w:sz w:val="20"/>
                <w:szCs w:val="20"/>
                <w:color w:val="auto"/>
              </w:rPr>
            </w:pPr>
            <w:r>
              <w:rPr>
                <w:rFonts w:ascii="Arial" w:cs="Arial" w:eastAsia="Arial" w:hAnsi="Arial"/>
                <w:sz w:val="14"/>
                <w:szCs w:val="14"/>
                <w:color w:val="auto"/>
              </w:rPr>
              <w:t>62,539</w:t>
            </w:r>
          </w:p>
        </w:tc>
        <w:tc>
          <w:tcPr>
            <w:tcW w:w="16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80"/>
              <w:spacing w:after="0" w:line="157" w:lineRule="exact"/>
              <w:rPr>
                <w:sz w:val="20"/>
                <w:szCs w:val="20"/>
                <w:color w:val="auto"/>
              </w:rPr>
            </w:pPr>
            <w:r>
              <w:rPr>
                <w:rFonts w:ascii="Arial" w:cs="Arial" w:eastAsia="Arial" w:hAnsi="Arial"/>
                <w:sz w:val="14"/>
                <w:szCs w:val="14"/>
                <w:color w:val="auto"/>
              </w:rPr>
              <w:t>12,807</w:t>
            </w:r>
          </w:p>
        </w:tc>
        <w:tc>
          <w:tcPr>
            <w:tcW w:w="10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98,142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cash used in investing activities</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(5,653)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(2,658)</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(6,432)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5"/>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(907,640)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(827)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Net cash (used in) provided by financing activities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(15,678)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(65,702)</w:t>
            </w:r>
          </w:p>
        </w:tc>
        <w:tc>
          <w:tcPr>
            <w:tcW w:w="1220" w:type="dxa"/>
            <w:vAlign w:val="bottom"/>
            <w:gridSpan w:val="7"/>
          </w:tcPr>
          <w:p>
            <w:pPr>
              <w:jc w:val="right"/>
              <w:ind w:right="80"/>
              <w:spacing w:after="0" w:line="157" w:lineRule="exact"/>
              <w:rPr>
                <w:sz w:val="20"/>
                <w:szCs w:val="20"/>
                <w:color w:val="auto"/>
              </w:rPr>
            </w:pPr>
            <w:r>
              <w:rPr>
                <w:rFonts w:ascii="Arial" w:cs="Arial" w:eastAsia="Arial" w:hAnsi="Arial"/>
                <w:sz w:val="14"/>
                <w:szCs w:val="14"/>
                <w:color w:val="auto"/>
              </w:rPr>
              <w:t>(116,489)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right w:val="single" w:sz="8" w:color="auto"/>
            </w:tcBorders>
            <w:gridSpan w:val="5"/>
          </w:tcPr>
          <w:p>
            <w:pPr>
              <w:jc w:val="right"/>
              <w:ind w:right="50"/>
              <w:spacing w:after="0" w:line="157" w:lineRule="exact"/>
              <w:rPr>
                <w:sz w:val="20"/>
                <w:szCs w:val="20"/>
                <w:color w:val="auto"/>
              </w:rPr>
            </w:pPr>
            <w:r>
              <w:rPr>
                <w:rFonts w:ascii="Arial" w:cs="Arial" w:eastAsia="Arial" w:hAnsi="Arial"/>
                <w:sz w:val="14"/>
                <w:szCs w:val="14"/>
                <w:color w:val="auto"/>
              </w:rPr>
              <w:t>900,171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5"/>
          </w:tcPr>
          <w:p>
            <w:pPr>
              <w:jc w:val="right"/>
              <w:ind w:right="120"/>
              <w:spacing w:after="0" w:line="157" w:lineRule="exact"/>
              <w:rPr>
                <w:sz w:val="20"/>
                <w:szCs w:val="20"/>
                <w:color w:val="auto"/>
              </w:rPr>
            </w:pPr>
            <w:r>
              <w:rPr>
                <w:rFonts w:ascii="Arial" w:cs="Arial" w:eastAsia="Arial" w:hAnsi="Arial"/>
                <w:sz w:val="14"/>
                <w:szCs w:val="14"/>
                <w:color w:val="auto"/>
              </w:rPr>
              <w:t>(17,968)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(95,851)</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gridSpan w:val="3"/>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5"/>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gridSpan w:val="3"/>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7"/>
            <w:vMerge w:val="restart"/>
          </w:tcPr>
          <w:p>
            <w:pPr>
              <w:jc w:val="right"/>
              <w:ind w:right="1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10"/>
            <w:vMerge w:val="restart"/>
          </w:tcPr>
          <w:p>
            <w:pPr>
              <w:jc w:val="right"/>
              <w:ind w:right="8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jc w:val="center"/>
              <w:ind w:right="50"/>
              <w:spacing w:after="0" w:line="139" w:lineRule="exact"/>
              <w:rPr>
                <w:sz w:val="20"/>
                <w:szCs w:val="20"/>
                <w:color w:val="auto"/>
              </w:rPr>
            </w:pPr>
            <w:r>
              <w:rPr>
                <w:rFonts w:ascii="Arial" w:cs="Arial" w:eastAsia="Arial" w:hAnsi="Arial"/>
                <w:sz w:val="14"/>
                <w:szCs w:val="14"/>
                <w:b w:val="1"/>
                <w:bCs w:val="1"/>
                <w:color w:val="auto"/>
              </w:rPr>
              <w:t>NINE</w:t>
            </w:r>
          </w:p>
        </w:tc>
        <w:tc>
          <w:tcPr>
            <w:tcW w:w="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center"/>
              <w:ind w:right="120"/>
              <w:spacing w:after="0" w:line="157" w:lineRule="exact"/>
              <w:rPr>
                <w:sz w:val="20"/>
                <w:szCs w:val="20"/>
                <w:color w:val="auto"/>
              </w:rPr>
            </w:pPr>
            <w:r>
              <w:rPr>
                <w:rFonts w:ascii="Arial" w:cs="Arial" w:eastAsia="Arial" w:hAnsi="Arial"/>
                <w:sz w:val="14"/>
                <w:szCs w:val="14"/>
                <w:b w:val="1"/>
                <w:bCs w:val="1"/>
                <w:color w:val="auto"/>
              </w:rPr>
              <w:t>MONTH</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center"/>
              <w:ind w:right="140"/>
              <w:spacing w:after="0" w:line="157" w:lineRule="exact"/>
              <w:rPr>
                <w:sz w:val="20"/>
                <w:szCs w:val="20"/>
                <w:color w:val="auto"/>
              </w:rPr>
            </w:pPr>
            <w:r>
              <w:rPr>
                <w:rFonts w:ascii="Arial" w:cs="Arial" w:eastAsia="Arial" w:hAnsi="Arial"/>
                <w:sz w:val="14"/>
                <w:szCs w:val="14"/>
                <w:b w:val="1"/>
                <w:bCs w:val="1"/>
                <w:color w:val="auto"/>
              </w:rPr>
              <w:t>PERIOD</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7"/>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THREE MONTH</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center"/>
              <w:ind w:right="120"/>
              <w:spacing w:after="0" w:line="157" w:lineRule="exact"/>
              <w:rPr>
                <w:sz w:val="20"/>
                <w:szCs w:val="20"/>
                <w:color w:val="auto"/>
              </w:rPr>
            </w:pPr>
            <w:r>
              <w:rPr>
                <w:rFonts w:ascii="Arial" w:cs="Arial" w:eastAsia="Arial" w:hAnsi="Arial"/>
                <w:sz w:val="14"/>
                <w:szCs w:val="14"/>
                <w:b w:val="1"/>
                <w:bCs w:val="1"/>
                <w:color w:val="auto"/>
                <w:w w:val="96"/>
              </w:rPr>
              <w:t>FROM</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7"/>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04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7"/>
              </w:rPr>
              <w:t>SIX</w:t>
            </w:r>
          </w:p>
        </w:tc>
        <w:tc>
          <w:tcPr>
            <w:tcW w:w="100" w:type="dxa"/>
            <w:vAlign w:val="bottom"/>
          </w:tcPr>
          <w:p>
            <w:pPr>
              <w:spacing w:after="0"/>
              <w:rPr>
                <w:sz w:val="13"/>
                <w:szCs w:val="13"/>
                <w:color w:val="auto"/>
              </w:rPr>
            </w:pPr>
          </w:p>
        </w:tc>
        <w:tc>
          <w:tcPr>
            <w:tcW w:w="6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7"/>
              </w:rPr>
              <w:t>SIX</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APRIL 1,</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6"/>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JANUARY 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0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MONTHS</w:t>
            </w:r>
          </w:p>
        </w:tc>
        <w:tc>
          <w:tcPr>
            <w:tcW w:w="72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0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7"/>
              </w:rPr>
              <w:t>ENDED</w:t>
            </w:r>
          </w:p>
        </w:tc>
        <w:tc>
          <w:tcPr>
            <w:tcW w:w="7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3"/>
                <w:szCs w:val="13"/>
                <w:color w:val="auto"/>
              </w:rPr>
            </w:pPr>
          </w:p>
        </w:tc>
        <w:tc>
          <w:tcPr>
            <w:tcW w:w="820" w:type="dxa"/>
            <w:vAlign w:val="bottom"/>
            <w:gridSpan w:val="6"/>
          </w:tcPr>
          <w:p>
            <w:pPr>
              <w:jc w:val="center"/>
              <w:ind w:right="40"/>
              <w:spacing w:after="0" w:line="157" w:lineRule="exact"/>
              <w:rPr>
                <w:sz w:val="20"/>
                <w:szCs w:val="20"/>
                <w:color w:val="auto"/>
              </w:rPr>
            </w:pPr>
            <w:r>
              <w:rPr>
                <w:rFonts w:ascii="Arial" w:cs="Arial" w:eastAsia="Arial" w:hAnsi="Arial"/>
                <w:sz w:val="14"/>
                <w:szCs w:val="14"/>
                <w:b w:val="1"/>
                <w:bCs w:val="1"/>
                <w:color w:val="auto"/>
                <w:w w:val="98"/>
              </w:rPr>
              <w:t>THROUGH</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center"/>
              <w:ind w:right="340"/>
              <w:spacing w:after="0" w:line="157" w:lineRule="exact"/>
              <w:rPr>
                <w:sz w:val="20"/>
                <w:szCs w:val="20"/>
                <w:color w:val="auto"/>
              </w:rPr>
            </w:pPr>
            <w:r>
              <w:rPr>
                <w:rFonts w:ascii="Arial" w:cs="Arial" w:eastAsia="Arial" w:hAnsi="Arial"/>
                <w:sz w:val="14"/>
                <w:szCs w:val="14"/>
                <w:b w:val="1"/>
                <w:bCs w:val="1"/>
                <w:color w:val="auto"/>
                <w:w w:val="96"/>
              </w:rPr>
              <w:t>THROUGH</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0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JUNE 30,</w:t>
            </w:r>
          </w:p>
        </w:tc>
        <w:tc>
          <w:tcPr>
            <w:tcW w:w="72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3"/>
                <w:szCs w:val="13"/>
                <w:color w:val="auto"/>
              </w:rPr>
            </w:pPr>
          </w:p>
        </w:tc>
        <w:tc>
          <w:tcPr>
            <w:tcW w:w="820" w:type="dxa"/>
            <w:vAlign w:val="bottom"/>
            <w:gridSpan w:val="6"/>
          </w:tcPr>
          <w:p>
            <w:pPr>
              <w:jc w:val="center"/>
              <w:ind w:right="20"/>
              <w:spacing w:after="0" w:line="157" w:lineRule="exact"/>
              <w:rPr>
                <w:sz w:val="20"/>
                <w:szCs w:val="20"/>
                <w:color w:val="auto"/>
              </w:rPr>
            </w:pPr>
            <w:r>
              <w:rPr>
                <w:rFonts w:ascii="Arial" w:cs="Arial" w:eastAsia="Arial" w:hAnsi="Arial"/>
                <w:sz w:val="14"/>
                <w:szCs w:val="14"/>
                <w:b w:val="1"/>
                <w:bCs w:val="1"/>
                <w:color w:val="auto"/>
                <w:w w:val="99"/>
              </w:rPr>
              <w:t>DECEMBER</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center"/>
              <w:ind w:right="320"/>
              <w:spacing w:after="0" w:line="157"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left="90"/>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9"/>
              </w:rPr>
              <w:t>31, 2014</w:t>
            </w:r>
          </w:p>
        </w:tc>
        <w:tc>
          <w:tcPr>
            <w:tcW w:w="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left="90"/>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8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Other Financial Data:</w:t>
            </w:r>
          </w:p>
        </w:tc>
        <w:tc>
          <w:tcPr>
            <w:tcW w:w="6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1"/>
                <w:szCs w:val="11"/>
                <w:color w:val="auto"/>
              </w:rPr>
              <w:t xml:space="preserve">EBITDA </w:t>
            </w:r>
            <w:r>
              <w:rPr>
                <w:rFonts w:ascii="Arial" w:cs="Arial" w:eastAsia="Arial" w:hAnsi="Arial"/>
                <w:sz w:val="18"/>
                <w:szCs w:val="18"/>
                <w:color w:val="auto"/>
                <w:vertAlign w:val="superscript"/>
              </w:rPr>
              <w:t>(1)</w:t>
            </w:r>
          </w:p>
        </w:tc>
        <w:tc>
          <w:tcPr>
            <w:tcW w:w="10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  54,944</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50,631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center"/>
              <w:ind w:right="3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88,950</w:t>
            </w:r>
          </w:p>
        </w:tc>
        <w:tc>
          <w:tcPr>
            <w:tcW w:w="2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20"/>
              <w:spacing w:after="0" w:line="157" w:lineRule="exact"/>
              <w:rPr>
                <w:sz w:val="20"/>
                <w:szCs w:val="20"/>
                <w:color w:val="auto"/>
              </w:rPr>
            </w:pPr>
            <w:r>
              <w:rPr>
                <w:rFonts w:ascii="Arial" w:cs="Arial" w:eastAsia="Arial" w:hAnsi="Arial"/>
                <w:sz w:val="14"/>
                <w:szCs w:val="14"/>
                <w:color w:val="auto"/>
              </w:rPr>
              <w:t>63,178</w:t>
            </w:r>
          </w:p>
        </w:tc>
        <w:tc>
          <w:tcPr>
            <w:tcW w:w="280" w:type="dxa"/>
            <w:vAlign w:val="bottom"/>
            <w:tcBorders>
              <w:right w:val="single" w:sz="8" w:color="auto"/>
            </w:tcBorders>
          </w:tcPr>
          <w:p>
            <w:pPr>
              <w:spacing w:after="0"/>
              <w:rPr>
                <w:sz w:val="13"/>
                <w:szCs w:val="13"/>
                <w:color w:val="auto"/>
              </w:rPr>
            </w:pPr>
          </w:p>
        </w:tc>
        <w:tc>
          <w:tcPr>
            <w:tcW w:w="540" w:type="dxa"/>
            <w:vAlign w:val="bottom"/>
            <w:gridSpan w:val="4"/>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10,081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87,664</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Adjusted EBITDA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56,427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48,385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101,216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70,450</w:t>
            </w:r>
          </w:p>
        </w:tc>
        <w:tc>
          <w:tcPr>
            <w:tcW w:w="2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21,710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85,409</w:t>
            </w: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1"/>
                <w:szCs w:val="11"/>
                <w:color w:val="auto"/>
              </w:rPr>
              <w:t xml:space="preserve">Adjusted net income </w:t>
            </w:r>
            <w:r>
              <w:rPr>
                <w:rFonts w:ascii="Arial" w:cs="Arial" w:eastAsia="Arial" w:hAnsi="Arial"/>
                <w:sz w:val="18"/>
                <w:szCs w:val="18"/>
                <w:color w:val="auto"/>
                <w:vertAlign w:val="superscript"/>
              </w:rPr>
              <w:t>(1)</w:t>
            </w:r>
          </w:p>
        </w:tc>
        <w:tc>
          <w:tcPr>
            <w:tcW w:w="104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26,271</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21,147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40,445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right"/>
              <w:ind w:right="20"/>
              <w:spacing w:after="0" w:line="157" w:lineRule="exact"/>
              <w:rPr>
                <w:sz w:val="20"/>
                <w:szCs w:val="20"/>
                <w:color w:val="auto"/>
              </w:rPr>
            </w:pPr>
            <w:r>
              <w:rPr>
                <w:rFonts w:ascii="Arial" w:cs="Arial" w:eastAsia="Arial" w:hAnsi="Arial"/>
                <w:sz w:val="14"/>
                <w:szCs w:val="14"/>
                <w:color w:val="auto"/>
              </w:rPr>
              <w:t>26,685</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9,715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41,407</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Free Cash Flow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13,545</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23,030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76,360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57,030</w:t>
            </w:r>
          </w:p>
        </w:tc>
        <w:tc>
          <w:tcPr>
            <w:tcW w:w="2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11,552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93,581</w:t>
            </w: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1"/>
                <w:szCs w:val="11"/>
                <w:color w:val="auto"/>
              </w:rPr>
              <w:t xml:space="preserve">Backlog (at period end) </w:t>
            </w:r>
            <w:r>
              <w:rPr>
                <w:rFonts w:ascii="Arial" w:cs="Arial" w:eastAsia="Arial" w:hAnsi="Arial"/>
                <w:sz w:val="18"/>
                <w:szCs w:val="18"/>
                <w:color w:val="auto"/>
                <w:vertAlign w:val="superscript"/>
              </w:rPr>
              <w:t>(2)</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465,738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8"/>
              </w:rPr>
              <w:t>400,627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429,659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right"/>
              <w:ind w:right="20"/>
              <w:spacing w:after="0" w:line="157" w:lineRule="exact"/>
              <w:rPr>
                <w:sz w:val="20"/>
                <w:szCs w:val="20"/>
                <w:color w:val="auto"/>
              </w:rPr>
            </w:pPr>
            <w:r>
              <w:rPr>
                <w:rFonts w:ascii="Arial" w:cs="Arial" w:eastAsia="Arial" w:hAnsi="Arial"/>
                <w:sz w:val="14"/>
                <w:szCs w:val="14"/>
                <w:color w:val="auto"/>
              </w:rPr>
              <w:t>394,023</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386,047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359,341</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Net new business awards </w:t>
            </w:r>
            <w:r>
              <w:rPr>
                <w:rFonts w:ascii="Arial" w:cs="Arial" w:eastAsia="Arial" w:hAnsi="Arial"/>
                <w:sz w:val="18"/>
                <w:szCs w:val="18"/>
                <w:color w:val="auto"/>
                <w:vertAlign w:val="superscript"/>
              </w:rPr>
              <w:t>(3)</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218,113</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8"/>
              </w:rPr>
              <w:t>162,638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359,538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5"/>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231,918</w:t>
            </w:r>
          </w:p>
        </w:tc>
        <w:tc>
          <w:tcPr>
            <w:tcW w:w="2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97,220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291,577</w:t>
            </w:r>
          </w:p>
        </w:tc>
        <w:tc>
          <w:tcPr>
            <w:tcW w:w="0" w:type="dxa"/>
            <w:vAlign w:val="bottom"/>
          </w:tcPr>
          <w:p>
            <w:pPr>
              <w:spacing w:after="0"/>
              <w:rPr>
                <w:sz w:val="1"/>
                <w:szCs w:val="1"/>
                <w:color w:val="auto"/>
              </w:rPr>
            </w:pPr>
          </w:p>
        </w:tc>
      </w:tr>
      <w:tr>
        <w:trPr>
          <w:trHeight w:val="157"/>
        </w:trPr>
        <w:tc>
          <w:tcPr>
            <w:tcW w:w="40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4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7"/>
          </w:tcPr>
          <w:p>
            <w:pPr>
              <w:jc w:val="center"/>
              <w:ind w:right="390"/>
              <w:spacing w:after="0"/>
              <w:rPr>
                <w:sz w:val="20"/>
                <w:szCs w:val="20"/>
                <w:color w:val="auto"/>
              </w:rPr>
            </w:pPr>
            <w:r>
              <w:rPr>
                <w:rFonts w:ascii="Arial" w:cs="Arial" w:eastAsia="Arial" w:hAnsi="Arial"/>
                <w:sz w:val="14"/>
                <w:szCs w:val="14"/>
                <w:b w:val="1"/>
                <w:bCs w:val="1"/>
                <w:color w:val="auto"/>
                <w:w w:val="98"/>
              </w:rPr>
              <w:t>AS OF</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7"/>
          </w:tcPr>
          <w:p>
            <w:pPr>
              <w:jc w:val="center"/>
              <w:ind w:right="390"/>
              <w:spacing w:after="0" w:line="157"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3"/>
                <w:szCs w:val="13"/>
                <w:color w:val="auto"/>
              </w:rPr>
            </w:pPr>
          </w:p>
        </w:tc>
        <w:tc>
          <w:tcPr>
            <w:tcW w:w="98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DECEMBER</w:t>
            </w:r>
          </w:p>
        </w:tc>
        <w:tc>
          <w:tcPr>
            <w:tcW w:w="20" w:type="dxa"/>
            <w:vAlign w:val="bottom"/>
          </w:tcPr>
          <w:p>
            <w:pPr>
              <w:spacing w:after="0"/>
              <w:rPr>
                <w:sz w:val="13"/>
                <w:szCs w:val="13"/>
                <w:color w:val="auto"/>
              </w:rPr>
            </w:pPr>
          </w:p>
        </w:tc>
        <w:tc>
          <w:tcPr>
            <w:tcW w:w="1360" w:type="dxa"/>
            <w:vAlign w:val="bottom"/>
            <w:gridSpan w:val="7"/>
          </w:tcPr>
          <w:p>
            <w:pPr>
              <w:jc w:val="center"/>
              <w:ind w:right="320"/>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tcPr>
          <w:p>
            <w:pPr>
              <w:jc w:val="center"/>
              <w:ind w:left="90"/>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31, 2015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7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8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Consolidated Balance Sheet Data</w:t>
            </w:r>
          </w:p>
        </w:tc>
        <w:tc>
          <w:tcPr>
            <w:tcW w:w="6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Cash and cash equivalents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6"/>
          </w:tcPr>
          <w:p>
            <w:pPr>
              <w:jc w:val="right"/>
              <w:ind w:right="280"/>
              <w:spacing w:after="0" w:line="157" w:lineRule="exact"/>
              <w:rPr>
                <w:sz w:val="20"/>
                <w:szCs w:val="20"/>
                <w:color w:val="auto"/>
              </w:rPr>
            </w:pPr>
            <w:r>
              <w:rPr>
                <w:rFonts w:ascii="Arial" w:cs="Arial" w:eastAsia="Arial" w:hAnsi="Arial"/>
                <w:sz w:val="14"/>
                <w:szCs w:val="14"/>
                <w:color w:val="auto"/>
              </w:rPr>
              <w:t>$  13,674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14,880</w:t>
            </w:r>
          </w:p>
        </w:tc>
        <w:tc>
          <w:tcPr>
            <w:tcW w:w="26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54,285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Restricted cash</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w w:val="96"/>
              </w:rPr>
              <w:t>3,366</w:t>
            </w: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2,857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Accounts receivable and unbilled, net</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6"/>
          </w:tcPr>
          <w:p>
            <w:pPr>
              <w:jc w:val="right"/>
              <w:ind w:right="280"/>
              <w:spacing w:after="0" w:line="157" w:lineRule="exact"/>
              <w:rPr>
                <w:sz w:val="20"/>
                <w:szCs w:val="20"/>
                <w:color w:val="auto"/>
              </w:rPr>
            </w:pPr>
            <w:r>
              <w:rPr>
                <w:rFonts w:ascii="Arial" w:cs="Arial" w:eastAsia="Arial" w:hAnsi="Arial"/>
                <w:sz w:val="14"/>
                <w:szCs w:val="14"/>
                <w:color w:val="auto"/>
              </w:rPr>
              <w:t>90,048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65,088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65,248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Working capital</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6"/>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(22,260)</w:t>
            </w: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(39,296)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Total assets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6"/>
          </w:tcPr>
          <w:p>
            <w:pPr>
              <w:jc w:val="right"/>
              <w:ind w:right="280"/>
              <w:spacing w:after="0" w:line="157" w:lineRule="exact"/>
              <w:rPr>
                <w:sz w:val="20"/>
                <w:szCs w:val="20"/>
                <w:color w:val="auto"/>
              </w:rPr>
            </w:pPr>
            <w:r>
              <w:rPr>
                <w:rFonts w:ascii="Arial" w:cs="Arial" w:eastAsia="Arial" w:hAnsi="Arial"/>
                <w:sz w:val="14"/>
                <w:szCs w:val="14"/>
                <w:color w:val="auto"/>
              </w:rPr>
              <w:t>994,863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984,041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1,096,912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long-term debt, net</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6"/>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364,033</w:t>
            </w: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377,882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491,518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line="157" w:lineRule="exact"/>
              <w:rPr>
                <w:sz w:val="20"/>
                <w:szCs w:val="20"/>
                <w:color w:val="auto"/>
              </w:rPr>
            </w:pPr>
            <w:r>
              <w:rPr>
                <w:rFonts w:ascii="Arial" w:cs="Arial" w:eastAsia="Arial" w:hAnsi="Arial"/>
                <w:sz w:val="14"/>
                <w:szCs w:val="14"/>
                <w:color w:val="auto"/>
              </w:rPr>
              <w:t>Total liabilities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6"/>
          </w:tcPr>
          <w:p>
            <w:pPr>
              <w:jc w:val="right"/>
              <w:ind w:right="280"/>
              <w:spacing w:after="0" w:line="157" w:lineRule="exact"/>
              <w:rPr>
                <w:sz w:val="20"/>
                <w:szCs w:val="20"/>
                <w:color w:val="auto"/>
              </w:rPr>
            </w:pPr>
            <w:r>
              <w:rPr>
                <w:rFonts w:ascii="Arial" w:cs="Arial" w:eastAsia="Arial" w:hAnsi="Arial"/>
                <w:sz w:val="14"/>
                <w:szCs w:val="14"/>
                <w:color w:val="auto"/>
              </w:rPr>
              <w:t>572,227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570,567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694,942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shareholders’ equity</w:t>
            </w: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6"/>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422,636</w:t>
            </w: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413,474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401,970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6"/>
          </w:tcPr>
          <w:p>
            <w:pPr>
              <w:jc w:val="right"/>
              <w:ind w:right="280"/>
              <w:spacing w:after="0"/>
              <w:rPr>
                <w:sz w:val="20"/>
                <w:szCs w:val="20"/>
                <w:color w:val="auto"/>
              </w:rPr>
            </w:pPr>
            <w:r>
              <w:rPr>
                <w:rFonts w:ascii="Arial" w:cs="Arial" w:eastAsia="Arial" w:hAnsi="Arial"/>
                <w:sz w:val="14"/>
                <w:szCs w:val="14"/>
                <w:color w:val="auto"/>
              </w:rPr>
              <w:t>994,863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984,041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1,096,912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1" w:lineRule="exact"/>
        <w:rPr>
          <w:sz w:val="20"/>
          <w:szCs w:val="20"/>
          <w:color w:val="auto"/>
        </w:rPr>
      </w:pPr>
    </w:p>
    <w:p>
      <w:pPr>
        <w:ind w:left="340" w:right="80" w:hanging="296"/>
        <w:spacing w:after="0" w:line="214" w:lineRule="auto"/>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We prepare our financial statements in conformity with U.S. GAAP. To supplement this information, we also use the following non-GAAP financial measures in this prospectus: EBITDA, Adjusted EBITDA, Adjusted Net Income and Free Cash Flow. EBITDA, Adjusted EBITDA, Adjusted Net Income and Free Cash Flow are measures used by management to assess operating performance. EBITDA, Adjusted EBITDA, Adjusted Net Income and Free Cash Flow are not presented in accordance with U.S. GAAP, are not measures of financial condition or profitability and should not be considered as an alternative to net income (loss) determined in accordance with U.S. GAAP or net cash provided by operating activities determined in accordance with U.S. GAAP, as applicable, or any other performance measure derived in accordance with U.S. GAAP and should not be construed as an inference that our future results will be unaffected by unusual non-recurring items. Management uses EBITDA, Adjusted EBITDA, Adjusted Net Income and Free Cash Flow or comparable metrics:</w:t>
      </w:r>
    </w:p>
    <w:p>
      <w:pPr>
        <w:spacing w:after="0" w:line="81" w:lineRule="exact"/>
        <w:rPr>
          <w:sz w:val="20"/>
          <w:szCs w:val="20"/>
          <w:color w:val="auto"/>
        </w:rPr>
      </w:pPr>
    </w:p>
    <w:p>
      <w:pPr>
        <w:ind w:left="800" w:hanging="455"/>
        <w:spacing w:after="0"/>
        <w:tabs>
          <w:tab w:leader="none" w:pos="80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as a measurement used in evaluating our operating performance on a consistent basis;</w:t>
      </w:r>
    </w:p>
    <w:p>
      <w:pPr>
        <w:spacing w:after="0" w:line="130"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6"/>
          <w:szCs w:val="16"/>
          <w:color w:val="auto"/>
        </w:rPr>
        <w:t>54</w:t>
      </w:r>
    </w:p>
    <w:p>
      <w:pPr>
        <w:sectPr>
          <w:pgSz w:w="11900" w:h="16838" w:orient="portrait"/>
          <w:cols w:equalWidth="0" w:num="1">
            <w:col w:w="11420"/>
          </w:cols>
          <w:pgMar w:left="240" w:top="449"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17" w:lineRule="exact"/>
        <w:rPr>
          <w:sz w:val="20"/>
          <w:szCs w:val="20"/>
          <w:color w:val="auto"/>
        </w:rPr>
      </w:pPr>
    </w:p>
    <w:p>
      <w:pPr>
        <w:ind w:left="800" w:hanging="455"/>
        <w:spacing w:after="0"/>
        <w:tabs>
          <w:tab w:leader="none" w:pos="80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as a consideration to assess incentive compensation for our employees;</w:t>
      </w:r>
    </w:p>
    <w:p>
      <w:pPr>
        <w:spacing w:after="0" w:line="28" w:lineRule="exact"/>
        <w:rPr>
          <w:rFonts w:ascii="Arial" w:cs="Arial" w:eastAsia="Arial" w:hAnsi="Arial"/>
          <w:sz w:val="24"/>
          <w:szCs w:val="24"/>
          <w:color w:val="auto"/>
          <w:vertAlign w:val="superscript"/>
        </w:rPr>
      </w:pPr>
    </w:p>
    <w:p>
      <w:pPr>
        <w:ind w:left="800" w:hanging="455"/>
        <w:spacing w:after="0" w:line="184" w:lineRule="auto"/>
        <w:tabs>
          <w:tab w:leader="none" w:pos="80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for planning purposes, including the preparation of our internal annual operating budget; and</w:t>
      </w:r>
    </w:p>
    <w:p>
      <w:pPr>
        <w:spacing w:after="0" w:line="28" w:lineRule="exact"/>
        <w:rPr>
          <w:rFonts w:ascii="Arial" w:cs="Arial" w:eastAsia="Arial" w:hAnsi="Arial"/>
          <w:sz w:val="19"/>
          <w:szCs w:val="19"/>
          <w:color w:val="auto"/>
          <w:vertAlign w:val="superscript"/>
        </w:rPr>
      </w:pPr>
    </w:p>
    <w:p>
      <w:pPr>
        <w:ind w:left="800" w:hanging="455"/>
        <w:spacing w:after="0" w:line="184" w:lineRule="auto"/>
        <w:tabs>
          <w:tab w:leader="none" w:pos="80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to evaluate the performance and effectiveness of our operational strategies.</w:t>
      </w:r>
    </w:p>
    <w:p>
      <w:pPr>
        <w:spacing w:after="0" w:line="147" w:lineRule="exact"/>
        <w:rPr>
          <w:sz w:val="20"/>
          <w:szCs w:val="20"/>
          <w:color w:val="auto"/>
        </w:rPr>
      </w:pPr>
    </w:p>
    <w:p>
      <w:pPr>
        <w:ind w:left="340" w:right="120"/>
        <w:spacing w:after="0" w:line="258" w:lineRule="auto"/>
        <w:rPr>
          <w:sz w:val="20"/>
          <w:szCs w:val="20"/>
          <w:color w:val="auto"/>
        </w:rPr>
      </w:pPr>
      <w:r>
        <w:rPr>
          <w:rFonts w:ascii="Arial" w:cs="Arial" w:eastAsia="Arial" w:hAnsi="Arial"/>
          <w:sz w:val="13"/>
          <w:szCs w:val="13"/>
          <w:color w:val="auto"/>
        </w:rPr>
        <w:t>We believe that the inclusion of EBITDA and Adjusted EBITDA in this prospectus is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 accordance with U.S. GAAP. EBITDA is calculated as net income (loss) attributable to Medpace Holdings, Inc. before income tax expense, interest expense, net, depreciation and amortization with Adjusted EBITDA being further adjusted for unusual and other items reflected in the reconciliation table below. Our presentation of Adjusted EBITDA should not be construed as an inference that our future results will be unaffected by usual or non-recurring items.</w:t>
      </w:r>
    </w:p>
    <w:p>
      <w:pPr>
        <w:spacing w:after="0" w:line="136" w:lineRule="exact"/>
        <w:rPr>
          <w:sz w:val="20"/>
          <w:szCs w:val="20"/>
          <w:color w:val="auto"/>
        </w:rPr>
      </w:pPr>
    </w:p>
    <w:p>
      <w:pPr>
        <w:ind w:left="340" w:right="60"/>
        <w:spacing w:after="0" w:line="245" w:lineRule="auto"/>
        <w:rPr>
          <w:sz w:val="20"/>
          <w:szCs w:val="20"/>
          <w:color w:val="auto"/>
        </w:rPr>
      </w:pPr>
      <w:r>
        <w:rPr>
          <w:rFonts w:ascii="Arial" w:cs="Arial" w:eastAsia="Arial" w:hAnsi="Arial"/>
          <w:sz w:val="14"/>
          <w:szCs w:val="14"/>
          <w:color w:val="auto"/>
        </w:rPr>
        <w:t>EBITDA and Adjusted EBITDA have important limitations as analytical tools and you should not consider them in isolation, or as a substitute for, analysis of our results as reported under U.S. GAAP. Some of these limitations are:</w:t>
      </w:r>
    </w:p>
    <w:p>
      <w:pPr>
        <w:spacing w:after="0" w:line="74" w:lineRule="exact"/>
        <w:rPr>
          <w:sz w:val="20"/>
          <w:szCs w:val="20"/>
          <w:color w:val="auto"/>
        </w:rPr>
      </w:pPr>
    </w:p>
    <w:p>
      <w:pPr>
        <w:ind w:left="800" w:hanging="455"/>
        <w:spacing w:after="0"/>
        <w:tabs>
          <w:tab w:leader="none" w:pos="80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they do not reflect our interest expense, or the cash requirements necessary to service interest or principal payments, on our debt;</w:t>
      </w:r>
    </w:p>
    <w:p>
      <w:pPr>
        <w:spacing w:after="0" w:line="28" w:lineRule="exact"/>
        <w:rPr>
          <w:rFonts w:ascii="Arial" w:cs="Arial" w:eastAsia="Arial" w:hAnsi="Arial"/>
          <w:sz w:val="24"/>
          <w:szCs w:val="24"/>
          <w:color w:val="auto"/>
          <w:vertAlign w:val="superscript"/>
        </w:rPr>
      </w:pPr>
    </w:p>
    <w:p>
      <w:pPr>
        <w:ind w:left="800" w:hanging="455"/>
        <w:spacing w:after="0" w:line="184" w:lineRule="auto"/>
        <w:tabs>
          <w:tab w:leader="none" w:pos="80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they do not reflect our cash expenditures, or future requirements for capital expenditures or contractual commitments;</w:t>
      </w:r>
    </w:p>
    <w:p>
      <w:pPr>
        <w:spacing w:after="0" w:line="28" w:lineRule="exact"/>
        <w:rPr>
          <w:rFonts w:ascii="Arial" w:cs="Arial" w:eastAsia="Arial" w:hAnsi="Arial"/>
          <w:sz w:val="19"/>
          <w:szCs w:val="19"/>
          <w:color w:val="auto"/>
          <w:vertAlign w:val="superscript"/>
        </w:rPr>
      </w:pPr>
    </w:p>
    <w:p>
      <w:pPr>
        <w:ind w:left="800" w:hanging="455"/>
        <w:spacing w:after="0" w:line="184" w:lineRule="auto"/>
        <w:tabs>
          <w:tab w:leader="none" w:pos="80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they do not reflect changes in, or cash requirements for, our working capital needs;</w:t>
      </w:r>
    </w:p>
    <w:p>
      <w:pPr>
        <w:spacing w:after="0" w:line="28" w:lineRule="exact"/>
        <w:rPr>
          <w:rFonts w:ascii="Arial" w:cs="Arial" w:eastAsia="Arial" w:hAnsi="Arial"/>
          <w:sz w:val="19"/>
          <w:szCs w:val="19"/>
          <w:color w:val="auto"/>
          <w:vertAlign w:val="superscript"/>
        </w:rPr>
      </w:pPr>
    </w:p>
    <w:p>
      <w:pPr>
        <w:ind w:left="800" w:right="280" w:hanging="455"/>
        <w:spacing w:after="0" w:line="183" w:lineRule="auto"/>
        <w:tabs>
          <w:tab w:leader="none" w:pos="80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the cash requirements for such replacements;</w:t>
      </w:r>
    </w:p>
    <w:p>
      <w:pPr>
        <w:spacing w:after="0" w:line="1" w:lineRule="exact"/>
        <w:rPr>
          <w:rFonts w:ascii="Arial" w:cs="Arial" w:eastAsia="Arial" w:hAnsi="Arial"/>
          <w:sz w:val="23"/>
          <w:szCs w:val="23"/>
          <w:color w:val="auto"/>
          <w:vertAlign w:val="superscript"/>
        </w:rPr>
      </w:pPr>
    </w:p>
    <w:p>
      <w:pPr>
        <w:ind w:left="800" w:hanging="455"/>
        <w:spacing w:after="0" w:line="186" w:lineRule="auto"/>
        <w:tabs>
          <w:tab w:leader="none" w:pos="800" w:val="left"/>
        </w:tabs>
        <w:numPr>
          <w:ilvl w:val="0"/>
          <w:numId w:val="43"/>
        </w:numPr>
        <w:rPr>
          <w:rFonts w:ascii="Arial" w:cs="Arial" w:eastAsia="Arial" w:hAnsi="Arial"/>
          <w:sz w:val="22"/>
          <w:szCs w:val="22"/>
          <w:color w:val="auto"/>
          <w:vertAlign w:val="superscript"/>
        </w:rPr>
      </w:pPr>
      <w:r>
        <w:rPr>
          <w:rFonts w:ascii="Arial" w:cs="Arial" w:eastAsia="Arial" w:hAnsi="Arial"/>
          <w:sz w:val="13"/>
          <w:szCs w:val="13"/>
          <w:color w:val="auto"/>
        </w:rPr>
        <w:t>they do not reflect our income tax expense or the cash requirements to pay our taxes;</w:t>
      </w:r>
    </w:p>
    <w:p>
      <w:pPr>
        <w:spacing w:after="0" w:line="28" w:lineRule="exact"/>
        <w:rPr>
          <w:rFonts w:ascii="Arial" w:cs="Arial" w:eastAsia="Arial" w:hAnsi="Arial"/>
          <w:sz w:val="22"/>
          <w:szCs w:val="22"/>
          <w:color w:val="auto"/>
          <w:vertAlign w:val="superscript"/>
        </w:rPr>
      </w:pPr>
    </w:p>
    <w:p>
      <w:pPr>
        <w:ind w:left="800" w:hanging="455"/>
        <w:spacing w:after="0" w:line="184" w:lineRule="auto"/>
        <w:tabs>
          <w:tab w:leader="none" w:pos="80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Adjusted EBITDA does not reflect the non-cash component of certain stock based awards related to fair value adjustments and unusual non-recurring stock awards;</w:t>
      </w:r>
    </w:p>
    <w:p>
      <w:pPr>
        <w:spacing w:after="0" w:line="28" w:lineRule="exact"/>
        <w:rPr>
          <w:rFonts w:ascii="Arial" w:cs="Arial" w:eastAsia="Arial" w:hAnsi="Arial"/>
          <w:sz w:val="19"/>
          <w:szCs w:val="19"/>
          <w:color w:val="auto"/>
          <w:vertAlign w:val="superscript"/>
        </w:rPr>
      </w:pPr>
    </w:p>
    <w:p>
      <w:pPr>
        <w:ind w:left="800" w:right="160" w:hanging="455"/>
        <w:spacing w:after="0" w:line="183" w:lineRule="auto"/>
        <w:tabs>
          <w:tab w:leader="none" w:pos="80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Adjusted EBITDA does not reflect the impact of earnings or charges resulting from matters we consider not to be indicative of our ongoing operations, as discussed in our presentation of Adjusted EBITDA and “Management’s Discussion and Analysis of Financial Condition and Results of Operations” in this prospectus; and</w:t>
      </w:r>
    </w:p>
    <w:p>
      <w:pPr>
        <w:spacing w:after="0" w:line="1" w:lineRule="exact"/>
        <w:rPr>
          <w:rFonts w:ascii="Arial" w:cs="Arial" w:eastAsia="Arial" w:hAnsi="Arial"/>
          <w:sz w:val="23"/>
          <w:szCs w:val="23"/>
          <w:color w:val="auto"/>
          <w:vertAlign w:val="superscript"/>
        </w:rPr>
      </w:pPr>
    </w:p>
    <w:p>
      <w:pPr>
        <w:ind w:left="800" w:hanging="455"/>
        <w:spacing w:after="0" w:line="186" w:lineRule="auto"/>
        <w:tabs>
          <w:tab w:leader="none" w:pos="800" w:val="left"/>
        </w:tabs>
        <w:numPr>
          <w:ilvl w:val="0"/>
          <w:numId w:val="43"/>
        </w:numPr>
        <w:rPr>
          <w:rFonts w:ascii="Arial" w:cs="Arial" w:eastAsia="Arial" w:hAnsi="Arial"/>
          <w:sz w:val="22"/>
          <w:szCs w:val="22"/>
          <w:color w:val="auto"/>
          <w:vertAlign w:val="superscript"/>
        </w:rPr>
      </w:pPr>
      <w:r>
        <w:rPr>
          <w:rFonts w:ascii="Arial" w:cs="Arial" w:eastAsia="Arial" w:hAnsi="Arial"/>
          <w:sz w:val="13"/>
          <w:szCs w:val="13"/>
          <w:color w:val="auto"/>
        </w:rPr>
        <w:t>other companies in our industry may calculate Adjusted EBITDA differently than we do, limiting its usefulness as comparative measures.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Because of these limitations, EBITDA and Adjusted EBITDA should not be considered as a measure of discretionary cash available to us to invest in the growth of our business.</w:t>
      </w:r>
    </w:p>
    <w:p>
      <w:pPr>
        <w:ind w:left="340"/>
        <w:spacing w:after="0"/>
        <w:rPr>
          <w:sz w:val="20"/>
          <w:szCs w:val="20"/>
          <w:color w:val="auto"/>
        </w:rPr>
      </w:pPr>
      <w:r>
        <w:rPr>
          <w:rFonts w:ascii="Arial" w:cs="Arial" w:eastAsia="Arial" w:hAnsi="Arial"/>
          <w:sz w:val="14"/>
          <w:szCs w:val="14"/>
          <w:color w:val="auto"/>
        </w:rPr>
        <w:t>We compensate for these limitations by relying primarily on our U.S. GAAP results and using EBITDA and Adjusted EBITDA only supplementally.</w:t>
      </w:r>
    </w:p>
    <w:p>
      <w:pPr>
        <w:spacing w:after="0" w:line="153" w:lineRule="exact"/>
        <w:rPr>
          <w:sz w:val="20"/>
          <w:szCs w:val="20"/>
          <w:color w:val="auto"/>
        </w:rPr>
      </w:pPr>
    </w:p>
    <w:p>
      <w:pPr>
        <w:ind w:left="340" w:right="40"/>
        <w:spacing w:after="0" w:line="238" w:lineRule="auto"/>
        <w:rPr>
          <w:sz w:val="20"/>
          <w:szCs w:val="20"/>
          <w:color w:val="auto"/>
        </w:rPr>
      </w:pPr>
      <w:r>
        <w:rPr>
          <w:rFonts w:ascii="Arial" w:cs="Arial" w:eastAsia="Arial" w:hAnsi="Arial"/>
          <w:sz w:val="14"/>
          <w:szCs w:val="14"/>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7" w:lineRule="exact"/>
        <w:rPr>
          <w:sz w:val="20"/>
          <w:szCs w:val="20"/>
          <w:color w:val="auto"/>
        </w:rPr>
      </w:pPr>
    </w:p>
    <w:p>
      <w:pPr>
        <w:ind w:left="340"/>
        <w:spacing w:after="0" w:line="236" w:lineRule="auto"/>
        <w:rPr>
          <w:sz w:val="20"/>
          <w:szCs w:val="20"/>
          <w:color w:val="auto"/>
        </w:rPr>
      </w:pPr>
      <w:r>
        <w:rPr>
          <w:rFonts w:ascii="Arial" w:cs="Arial" w:eastAsia="Arial" w:hAnsi="Arial"/>
          <w:sz w:val="14"/>
          <w:szCs w:val="14"/>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449" w:right="2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340" w:right="200"/>
        <w:spacing w:after="0" w:line="245" w:lineRule="auto"/>
        <w:rPr>
          <w:sz w:val="20"/>
          <w:szCs w:val="20"/>
          <w:color w:val="auto"/>
        </w:rPr>
      </w:pPr>
      <w:r>
        <w:rPr>
          <w:rFonts w:ascii="Arial" w:cs="Arial" w:eastAsia="Arial" w:hAnsi="Arial"/>
          <w:sz w:val="14"/>
          <w:szCs w:val="14"/>
          <w:color w:val="auto"/>
        </w:rPr>
        <w:t>See the consolidated financial statements included elsewhere in this prospectus for our U.S. GAAP results. Set forth below are the reconciliations of EBITDA, Adjusted EBITDA, Adjusted Net Income and Free Cash Flow to our closest reported U.S.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9"/>
              </w:rPr>
              <w:t>SUCCESSOR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500"/>
              <w:spacing w:after="0" w:line="139"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rPr>
              <w:t>MONTH</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rPr>
              <w:t>NINE MONTH</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SIX</w:t>
            </w:r>
          </w:p>
        </w:tc>
        <w:tc>
          <w:tcPr>
            <w:tcW w:w="100" w:type="dxa"/>
            <w:vAlign w:val="bottom"/>
          </w:tcPr>
          <w:p>
            <w:pPr>
              <w:spacing w:after="0"/>
              <w:rPr>
                <w:sz w:val="13"/>
                <w:szCs w:val="13"/>
                <w:color w:val="auto"/>
              </w:rPr>
            </w:pPr>
          </w:p>
        </w:tc>
        <w:tc>
          <w:tcPr>
            <w:tcW w:w="5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SIX</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280" w:type="dxa"/>
            <w:vAlign w:val="bottom"/>
          </w:tcPr>
          <w:p>
            <w:pPr>
              <w:spacing w:after="0"/>
              <w:rPr>
                <w:sz w:val="13"/>
                <w:szCs w:val="13"/>
                <w:color w:val="auto"/>
              </w:rPr>
            </w:pPr>
          </w:p>
        </w:tc>
        <w:tc>
          <w:tcPr>
            <w:tcW w:w="12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MONTHS</w:t>
            </w:r>
          </w:p>
        </w:tc>
        <w:tc>
          <w:tcPr>
            <w:tcW w:w="6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MONTHS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rPr>
              <w:t>APRIL 1, 2014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50"/>
              <w:spacing w:after="0" w:line="157"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380"/>
              <w:spacing w:after="0" w:line="157" w:lineRule="exact"/>
              <w:rPr>
                <w:sz w:val="20"/>
                <w:szCs w:val="20"/>
                <w:color w:val="auto"/>
              </w:rPr>
            </w:pPr>
            <w:r>
              <w:rPr>
                <w:rFonts w:ascii="Arial" w:cs="Arial" w:eastAsia="Arial" w:hAnsi="Arial"/>
                <w:sz w:val="14"/>
                <w:szCs w:val="14"/>
                <w:b w:val="1"/>
                <w:bCs w:val="1"/>
                <w:color w:val="auto"/>
                <w:w w:val="97"/>
              </w:rPr>
              <w:t>ENDED</w:t>
            </w:r>
          </w:p>
        </w:tc>
        <w:tc>
          <w:tcPr>
            <w:tcW w:w="6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7"/>
              </w:rPr>
              <w:t>ENDED</w:t>
            </w:r>
          </w:p>
        </w:tc>
        <w:tc>
          <w:tcPr>
            <w:tcW w:w="320" w:type="dxa"/>
            <w:vAlign w:val="bottom"/>
          </w:tcPr>
          <w:p>
            <w:pPr>
              <w:spacing w:after="0"/>
              <w:rPr>
                <w:sz w:val="13"/>
                <w:szCs w:val="13"/>
                <w:color w:val="auto"/>
              </w:rPr>
            </w:pPr>
          </w:p>
        </w:tc>
        <w:tc>
          <w:tcPr>
            <w:tcW w:w="1140" w:type="dxa"/>
            <w:vAlign w:val="bottom"/>
            <w:gridSpan w:val="3"/>
          </w:tcPr>
          <w:p>
            <w:pPr>
              <w:jc w:val="right"/>
              <w:ind w:right="160"/>
              <w:spacing w:after="0" w:line="157"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8"/>
              </w:rPr>
              <w:t>THROUGH</w:t>
            </w:r>
          </w:p>
        </w:tc>
        <w:tc>
          <w:tcPr>
            <w:tcW w:w="280" w:type="dxa"/>
            <w:vAlign w:val="bottom"/>
          </w:tcPr>
          <w:p>
            <w:pPr>
              <w:spacing w:after="0"/>
              <w:rPr>
                <w:sz w:val="13"/>
                <w:szCs w:val="13"/>
                <w:color w:val="auto"/>
              </w:rPr>
            </w:pPr>
          </w:p>
        </w:tc>
        <w:tc>
          <w:tcPr>
            <w:tcW w:w="1200" w:type="dxa"/>
            <w:vAlign w:val="bottom"/>
            <w:gridSpan w:val="3"/>
          </w:tcPr>
          <w:p>
            <w:pPr>
              <w:jc w:val="center"/>
              <w:ind w:right="380"/>
              <w:spacing w:after="0" w:line="157" w:lineRule="exact"/>
              <w:rPr>
                <w:sz w:val="20"/>
                <w:szCs w:val="20"/>
                <w:color w:val="auto"/>
              </w:rPr>
            </w:pPr>
            <w:r>
              <w:rPr>
                <w:rFonts w:ascii="Arial" w:cs="Arial" w:eastAsia="Arial" w:hAnsi="Arial"/>
                <w:sz w:val="14"/>
                <w:szCs w:val="14"/>
                <w:b w:val="1"/>
                <w:bCs w:val="1"/>
                <w:color w:val="auto"/>
                <w:w w:val="98"/>
              </w:rPr>
              <w:t>THROUGH</w:t>
            </w:r>
          </w:p>
        </w:tc>
        <w:tc>
          <w:tcPr>
            <w:tcW w:w="112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w:t>
            </w:r>
          </w:p>
        </w:tc>
        <w:tc>
          <w:tcPr>
            <w:tcW w:w="6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40" w:type="dxa"/>
            <w:vAlign w:val="bottom"/>
            <w:tcBorders>
              <w:right w:val="single" w:sz="8" w:color="auto"/>
            </w:tcBorders>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200" w:type="dxa"/>
            <w:vAlign w:val="bottom"/>
            <w:gridSpan w:val="3"/>
          </w:tcPr>
          <w:p>
            <w:pPr>
              <w:jc w:val="center"/>
              <w:ind w:right="400"/>
              <w:spacing w:after="0" w:line="157"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CEEFF"/>
              <w:right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137"/>
        </w:trPr>
        <w:tc>
          <w:tcPr>
            <w:tcW w:w="424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EBITDA and Adjusted EBITDA:</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Net income (loss) as reported</w:t>
            </w:r>
          </w:p>
        </w:tc>
        <w:tc>
          <w:tcPr>
            <w:tcW w:w="2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8,410</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36</w:t>
            </w:r>
          </w:p>
        </w:tc>
        <w:tc>
          <w:tcPr>
            <w:tcW w:w="54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(8,673)</w:t>
            </w: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(14,336)</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(1,236)</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24,844</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Interest expense, net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11,894</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13,975</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27,259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23,185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18,000</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5,738</w:t>
            </w:r>
          </w:p>
        </w:tc>
        <w:tc>
          <w:tcPr>
            <w:tcW w:w="10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(733)</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(6,703)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1,014</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14,301</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3,110</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6,379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4,610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6,665</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25,336</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34,243</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63,142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56,422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5,199</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23,854</w:t>
            </w:r>
          </w:p>
        </w:tc>
      </w:tr>
      <w:tr>
        <w:trPr>
          <w:trHeight w:val="26"/>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EBITDA</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54,944</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50,631</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88,950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63,178</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10,081</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87,664</w:t>
            </w:r>
          </w:p>
        </w:tc>
      </w:tr>
      <w:tr>
        <w:trPr>
          <w:trHeight w:val="161"/>
        </w:trPr>
        <w:tc>
          <w:tcPr>
            <w:tcW w:w="4240" w:type="dxa"/>
            <w:vAlign w:val="bottom"/>
          </w:tcPr>
          <w:p>
            <w:pPr>
              <w:spacing w:after="0"/>
              <w:rPr>
                <w:sz w:val="20"/>
                <w:szCs w:val="20"/>
                <w:color w:val="auto"/>
              </w:rPr>
            </w:pPr>
            <w:r>
              <w:rPr>
                <w:rFonts w:ascii="Arial" w:cs="Arial" w:eastAsia="Arial" w:hAnsi="Arial"/>
                <w:sz w:val="14"/>
                <w:szCs w:val="14"/>
                <w:color w:val="auto"/>
              </w:rPr>
              <w:t>Stock compensation expense: liability awards mark-to-market and</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240" w:type="dxa"/>
            <w:vAlign w:val="bottom"/>
          </w:tcPr>
          <w:p>
            <w:pPr>
              <w:ind w:left="240"/>
              <w:spacing w:after="0" w:line="160" w:lineRule="exact"/>
              <w:rPr>
                <w:sz w:val="20"/>
                <w:szCs w:val="20"/>
                <w:color w:val="auto"/>
              </w:rPr>
            </w:pPr>
            <w:r>
              <w:rPr>
                <w:rFonts w:ascii="Arial" w:cs="Arial" w:eastAsia="Arial" w:hAnsi="Arial"/>
                <w:sz w:val="11"/>
                <w:szCs w:val="11"/>
                <w:color w:val="auto"/>
              </w:rPr>
              <w:t xml:space="preserve">CEO award </w:t>
            </w:r>
            <w:r>
              <w:rPr>
                <w:rFonts w:ascii="Arial" w:cs="Arial" w:eastAsia="Arial" w:hAnsi="Arial"/>
                <w:sz w:val="18"/>
                <w:szCs w:val="18"/>
                <w:color w:val="auto"/>
                <w:vertAlign w:val="superscript"/>
              </w:rPr>
              <w:t>(a)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60" w:lineRule="exact"/>
              <w:rPr>
                <w:sz w:val="20"/>
                <w:szCs w:val="20"/>
                <w:color w:val="auto"/>
              </w:rPr>
            </w:pPr>
            <w:r>
              <w:rPr>
                <w:rFonts w:ascii="Arial" w:cs="Arial" w:eastAsia="Arial" w:hAnsi="Arial"/>
                <w:sz w:val="14"/>
                <w:szCs w:val="14"/>
                <w:color w:val="auto"/>
              </w:rPr>
              <w:t>2,576</w:t>
            </w:r>
          </w:p>
        </w:tc>
        <w:tc>
          <w:tcPr>
            <w:tcW w:w="100" w:type="dxa"/>
            <w:vAlign w:val="bottom"/>
          </w:tcPr>
          <w:p>
            <w:pPr>
              <w:spacing w:after="0"/>
              <w:rPr>
                <w:sz w:val="13"/>
                <w:szCs w:val="13"/>
                <w:color w:val="auto"/>
              </w:rPr>
            </w:pPr>
          </w:p>
        </w:tc>
        <w:tc>
          <w:tcPr>
            <w:tcW w:w="5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9,780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6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9,297</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1"/>
                <w:szCs w:val="11"/>
                <w:color w:val="auto"/>
              </w:rPr>
              <w:t xml:space="preserve">Corporate campus lease payments </w:t>
            </w:r>
            <w:r>
              <w:rPr>
                <w:rFonts w:ascii="Arial" w:cs="Arial" w:eastAsia="Arial" w:hAnsi="Arial"/>
                <w:sz w:val="18"/>
                <w:szCs w:val="18"/>
                <w:color w:val="auto"/>
                <w:vertAlign w:val="superscript"/>
              </w:rPr>
              <w:t>(c)</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(1,860)</w:t>
            </w:r>
          </w:p>
        </w:tc>
        <w:tc>
          <w:tcPr>
            <w:tcW w:w="10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(1,860)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(3,720)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(2,773)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(918)</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(3,635)</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(374)</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(3,107)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748</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1,380</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Impairment of goodwill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9,313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4240" w:type="dxa"/>
            <w:vAlign w:val="bottom"/>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56,427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48,385</w:t>
            </w:r>
          </w:p>
        </w:tc>
        <w:tc>
          <w:tcPr>
            <w:tcW w:w="5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101,216</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70,450</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21,710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85,409</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Net Income:</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Net income (loss) as reported</w:t>
            </w:r>
          </w:p>
        </w:tc>
        <w:tc>
          <w:tcPr>
            <w:tcW w:w="2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8,410</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36</w:t>
            </w:r>
          </w:p>
        </w:tc>
        <w:tc>
          <w:tcPr>
            <w:tcW w:w="54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(8,673)</w:t>
            </w: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(14,336)</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(1,236)</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24,844</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Amortization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25,336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34,243</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63,142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56,422</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5,199</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23,854</w:t>
            </w:r>
          </w:p>
        </w:tc>
      </w:tr>
      <w:tr>
        <w:trPr>
          <w:trHeight w:val="155"/>
        </w:trPr>
        <w:tc>
          <w:tcPr>
            <w:tcW w:w="4240" w:type="dxa"/>
            <w:vAlign w:val="bottom"/>
          </w:tcPr>
          <w:p>
            <w:pPr>
              <w:spacing w:after="0" w:line="155" w:lineRule="exact"/>
              <w:rPr>
                <w:sz w:val="20"/>
                <w:szCs w:val="20"/>
                <w:color w:val="auto"/>
              </w:rPr>
            </w:pPr>
            <w:r>
              <w:rPr>
                <w:rFonts w:ascii="Arial" w:cs="Arial" w:eastAsia="Arial" w:hAnsi="Arial"/>
                <w:sz w:val="14"/>
                <w:szCs w:val="14"/>
                <w:color w:val="auto"/>
              </w:rPr>
              <w:t>Stock compensation expense: liability awards mark-to-market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240" w:type="dxa"/>
            <w:vAlign w:val="bottom"/>
          </w:tcPr>
          <w:p>
            <w:pPr>
              <w:ind w:left="240"/>
              <w:spacing w:after="0" w:line="160" w:lineRule="exact"/>
              <w:rPr>
                <w:sz w:val="20"/>
                <w:szCs w:val="20"/>
                <w:color w:val="auto"/>
              </w:rPr>
            </w:pPr>
            <w:r>
              <w:rPr>
                <w:rFonts w:ascii="Arial" w:cs="Arial" w:eastAsia="Arial" w:hAnsi="Arial"/>
                <w:sz w:val="11"/>
                <w:szCs w:val="11"/>
                <w:color w:val="auto"/>
              </w:rPr>
              <w:t xml:space="preserve">CEO award </w:t>
            </w:r>
            <w:r>
              <w:rPr>
                <w:rFonts w:ascii="Arial" w:cs="Arial" w:eastAsia="Arial" w:hAnsi="Arial"/>
                <w:sz w:val="18"/>
                <w:szCs w:val="18"/>
                <w:color w:val="auto"/>
                <w:vertAlign w:val="superscript"/>
              </w:rPr>
              <w:t>(a)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60" w:lineRule="exact"/>
              <w:rPr>
                <w:sz w:val="20"/>
                <w:szCs w:val="20"/>
                <w:color w:val="auto"/>
              </w:rPr>
            </w:pPr>
            <w:r>
              <w:rPr>
                <w:rFonts w:ascii="Arial" w:cs="Arial" w:eastAsia="Arial" w:hAnsi="Arial"/>
                <w:sz w:val="14"/>
                <w:szCs w:val="14"/>
                <w:color w:val="auto"/>
              </w:rPr>
              <w:t>2,576</w:t>
            </w:r>
          </w:p>
        </w:tc>
        <w:tc>
          <w:tcPr>
            <w:tcW w:w="100" w:type="dxa"/>
            <w:vAlign w:val="bottom"/>
          </w:tcPr>
          <w:p>
            <w:pPr>
              <w:spacing w:after="0"/>
              <w:rPr>
                <w:sz w:val="13"/>
                <w:szCs w:val="13"/>
                <w:color w:val="auto"/>
              </w:rPr>
            </w:pPr>
          </w:p>
        </w:tc>
        <w:tc>
          <w:tcPr>
            <w:tcW w:w="5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(12)</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9,780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6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9,297</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1"/>
                <w:szCs w:val="11"/>
                <w:color w:val="auto"/>
              </w:rPr>
              <w:t xml:space="preserve">Corporate campus lease payments—principal portion </w:t>
            </w:r>
            <w:r>
              <w:rPr>
                <w:rFonts w:ascii="Arial" w:cs="Arial" w:eastAsia="Arial" w:hAnsi="Arial"/>
                <w:sz w:val="18"/>
                <w:szCs w:val="18"/>
                <w:color w:val="auto"/>
                <w:vertAlign w:val="superscript"/>
              </w:rPr>
              <w:t>(c)</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(744)</w:t>
            </w:r>
          </w:p>
        </w:tc>
        <w:tc>
          <w:tcPr>
            <w:tcW w:w="10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(576)</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(1,292)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(1,284)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(165)</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(374)</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(3,107)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748</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1,380</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Impairment of goodwill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9,313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1"/>
                <w:szCs w:val="11"/>
                <w:color w:val="auto"/>
              </w:rPr>
              <w:t xml:space="preserve">Deferred financing fees </w:t>
            </w:r>
            <w:r>
              <w:rPr>
                <w:rFonts w:ascii="Arial" w:cs="Arial" w:eastAsia="Arial" w:hAnsi="Arial"/>
                <w:sz w:val="18"/>
                <w:szCs w:val="18"/>
                <w:color w:val="auto"/>
                <w:vertAlign w:val="superscript"/>
              </w:rPr>
              <w:t>(e)</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1,328</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2,687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2,064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1,918</w:t>
            </w: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767</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tax effect of adjustments (39.0%)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(11,419)</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(13,498)</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(31,405)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(26,226)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(7,001)</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(10,589)</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4240" w:type="dxa"/>
            <w:vAlign w:val="bottom"/>
          </w:tcPr>
          <w:p>
            <w:pPr>
              <w:spacing w:after="0"/>
              <w:rPr>
                <w:sz w:val="20"/>
                <w:szCs w:val="20"/>
                <w:color w:val="auto"/>
              </w:rPr>
            </w:pPr>
            <w:r>
              <w:rPr>
                <w:rFonts w:ascii="Arial" w:cs="Arial" w:eastAsia="Arial" w:hAnsi="Arial"/>
                <w:sz w:val="14"/>
                <w:szCs w:val="14"/>
                <w:color w:val="auto"/>
              </w:rPr>
              <w:t>Adjusted Net Income</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26,271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21,147</w:t>
            </w:r>
          </w:p>
        </w:tc>
        <w:tc>
          <w:tcPr>
            <w:tcW w:w="5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40,445</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26,685</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9,715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41,407</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Free Cash Flow:</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4240" w:type="dxa"/>
            <w:vAlign w:val="bottom"/>
          </w:tcPr>
          <w:p>
            <w:pPr>
              <w:spacing w:after="0" w:line="157" w:lineRule="exact"/>
              <w:rPr>
                <w:sz w:val="20"/>
                <w:szCs w:val="20"/>
                <w:color w:val="auto"/>
              </w:rPr>
            </w:pPr>
            <w:r>
              <w:rPr>
                <w:rFonts w:ascii="Arial" w:cs="Arial" w:eastAsia="Arial" w:hAnsi="Arial"/>
                <w:sz w:val="14"/>
                <w:szCs w:val="14"/>
                <w:color w:val="auto"/>
              </w:rPr>
              <w:t>Cash flow provided by operating activities</w:t>
            </w:r>
          </w:p>
        </w:tc>
        <w:tc>
          <w:tcPr>
            <w:tcW w:w="2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19,982</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26,271</w:t>
            </w:r>
          </w:p>
        </w:tc>
        <w:tc>
          <w:tcPr>
            <w:tcW w:w="54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84,117</w:t>
            </w: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62,539</w:t>
            </w:r>
          </w:p>
        </w:tc>
        <w:tc>
          <w:tcPr>
            <w:tcW w:w="3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12,807</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98,142</w:t>
            </w:r>
          </w:p>
        </w:tc>
      </w:tr>
      <w:tr>
        <w:trPr>
          <w:trHeight w:val="157"/>
        </w:trPr>
        <w:tc>
          <w:tcPr>
            <w:tcW w:w="42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Less: Capital expenditures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(5,693)</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(2,665)</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(6,465)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auto"/>
            </w:tcBorders>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(4,225)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(4,561)</w:t>
            </w:r>
          </w:p>
        </w:tc>
      </w:tr>
      <w:tr>
        <w:trPr>
          <w:trHeight w:val="157"/>
        </w:trPr>
        <w:tc>
          <w:tcPr>
            <w:tcW w:w="4240" w:type="dxa"/>
            <w:vAlign w:val="bottom"/>
          </w:tcPr>
          <w:p>
            <w:pPr>
              <w:ind w:left="240"/>
              <w:spacing w:after="0" w:line="157" w:lineRule="exact"/>
              <w:rPr>
                <w:sz w:val="20"/>
                <w:szCs w:val="20"/>
                <w:color w:val="auto"/>
              </w:rPr>
            </w:pPr>
            <w:r>
              <w:rPr>
                <w:rFonts w:ascii="Arial" w:cs="Arial" w:eastAsia="Arial" w:hAnsi="Arial"/>
                <w:sz w:val="11"/>
                <w:szCs w:val="11"/>
                <w:color w:val="auto"/>
              </w:rPr>
              <w:t xml:space="preserve">Less: Corporate campus lease payments—principal portion </w:t>
            </w:r>
            <w:r>
              <w:rPr>
                <w:rFonts w:ascii="Arial" w:cs="Arial" w:eastAsia="Arial" w:hAnsi="Arial"/>
                <w:sz w:val="18"/>
                <w:szCs w:val="18"/>
                <w:color w:val="auto"/>
                <w:vertAlign w:val="superscript"/>
              </w:rPr>
              <w:t>(c)</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(744)</w:t>
            </w:r>
          </w:p>
        </w:tc>
        <w:tc>
          <w:tcPr>
            <w:tcW w:w="10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(576)</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(1,292)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(1,284)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(165)</w:t>
            </w:r>
          </w:p>
        </w:tc>
        <w:tc>
          <w:tcPr>
            <w:tcW w:w="220" w:type="dxa"/>
            <w:vAlign w:val="bottom"/>
          </w:tcPr>
          <w:p>
            <w:pPr>
              <w:spacing w:after="0"/>
              <w:rPr>
                <w:sz w:val="13"/>
                <w:szCs w:val="13"/>
                <w:color w:val="auto"/>
              </w:rPr>
            </w:pPr>
          </w:p>
        </w:tc>
        <w:tc>
          <w:tcPr>
            <w:tcW w:w="9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26"/>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4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Free Cash Flow</w:t>
            </w:r>
          </w:p>
        </w:tc>
        <w:tc>
          <w:tcPr>
            <w:tcW w:w="26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13,545</w:t>
            </w: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23,030</w:t>
            </w:r>
          </w:p>
        </w:tc>
        <w:tc>
          <w:tcPr>
            <w:tcW w:w="54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76,360</w:t>
            </w:r>
          </w:p>
        </w:tc>
        <w:tc>
          <w:tcPr>
            <w:tcW w:w="20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57,030</w:t>
            </w:r>
          </w:p>
        </w:tc>
        <w:tc>
          <w:tcPr>
            <w:tcW w:w="380" w:type="dxa"/>
            <w:vAlign w:val="bottom"/>
            <w:gridSpan w:val="2"/>
            <w:shd w:val="clear" w:color="auto" w:fill="CCEEFF"/>
          </w:tcPr>
          <w:p>
            <w:pPr>
              <w:ind w:left="28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11,552</w:t>
            </w:r>
          </w:p>
        </w:tc>
        <w:tc>
          <w:tcPr>
            <w:tcW w:w="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93,581</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7" w:lineRule="exact"/>
        <w:rPr>
          <w:sz w:val="20"/>
          <w:szCs w:val="20"/>
          <w:color w:val="auto"/>
        </w:rPr>
      </w:pPr>
    </w:p>
    <w:p>
      <w:pPr>
        <w:ind w:left="800" w:right="160" w:hanging="298"/>
        <w:spacing w:after="0" w:line="193" w:lineRule="auto"/>
        <w:tabs>
          <w:tab w:leader="none" w:pos="80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is expected to be classified as equity for accounting purposes and will not be subject to period ending fair value adjustments.</w:t>
      </w:r>
    </w:p>
    <w:p>
      <w:pPr>
        <w:spacing w:after="0" w:line="1" w:lineRule="exact"/>
        <w:rPr>
          <w:rFonts w:ascii="Arial" w:cs="Arial" w:eastAsia="Arial" w:hAnsi="Arial"/>
          <w:sz w:val="24"/>
          <w:szCs w:val="24"/>
          <w:color w:val="auto"/>
          <w:vertAlign w:val="superscript"/>
        </w:rPr>
      </w:pPr>
    </w:p>
    <w:p>
      <w:pPr>
        <w:ind w:left="800" w:hanging="298"/>
        <w:spacing w:after="0" w:line="186" w:lineRule="auto"/>
        <w:tabs>
          <w:tab w:leader="none" w:pos="800" w:val="left"/>
        </w:tabs>
        <w:numPr>
          <w:ilvl w:val="0"/>
          <w:numId w:val="44"/>
        </w:numPr>
        <w:rPr>
          <w:rFonts w:ascii="Arial" w:cs="Arial" w:eastAsia="Arial" w:hAnsi="Arial"/>
          <w:sz w:val="22"/>
          <w:szCs w:val="22"/>
          <w:color w:val="auto"/>
          <w:vertAlign w:val="superscript"/>
        </w:rPr>
      </w:pPr>
      <w:r>
        <w:rPr>
          <w:rFonts w:ascii="Arial" w:cs="Arial" w:eastAsia="Arial" w:hAnsi="Arial"/>
          <w:sz w:val="13"/>
          <w:szCs w:val="13"/>
          <w:color w:val="auto"/>
        </w:rPr>
        <w:t>Represents attorney fees, advisory fees and other professional service fees incurred in connection with the Transaction.</w:t>
      </w:r>
    </w:p>
    <w:p>
      <w:pPr>
        <w:spacing w:after="0" w:line="28" w:lineRule="exact"/>
        <w:rPr>
          <w:rFonts w:ascii="Arial" w:cs="Arial" w:eastAsia="Arial" w:hAnsi="Arial"/>
          <w:sz w:val="22"/>
          <w:szCs w:val="22"/>
          <w:color w:val="auto"/>
          <w:vertAlign w:val="superscript"/>
        </w:rPr>
      </w:pPr>
    </w:p>
    <w:p>
      <w:pPr>
        <w:ind w:left="800" w:right="60" w:hanging="291"/>
        <w:spacing w:after="0" w:line="207" w:lineRule="auto"/>
        <w:tabs>
          <w:tab w:leader="none" w:pos="80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spacing w:after="0" w:line="3" w:lineRule="exact"/>
        <w:rPr>
          <w:rFonts w:ascii="Arial" w:cs="Arial" w:eastAsia="Arial" w:hAnsi="Arial"/>
          <w:sz w:val="24"/>
          <w:szCs w:val="24"/>
          <w:color w:val="auto"/>
          <w:vertAlign w:val="superscript"/>
        </w:rPr>
      </w:pPr>
    </w:p>
    <w:p>
      <w:pPr>
        <w:ind w:left="800" w:hanging="298"/>
        <w:spacing w:after="0" w:line="186" w:lineRule="auto"/>
        <w:tabs>
          <w:tab w:leader="none" w:pos="800" w:val="left"/>
        </w:tabs>
        <w:numPr>
          <w:ilvl w:val="0"/>
          <w:numId w:val="44"/>
        </w:numPr>
        <w:rPr>
          <w:rFonts w:ascii="Arial" w:cs="Arial" w:eastAsia="Arial" w:hAnsi="Arial"/>
          <w:sz w:val="22"/>
          <w:szCs w:val="22"/>
          <w:color w:val="auto"/>
          <w:vertAlign w:val="superscript"/>
        </w:rPr>
      </w:pPr>
      <w:r>
        <w:rPr>
          <w:rFonts w:ascii="Arial" w:cs="Arial" w:eastAsia="Arial" w:hAnsi="Arial"/>
          <w:sz w:val="13"/>
          <w:szCs w:val="13"/>
          <w:color w:val="auto"/>
        </w:rPr>
        <w:t>Represents non-recurring costs and recovery related to a customer bad debt and non-recurring expenses related to the settlement of an employment related matter.</w:t>
      </w:r>
    </w:p>
    <w:p>
      <w:pPr>
        <w:spacing w:after="0" w:line="67" w:lineRule="exact"/>
        <w:rPr>
          <w:rFonts w:ascii="Arial" w:cs="Arial" w:eastAsia="Arial" w:hAnsi="Arial"/>
          <w:sz w:val="22"/>
          <w:szCs w:val="22"/>
          <w:color w:val="auto"/>
          <w:vertAlign w:val="superscript"/>
        </w:rPr>
      </w:pPr>
    </w:p>
    <w:p>
      <w:pPr>
        <w:ind w:left="800" w:hanging="259"/>
        <w:spacing w:after="0" w:line="184" w:lineRule="auto"/>
        <w:tabs>
          <w:tab w:leader="none" w:pos="800" w:val="left"/>
        </w:tabs>
        <w:numPr>
          <w:ilvl w:val="1"/>
          <w:numId w:val="44"/>
        </w:numPr>
        <w:rPr>
          <w:rFonts w:ascii="Arial" w:cs="Arial" w:eastAsia="Arial" w:hAnsi="Arial"/>
          <w:sz w:val="19"/>
          <w:szCs w:val="19"/>
          <w:color w:val="auto"/>
          <w:vertAlign w:val="superscript"/>
        </w:rPr>
      </w:pPr>
      <w:r>
        <w:rPr>
          <w:rFonts w:ascii="Arial" w:cs="Arial" w:eastAsia="Arial" w:hAnsi="Arial"/>
          <w:sz w:val="12"/>
          <w:szCs w:val="12"/>
          <w:color w:val="auto"/>
        </w:rPr>
        <w:t>Represents amortization of the discount and issuance costs deferred on the consolidated balance sheet associated with the issuance of the Senior Secured Credit Facility.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49"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17" w:lineRule="exact"/>
        <w:rPr>
          <w:sz w:val="20"/>
          <w:szCs w:val="20"/>
          <w:color w:val="auto"/>
        </w:rPr>
      </w:pPr>
    </w:p>
    <w:p>
      <w:pPr>
        <w:ind w:left="800" w:hanging="265"/>
        <w:spacing w:after="0"/>
        <w:tabs>
          <w:tab w:leader="none" w:pos="800" w:val="left"/>
        </w:tabs>
        <w:numPr>
          <w:ilvl w:val="1"/>
          <w:numId w:val="45"/>
        </w:numPr>
        <w:rPr>
          <w:rFonts w:ascii="Arial" w:cs="Arial" w:eastAsia="Arial" w:hAnsi="Arial"/>
          <w:sz w:val="24"/>
          <w:szCs w:val="24"/>
          <w:color w:val="auto"/>
          <w:vertAlign w:val="superscript"/>
        </w:rPr>
      </w:pPr>
      <w:r>
        <w:rPr>
          <w:rFonts w:ascii="Arial" w:cs="Arial" w:eastAsia="Arial" w:hAnsi="Arial"/>
          <w:sz w:val="14"/>
          <w:szCs w:val="14"/>
          <w:color w:val="auto"/>
        </w:rPr>
        <w:t>Represents advisory costs and other fees related to this offering.</w:t>
      </w:r>
    </w:p>
    <w:p>
      <w:pPr>
        <w:spacing w:after="0" w:line="28" w:lineRule="exact"/>
        <w:rPr>
          <w:rFonts w:ascii="Arial" w:cs="Arial" w:eastAsia="Arial" w:hAnsi="Arial"/>
          <w:sz w:val="24"/>
          <w:szCs w:val="24"/>
          <w:color w:val="auto"/>
          <w:vertAlign w:val="superscript"/>
        </w:rPr>
      </w:pPr>
    </w:p>
    <w:p>
      <w:pPr>
        <w:ind w:left="340" w:hanging="296"/>
        <w:spacing w:after="0" w:line="193"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Backlog represents anticipated future net service revenue from net new business awards that have not commenced or are currently in process but not complete. However, because the contracts included in our backlog are generally terminable without cause, we do not believe that our backlog as of any date is necessarily a meaningful predictor of future results.</w:t>
      </w:r>
    </w:p>
    <w:p>
      <w:pPr>
        <w:spacing w:after="0" w:line="29" w:lineRule="exact"/>
        <w:rPr>
          <w:rFonts w:ascii="Arial" w:cs="Arial" w:eastAsia="Arial" w:hAnsi="Arial"/>
          <w:sz w:val="24"/>
          <w:szCs w:val="24"/>
          <w:color w:val="auto"/>
          <w:vertAlign w:val="superscript"/>
        </w:rPr>
      </w:pPr>
    </w:p>
    <w:p>
      <w:pPr>
        <w:ind w:left="340" w:right="100" w:hanging="296"/>
        <w:spacing w:after="0" w:line="218"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449"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31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“Selected Historical Consolidated Financial and Other Data” and the consolidated financial statements and the related notes included elsewhere in this prospectus. This discussion contains forward looking statements related to future events and our future financial performance that are based on current expectations and subject to risks and uncertainties. Our actual results may differ materially from those anticipated in these forward looking statements as a result of many factors, including those set forth under “Risk Factors,” “Cautionary Note Regarding Forward Looking Statements” and elsewhere in this prospectus.</w:t>
      </w:r>
    </w:p>
    <w:p>
      <w:pPr>
        <w:spacing w:after="0" w:line="125" w:lineRule="exact"/>
        <w:rPr>
          <w:sz w:val="20"/>
          <w:szCs w:val="20"/>
          <w:color w:val="auto"/>
        </w:rPr>
      </w:pPr>
    </w:p>
    <w:p>
      <w:pPr>
        <w:spacing w:after="0" w:line="233" w:lineRule="auto"/>
        <w:rPr>
          <w:sz w:val="20"/>
          <w:szCs w:val="20"/>
          <w:color w:val="auto"/>
        </w:rPr>
      </w:pPr>
      <w:r>
        <w:rPr>
          <w:rFonts w:ascii="Arial" w:cs="Arial" w:eastAsia="Arial" w:hAnsi="Arial"/>
          <w:sz w:val="17"/>
          <w:szCs w:val="17"/>
          <w:i w:val="1"/>
          <w:iCs w:val="1"/>
          <w:color w:val="auto"/>
        </w:rPr>
        <w:t>The following discussion and analysis presents operations and cash flows for two periods, Predecessor and Successor, which relate to the period preceding the Transaction (as defined below) and the period succeeding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 The Company refers to the operations of Medpace Holdings</w:t>
      </w:r>
      <w:r>
        <w:rPr>
          <w:rFonts w:ascii="Arial" w:cs="Arial" w:eastAsia="Arial" w:hAnsi="Arial"/>
          <w:sz w:val="17"/>
          <w:szCs w:val="17"/>
          <w:color w:val="auto"/>
        </w:rPr>
        <w:t>.</w:t>
      </w:r>
      <w:r>
        <w:rPr>
          <w:rFonts w:ascii="Arial" w:cs="Arial" w:eastAsia="Arial" w:hAnsi="Arial"/>
          <w:sz w:val="17"/>
          <w:szCs w:val="17"/>
          <w:i w:val="1"/>
          <w:iCs w:val="1"/>
          <w:color w:val="auto"/>
        </w:rPr>
        <w:t>, Inc. and subsidiaries for both the Predecessor period and Successor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9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42"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2,300 employees across 35 countries, providing our customers with broad access to diverse markets and patient populations and local regulatory expertise and market knowledge.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w:t>
      </w:r>
    </w:p>
    <w:p>
      <w:pPr>
        <w:spacing w:after="0" w:line="83"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We were founded in 1992 as a Phase II-IV-focused CRO with a strong, scientifically-driven and disciplined operating model, and we continue today as a founder-led enterprise. Throughout our 24-year history, we have grown almost exclusively organically, with our core founding members having been integrally involved in developing and instilling our differentiated culture and operating philosophy across our company.</w:t>
      </w:r>
    </w:p>
    <w:p>
      <w:pPr>
        <w:spacing w:after="0" w:line="14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For an overview of our ownership structure following this offering, see “Prospectus Summary—Our Structure.”</w:t>
      </w:r>
    </w:p>
    <w:p>
      <w:pPr>
        <w:spacing w:after="0" w:line="14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Prior to the Transaction, CCMP Capital, or CCMP, a private equity firm, held 80% of our equity interests and the noncontrolling interests were held by certain current and former members of management, along with former members of the board of directors of Medpace, Inc., our wholly owned subsidiary.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49"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Transaction was accounted for as a business combination using the acquisition method of accounting. As of the Transaction date, our consolidated financial statements reflect the allocation of the $921.3 million purchase price to the assets acquired, including identifiable intangible assets of $306.3 million, and liabilities assumed based on fair values at the date of the Transaction. The excess of the purchase price over the fair value of the assets acquired and liabilities assumed amounted to $670.3 million, which was recorded as goodwill. Transaction related costs, including attorney fees, advisory fees and other professional service fees related to the Transaction, were $9.3 million, including $3.3 million related to success based advisory fees, for the Successor nine month period ended December 31, 2014 and $12.4 million, including $10.1 million related to success based advisory fees, for the Predecessor three month period ended March 31, 2014.</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Split</w:t>
      </w:r>
    </w:p>
    <w:p>
      <w:pPr>
        <w:spacing w:after="0" w:line="73"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On July 25, 2016, the Board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Generate Revenue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Our revenue consists of net service revenue and reimbursed-out-of-pocket revenue.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Service Revenue</w:t>
      </w:r>
    </w:p>
    <w:p>
      <w:pPr>
        <w:spacing w:after="0" w:line="47"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4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Reimbursed Out-of-Pocket Revenue</w:t>
      </w:r>
    </w:p>
    <w:p>
      <w:pPr>
        <w:spacing w:after="0" w:line="47"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consolidated statements of operations with no resulting effect on our revenue or expenses.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and Expenses</w:t>
      </w:r>
    </w:p>
    <w:p>
      <w:pPr>
        <w:spacing w:after="0" w:line="83"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Our costs and expenses are comprised primarily of our direct costs, selling, general and administrative costs, depreciation and amortization and income taxes. In addition, as noted above, we also have reimbursed out-of-pocket expenditures that are directly offset by our reimbursed out-of-pocket revenue.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449" w:right="2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 Costs, Excluding Depreciation and Amortization</w:t>
      </w:r>
    </w:p>
    <w:p>
      <w:pPr>
        <w:spacing w:after="0" w:line="47"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47" w:lineRule="exact"/>
        <w:rPr>
          <w:sz w:val="20"/>
          <w:szCs w:val="20"/>
          <w:color w:val="auto"/>
        </w:rPr>
      </w:pPr>
    </w:p>
    <w:p>
      <w:pPr>
        <w:ind w:right="580"/>
        <w:spacing w:after="0" w:line="235" w:lineRule="auto"/>
        <w:rPr>
          <w:sz w:val="20"/>
          <w:szCs w:val="20"/>
          <w:color w:val="auto"/>
        </w:rPr>
      </w:pPr>
      <w:r>
        <w:rPr>
          <w:rFonts w:ascii="Arial" w:cs="Arial" w:eastAsia="Arial" w:hAnsi="Arial"/>
          <w:sz w:val="17"/>
          <w:szCs w:val="17"/>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4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47" w:lineRule="exact"/>
        <w:rPr>
          <w:sz w:val="20"/>
          <w:szCs w:val="20"/>
          <w:color w:val="auto"/>
        </w:rPr>
      </w:pPr>
    </w:p>
    <w:p>
      <w:pPr>
        <w:ind w:right="600"/>
        <w:spacing w:after="0" w:line="235" w:lineRule="auto"/>
        <w:rPr>
          <w:sz w:val="20"/>
          <w:szCs w:val="20"/>
          <w:color w:val="auto"/>
        </w:rPr>
      </w:pPr>
      <w:r>
        <w:rPr>
          <w:rFonts w:ascii="Arial" w:cs="Arial" w:eastAsia="Arial" w:hAnsi="Arial"/>
          <w:sz w:val="17"/>
          <w:szCs w:val="17"/>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 (Benefit)</w:t>
      </w:r>
    </w:p>
    <w:p>
      <w:pPr>
        <w:spacing w:after="0" w:line="47"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Income tax provision (benefit)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Metrics</w:t>
      </w:r>
    </w:p>
    <w:p>
      <w:pPr>
        <w:spacing w:after="0" w:line="8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To evaluate the performance of our business, we utilize a variety of financial and performance metrics. These key measures include new business awards, cancellations and backlog.</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Business Awards, Cancellations and Backlog</w:t>
      </w:r>
    </w:p>
    <w:p>
      <w:pPr>
        <w:spacing w:after="0" w:line="34"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43" w:lineRule="exact"/>
        <w:rPr>
          <w:sz w:val="20"/>
          <w:szCs w:val="20"/>
          <w:color w:val="auto"/>
        </w:rPr>
      </w:pPr>
    </w:p>
    <w:p>
      <w:pPr>
        <w:ind w:right="700"/>
        <w:spacing w:after="0" w:line="235" w:lineRule="auto"/>
        <w:rPr>
          <w:sz w:val="20"/>
          <w:szCs w:val="20"/>
          <w:color w:val="auto"/>
        </w:rPr>
      </w:pPr>
      <w:r>
        <w:rPr>
          <w:rFonts w:ascii="Arial" w:cs="Arial" w:eastAsia="Arial" w:hAnsi="Arial"/>
          <w:sz w:val="17"/>
          <w:szCs w:val="17"/>
          <w:color w:val="auto"/>
        </w:rPr>
        <w:t>Cancellations arise in the normal course of business and are reflected when we receive written confirmation from the customer to cease work on a contractual agreement. The majority of our customers can terminate our contracts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449"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Our average quarterly cancellation rates as a percentage of the beginning of the period backlog were 4.2% and 2.7% for the Successor six months ended June 30, 2016 and June 30, 2015, respectively, and 3.2% for the Successor year ended December 31, 2015, 3.3% for the Successor nine month period ended December 2014, 2.5% for the Predecessor three month period ended March 2014 and 3.7% for the Predecessor year ended December 2013.</w:t>
      </w:r>
    </w:p>
    <w:p>
      <w:pPr>
        <w:spacing w:after="0" w:line="143"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Net new business awards were $218.1 million and $162.6 million for the Successor six months ended June 30, 2016 and June 30, 2015, respectively. Net new business awards were $359.5 million, $329.1 million (of which $231.9 million related to the Successor nine month period ended December 31, 2014 and $97.2 million related to the Predecessor three month period ended March 31, 2014), and $291.6 million for the Successor year ended December 31, 2015, the combined Successor nine month period ended December 31, 2014 and Predecessor three month period ended March 31, 2014, and the Predecessor year ended December 31, 2013, respectively.</w:t>
      </w:r>
    </w:p>
    <w:p>
      <w:pPr>
        <w:spacing w:after="0" w:line="141"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June 30, 2016, our backlog increased by $65.1 million, or 16.3%, to $465.7 million compared to $400.6 million as of June 30, 2015. Our backlog increased by $35.6 million, or 9.0%, to $429.7 million as of December 31, 2015, compared to $394.0 million as of December 31, 2014. Our backlog increased by $34.7 million, or 9.7%, to $394.0 million as of December 31, 2014, compared to $359.3 million as of December 31, 2013. Included within backlog as of June 30, 2016 was approximately $170.1 million to $175.1 million that we expect to convert to net service revenue in 2016, with the remainder expected to convert to net service revenue in years after 2016.</w:t>
      </w:r>
    </w:p>
    <w:p>
      <w:pPr>
        <w:spacing w:after="0" w:line="145"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The effect of foreign currency adjustments on backlog was as follows: unfavorable foreign currency adjustments of $1.4 million for the Successor six months ended June 30, 2016, unfavorable foreign currency adjustments of $2.9 million for the Successor six months ended June 30, 2015, unfavorable foreign currency adjustments of $3.6 million for the Successor year ended December 31, 2015; unfavorable foreign currency adjustments of $3.4 million for the Successor nine month period ended December 2014; no net currency adjustments for the Predecessor three month period ended March 2014; and foreign currency adjustments of $0.2 million for the Predecessor year ended December 2013.</w:t>
      </w:r>
    </w:p>
    <w:p>
      <w:pPr>
        <w:spacing w:after="0" w:line="141" w:lineRule="exact"/>
        <w:rPr>
          <w:sz w:val="20"/>
          <w:szCs w:val="20"/>
          <w:color w:val="auto"/>
        </w:rPr>
      </w:pPr>
    </w:p>
    <w:p>
      <w:pPr>
        <w:jc w:val="both"/>
        <w:ind w:right="100"/>
        <w:spacing w:after="0" w:line="231" w:lineRule="auto"/>
        <w:rPr>
          <w:sz w:val="20"/>
          <w:szCs w:val="20"/>
          <w:color w:val="auto"/>
        </w:rPr>
      </w:pPr>
      <w:r>
        <w:rPr>
          <w:rFonts w:ascii="Arial" w:cs="Arial" w:eastAsia="Arial" w:hAnsi="Arial"/>
          <w:sz w:val="17"/>
          <w:szCs w:val="17"/>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Fluctuations</w:t>
      </w:r>
    </w:p>
    <w:p>
      <w:pPr>
        <w:spacing w:after="0" w:line="96"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SUCCESSOR</w:t>
            </w:r>
          </w:p>
        </w:tc>
        <w:tc>
          <w:tcPr>
            <w:tcW w:w="10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ind w:left="70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3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NINE MONTH</w:t>
            </w:r>
          </w:p>
        </w:tc>
        <w:tc>
          <w:tcPr>
            <w:tcW w:w="4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rPr>
              <w:t>THREE MONTH</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3600" w:type="dxa"/>
            <w:vAlign w:val="bottom"/>
          </w:tcPr>
          <w:p>
            <w:pPr>
              <w:spacing w:after="0"/>
              <w:rPr>
                <w:sz w:val="13"/>
                <w:szCs w:val="13"/>
                <w:color w:val="auto"/>
              </w:rPr>
            </w:pPr>
          </w:p>
        </w:tc>
        <w:tc>
          <w:tcPr>
            <w:tcW w:w="9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SIX</w:t>
            </w:r>
          </w:p>
        </w:tc>
        <w:tc>
          <w:tcPr>
            <w:tcW w:w="7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SIX</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Borders>
              <w:right w:val="single" w:sz="8" w:color="auto"/>
            </w:tcBorders>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rPr>
              <w:t>PERIOD FROM</w:t>
            </w: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PERIOD FROM</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600" w:type="dxa"/>
            <w:vAlign w:val="bottom"/>
          </w:tcPr>
          <w:p>
            <w:pPr>
              <w:spacing w:after="0"/>
              <w:rPr>
                <w:sz w:val="13"/>
                <w:szCs w:val="13"/>
                <w:color w:val="auto"/>
              </w:rPr>
            </w:pPr>
          </w:p>
        </w:tc>
        <w:tc>
          <w:tcPr>
            <w:tcW w:w="9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8"/>
              </w:rPr>
              <w:t>MONTHS</w:t>
            </w:r>
          </w:p>
        </w:tc>
        <w:tc>
          <w:tcPr>
            <w:tcW w:w="7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MONTHS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Borders>
              <w:right w:val="single" w:sz="8" w:color="auto"/>
            </w:tcBorders>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7"/>
              </w:rPr>
              <w:t>APRIL 1,</w:t>
            </w: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JANUARY 1,</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600" w:type="dxa"/>
            <w:vAlign w:val="bottom"/>
          </w:tcPr>
          <w:p>
            <w:pPr>
              <w:spacing w:after="0"/>
              <w:rPr>
                <w:sz w:val="13"/>
                <w:szCs w:val="13"/>
                <w:color w:val="auto"/>
              </w:rPr>
            </w:pPr>
          </w:p>
        </w:tc>
        <w:tc>
          <w:tcPr>
            <w:tcW w:w="9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7"/>
              </w:rPr>
              <w:t>ENDED</w:t>
            </w:r>
          </w:p>
        </w:tc>
        <w:tc>
          <w:tcPr>
            <w:tcW w:w="7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7"/>
              </w:rPr>
              <w:t>ENDED</w:t>
            </w: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YEAR ENDED</w:t>
            </w:r>
          </w:p>
        </w:tc>
        <w:tc>
          <w:tcPr>
            <w:tcW w:w="1540" w:type="dxa"/>
            <w:vAlign w:val="bottom"/>
            <w:tcBorders>
              <w:right w:val="single" w:sz="8" w:color="auto"/>
            </w:tcBorders>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8"/>
              </w:rPr>
              <w:t>2014 THROUGH</w:t>
            </w: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8"/>
              </w:rPr>
              <w:t>2014 THROUGH</w:t>
            </w:r>
          </w:p>
        </w:tc>
        <w:tc>
          <w:tcPr>
            <w:tcW w:w="11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3600" w:type="dxa"/>
            <w:vAlign w:val="bottom"/>
          </w:tcPr>
          <w:p>
            <w:pPr>
              <w:spacing w:after="0"/>
              <w:rPr>
                <w:sz w:val="13"/>
                <w:szCs w:val="13"/>
                <w:color w:val="auto"/>
              </w:rPr>
            </w:pPr>
          </w:p>
        </w:tc>
        <w:tc>
          <w:tcPr>
            <w:tcW w:w="9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8"/>
              </w:rPr>
              <w:t>JUNE 30,</w:t>
            </w:r>
          </w:p>
        </w:tc>
        <w:tc>
          <w:tcPr>
            <w:tcW w:w="7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JUNE 30,</w:t>
            </w: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DECEMBER 31,</w:t>
            </w:r>
          </w:p>
        </w:tc>
        <w:tc>
          <w:tcPr>
            <w:tcW w:w="1540" w:type="dxa"/>
            <w:vAlign w:val="bottom"/>
            <w:tcBorders>
              <w:right w:val="single" w:sz="8" w:color="auto"/>
            </w:tcBorders>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36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20" w:type="dxa"/>
            <w:vAlign w:val="bottom"/>
            <w:gridSpan w:val="2"/>
          </w:tcPr>
          <w:p>
            <w:pPr>
              <w:jc w:val="center"/>
              <w:ind w:left="21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76"/>
        </w:trPr>
        <w:tc>
          <w:tcPr>
            <w:tcW w:w="36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U.S. dollars per Euro</w:t>
            </w: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1.11</w:t>
            </w: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1.10</w:t>
            </w:r>
          </w:p>
        </w:tc>
        <w:tc>
          <w:tcPr>
            <w:tcW w:w="4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1.31</w:t>
            </w:r>
          </w:p>
        </w:tc>
        <w:tc>
          <w:tcPr>
            <w:tcW w:w="480" w:type="dxa"/>
            <w:vAlign w:val="bottom"/>
            <w:tcBorders>
              <w:top w:val="single" w:sz="8" w:color="CCEEFF"/>
              <w:right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1.37</w:t>
            </w:r>
          </w:p>
        </w:tc>
        <w:tc>
          <w:tcPr>
            <w:tcW w:w="3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1.33</w:t>
            </w:r>
          </w:p>
        </w:tc>
        <w:tc>
          <w:tcPr>
            <w:tcW w:w="100" w:type="dxa"/>
            <w:vAlign w:val="bottom"/>
            <w:tcBorders>
              <w:top w:val="single" w:sz="8" w:color="CCEEFF"/>
            </w:tcBorders>
            <w:shd w:val="clear" w:color="auto" w:fill="CCEEFF"/>
          </w:tcPr>
          <w:p>
            <w:pPr>
              <w:spacing w:after="0"/>
              <w:rPr>
                <w:sz w:val="15"/>
                <w:szCs w:val="15"/>
                <w:color w:val="auto"/>
              </w:rPr>
            </w:pPr>
          </w:p>
        </w:tc>
      </w:tr>
      <w:tr>
        <w:trPr>
          <w:trHeight w:val="210"/>
        </w:trPr>
        <w:tc>
          <w:tcPr>
            <w:tcW w:w="3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49"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six months ended June 30, 2016 compared to the Successor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540"/>
              <w:spacing w:after="0" w:line="139" w:lineRule="exact"/>
              <w:rPr>
                <w:sz w:val="20"/>
                <w:szCs w:val="20"/>
                <w:color w:val="auto"/>
              </w:rPr>
            </w:pPr>
            <w:r>
              <w:rPr>
                <w:rFonts w:ascii="Arial" w:cs="Arial" w:eastAsia="Arial" w:hAnsi="Arial"/>
                <w:sz w:val="14"/>
                <w:szCs w:val="14"/>
                <w:b w:val="1"/>
                <w:bCs w:val="1"/>
                <w:color w:val="auto"/>
                <w:w w:val="97"/>
              </w:rPr>
              <w:t>SIX</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9"/>
              <w:spacing w:after="0" w:line="139" w:lineRule="exact"/>
              <w:rPr>
                <w:sz w:val="20"/>
                <w:szCs w:val="20"/>
                <w:color w:val="auto"/>
              </w:rPr>
            </w:pPr>
            <w:r>
              <w:rPr>
                <w:rFonts w:ascii="Arial" w:cs="Arial" w:eastAsia="Arial" w:hAnsi="Arial"/>
                <w:sz w:val="14"/>
                <w:szCs w:val="14"/>
                <w:b w:val="1"/>
                <w:bCs w:val="1"/>
                <w:color w:val="auto"/>
                <w:w w:val="97"/>
              </w:rPr>
              <w:t>SIX</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140" w:type="dxa"/>
            <w:vAlign w:val="bottom"/>
          </w:tcPr>
          <w:p>
            <w:pPr>
              <w:spacing w:after="0"/>
              <w:rPr>
                <w:sz w:val="13"/>
                <w:szCs w:val="13"/>
                <w:color w:val="auto"/>
              </w:rPr>
            </w:pPr>
          </w:p>
        </w:tc>
        <w:tc>
          <w:tcPr>
            <w:tcW w:w="1140" w:type="dxa"/>
            <w:vAlign w:val="bottom"/>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MONTHS</w:t>
            </w:r>
          </w:p>
        </w:tc>
        <w:tc>
          <w:tcPr>
            <w:tcW w:w="1140" w:type="dxa"/>
            <w:vAlign w:val="bottom"/>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MONTHS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w w:val="97"/>
              </w:rPr>
              <w:t>ENDED</w:t>
            </w:r>
          </w:p>
        </w:tc>
        <w:tc>
          <w:tcPr>
            <w:tcW w:w="100" w:type="dxa"/>
            <w:vAlign w:val="bottom"/>
          </w:tcPr>
          <w:p>
            <w:pPr>
              <w:spacing w:after="0"/>
              <w:rPr>
                <w:sz w:val="13"/>
                <w:szCs w:val="13"/>
                <w:color w:val="auto"/>
              </w:rPr>
            </w:pPr>
          </w:p>
        </w:tc>
        <w:tc>
          <w:tcPr>
            <w:tcW w:w="104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40" w:type="dxa"/>
            <w:vAlign w:val="bottom"/>
          </w:tcPr>
          <w:p>
            <w:pPr>
              <w:spacing w:after="0"/>
              <w:rPr>
                <w:sz w:val="13"/>
                <w:szCs w:val="13"/>
                <w:color w:val="auto"/>
              </w:rPr>
            </w:pPr>
          </w:p>
        </w:tc>
        <w:tc>
          <w:tcPr>
            <w:tcW w:w="1140" w:type="dxa"/>
            <w:vAlign w:val="bottom"/>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JUNE 30,</w:t>
            </w:r>
          </w:p>
        </w:tc>
        <w:tc>
          <w:tcPr>
            <w:tcW w:w="1140" w:type="dxa"/>
            <w:vAlign w:val="bottom"/>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JUNE 30,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219"/>
              <w:spacing w:after="0" w:line="15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CHANGE</w:t>
            </w: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Service revenue, net</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4"/>
              </w:rPr>
              <w:t>180,433</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4"/>
              </w:rPr>
              <w:t>152,782</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6"/>
              </w:rPr>
              <w:t>27,651</w:t>
            </w:r>
          </w:p>
        </w:tc>
        <w:tc>
          <w:tcPr>
            <w:tcW w:w="4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83"/>
        </w:trPr>
        <w:tc>
          <w:tcPr>
            <w:tcW w:w="7140" w:type="dxa"/>
            <w:vAlign w:val="bottom"/>
          </w:tcPr>
          <w:p>
            <w:pPr>
              <w:spacing w:after="0" w:line="184" w:lineRule="exact"/>
              <w:rPr>
                <w:sz w:val="20"/>
                <w:szCs w:val="20"/>
                <w:color w:val="auto"/>
              </w:rPr>
            </w:pPr>
            <w:r>
              <w:rPr>
                <w:rFonts w:ascii="Arial" w:cs="Arial" w:eastAsia="Arial" w:hAnsi="Arial"/>
                <w:sz w:val="17"/>
                <w:szCs w:val="17"/>
                <w:color w:val="auto"/>
              </w:rPr>
              <w:t>Reimbursed out-of-pocket revenue</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25,107</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18,105</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7,002</w:t>
            </w:r>
          </w:p>
        </w:tc>
        <w:tc>
          <w:tcPr>
            <w:tcW w:w="9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6"/>
        </w:trPr>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revenue</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w w:val="94"/>
              </w:rPr>
              <w:t>205,540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w w:val="94"/>
              </w:rPr>
              <w:t>170,887</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w w:val="96"/>
              </w:rPr>
              <w:t>34,653</w:t>
            </w:r>
          </w:p>
        </w:tc>
        <w:tc>
          <w:tcPr>
            <w:tcW w:w="9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83"/>
        </w:trPr>
        <w:tc>
          <w:tcPr>
            <w:tcW w:w="7140" w:type="dxa"/>
            <w:vAlign w:val="bottom"/>
          </w:tcPr>
          <w:p>
            <w:pPr>
              <w:spacing w:after="0" w:line="184" w:lineRule="exact"/>
              <w:rPr>
                <w:sz w:val="20"/>
                <w:szCs w:val="20"/>
                <w:color w:val="auto"/>
              </w:rPr>
            </w:pPr>
            <w:r>
              <w:rPr>
                <w:rFonts w:ascii="Arial" w:cs="Arial" w:eastAsia="Arial" w:hAnsi="Arial"/>
                <w:sz w:val="17"/>
                <w:szCs w:val="17"/>
                <w:color w:val="auto"/>
              </w:rPr>
              <w:t>Direct costs, excluding depreciation and amortization</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96,215</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77,725</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w w:val="96"/>
              </w:rPr>
              <w:t>18,490</w:t>
            </w:r>
          </w:p>
        </w:tc>
        <w:tc>
          <w:tcPr>
            <w:tcW w:w="9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183"/>
        </w:trPr>
        <w:tc>
          <w:tcPr>
            <w:tcW w:w="7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Reimbursed out-of-pocket expenses</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25,107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18,105</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7,002</w:t>
            </w:r>
          </w:p>
        </w:tc>
        <w:tc>
          <w:tcPr>
            <w:tcW w:w="9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3"/>
        </w:trPr>
        <w:tc>
          <w:tcPr>
            <w:tcW w:w="7140" w:type="dxa"/>
            <w:vAlign w:val="bottom"/>
          </w:tcPr>
          <w:p>
            <w:pPr>
              <w:spacing w:after="0" w:line="184" w:lineRule="exact"/>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28,333</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23,448</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4,885</w:t>
            </w:r>
          </w:p>
        </w:tc>
        <w:tc>
          <w:tcPr>
            <w:tcW w:w="9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83"/>
        </w:trPr>
        <w:tc>
          <w:tcPr>
            <w:tcW w:w="7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Depreciation</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3,566</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3,110</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456</w:t>
            </w:r>
          </w:p>
        </w:tc>
        <w:tc>
          <w:tcPr>
            <w:tcW w:w="9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83"/>
        </w:trPr>
        <w:tc>
          <w:tcPr>
            <w:tcW w:w="7140" w:type="dxa"/>
            <w:vAlign w:val="bottom"/>
          </w:tcPr>
          <w:p>
            <w:pPr>
              <w:spacing w:after="0" w:line="184" w:lineRule="exact"/>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25,336</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34,243</w:t>
            </w:r>
          </w:p>
        </w:tc>
        <w:tc>
          <w:tcPr>
            <w:tcW w:w="100" w:type="dxa"/>
            <w:vAlign w:val="bottom"/>
          </w:tcPr>
          <w:p>
            <w:pPr>
              <w:spacing w:after="0"/>
              <w:rPr>
                <w:sz w:val="15"/>
                <w:szCs w:val="15"/>
                <w:color w:val="auto"/>
              </w:rPr>
            </w:pPr>
          </w:p>
        </w:tc>
        <w:tc>
          <w:tcPr>
            <w:tcW w:w="940" w:type="dxa"/>
            <w:vAlign w:val="bottom"/>
            <w:gridSpan w:val="2"/>
          </w:tcPr>
          <w:p>
            <w:pPr>
              <w:jc w:val="right"/>
              <w:ind w:right="360"/>
              <w:spacing w:after="0" w:line="184" w:lineRule="exact"/>
              <w:rPr>
                <w:sz w:val="20"/>
                <w:szCs w:val="20"/>
                <w:color w:val="auto"/>
              </w:rPr>
            </w:pPr>
            <w:r>
              <w:rPr>
                <w:rFonts w:ascii="Arial" w:cs="Arial" w:eastAsia="Arial" w:hAnsi="Arial"/>
                <w:sz w:val="17"/>
                <w:szCs w:val="17"/>
                <w:color w:val="auto"/>
              </w:rPr>
              <w:t>(8,907)</w:t>
            </w:r>
          </w:p>
        </w:tc>
        <w:tc>
          <w:tcPr>
            <w:tcW w:w="9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6"/>
        </w:trPr>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w w:val="94"/>
              </w:rPr>
              <w:t>178,557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w w:val="94"/>
              </w:rPr>
              <w:t>156,631</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w w:val="96"/>
              </w:rPr>
              <w:t>21,926</w:t>
            </w:r>
          </w:p>
        </w:tc>
        <w:tc>
          <w:tcPr>
            <w:tcW w:w="9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26,983</w:t>
            </w:r>
          </w:p>
        </w:tc>
        <w:tc>
          <w:tcPr>
            <w:tcW w:w="10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14,256</w:t>
            </w:r>
          </w:p>
        </w:tc>
        <w:tc>
          <w:tcPr>
            <w:tcW w:w="100" w:type="dxa"/>
            <w:vAlign w:val="bottom"/>
          </w:tcPr>
          <w:p>
            <w:pPr>
              <w:spacing w:after="0"/>
              <w:rPr>
                <w:sz w:val="16"/>
                <w:szCs w:val="16"/>
                <w:color w:val="auto"/>
              </w:rPr>
            </w:pPr>
          </w:p>
        </w:tc>
        <w:tc>
          <w:tcPr>
            <w:tcW w:w="9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w w:val="96"/>
              </w:rPr>
              <w:t>12,727</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89.3%</w:t>
            </w:r>
          </w:p>
        </w:tc>
        <w:tc>
          <w:tcPr>
            <w:tcW w:w="0" w:type="dxa"/>
            <w:vAlign w:val="bottom"/>
          </w:tcPr>
          <w:p>
            <w:pPr>
              <w:spacing w:after="0"/>
              <w:rPr>
                <w:sz w:val="1"/>
                <w:szCs w:val="1"/>
                <w:color w:val="auto"/>
              </w:rPr>
            </w:pPr>
          </w:p>
        </w:tc>
      </w:tr>
      <w:tr>
        <w:trPr>
          <w:trHeight w:val="183"/>
        </w:trPr>
        <w:tc>
          <w:tcPr>
            <w:tcW w:w="7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Miscellaneous (expense) income, net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80"/>
              <w:spacing w:after="0" w:line="184" w:lineRule="exact"/>
              <w:rPr>
                <w:sz w:val="20"/>
                <w:szCs w:val="20"/>
                <w:color w:val="auto"/>
              </w:rPr>
            </w:pPr>
            <w:r>
              <w:rPr>
                <w:rFonts w:ascii="Arial" w:cs="Arial" w:eastAsia="Arial" w:hAnsi="Arial"/>
                <w:sz w:val="17"/>
                <w:szCs w:val="17"/>
                <w:color w:val="auto"/>
              </w:rPr>
              <w:t>(941)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80"/>
              <w:spacing w:after="0" w:line="184" w:lineRule="exact"/>
              <w:rPr>
                <w:sz w:val="20"/>
                <w:szCs w:val="20"/>
                <w:color w:val="auto"/>
              </w:rPr>
            </w:pPr>
            <w:r>
              <w:rPr>
                <w:rFonts w:ascii="Arial" w:cs="Arial" w:eastAsia="Arial" w:hAnsi="Arial"/>
                <w:sz w:val="17"/>
                <w:szCs w:val="17"/>
                <w:color w:val="auto"/>
              </w:rPr>
              <w:t>(978)</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37</w:t>
            </w:r>
          </w:p>
        </w:tc>
        <w:tc>
          <w:tcPr>
            <w:tcW w:w="9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3"/>
        </w:trPr>
        <w:tc>
          <w:tcPr>
            <w:tcW w:w="7140" w:type="dxa"/>
            <w:vAlign w:val="bottom"/>
          </w:tcPr>
          <w:p>
            <w:pPr>
              <w:spacing w:after="0" w:line="184" w:lineRule="exact"/>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5"/>
                <w:szCs w:val="15"/>
                <w:color w:val="auto"/>
              </w:rPr>
            </w:pPr>
          </w:p>
        </w:tc>
        <w:tc>
          <w:tcPr>
            <w:tcW w:w="1040" w:type="dxa"/>
            <w:vAlign w:val="bottom"/>
            <w:gridSpan w:val="2"/>
          </w:tcPr>
          <w:p>
            <w:pPr>
              <w:jc w:val="right"/>
              <w:ind w:right="380"/>
              <w:spacing w:after="0" w:line="184" w:lineRule="exact"/>
              <w:rPr>
                <w:sz w:val="20"/>
                <w:szCs w:val="20"/>
                <w:color w:val="auto"/>
              </w:rPr>
            </w:pPr>
            <w:r>
              <w:rPr>
                <w:rFonts w:ascii="Arial" w:cs="Arial" w:eastAsia="Arial" w:hAnsi="Arial"/>
                <w:sz w:val="17"/>
                <w:szCs w:val="17"/>
                <w:color w:val="auto"/>
              </w:rPr>
              <w:t>(11,894)</w:t>
            </w:r>
          </w:p>
        </w:tc>
        <w:tc>
          <w:tcPr>
            <w:tcW w:w="100" w:type="dxa"/>
            <w:vAlign w:val="bottom"/>
          </w:tcPr>
          <w:p>
            <w:pPr>
              <w:spacing w:after="0"/>
              <w:rPr>
                <w:sz w:val="15"/>
                <w:szCs w:val="15"/>
                <w:color w:val="auto"/>
              </w:rPr>
            </w:pPr>
          </w:p>
        </w:tc>
        <w:tc>
          <w:tcPr>
            <w:tcW w:w="1040" w:type="dxa"/>
            <w:vAlign w:val="bottom"/>
            <w:gridSpan w:val="2"/>
          </w:tcPr>
          <w:p>
            <w:pPr>
              <w:jc w:val="right"/>
              <w:ind w:right="380"/>
              <w:spacing w:after="0" w:line="184" w:lineRule="exact"/>
              <w:rPr>
                <w:sz w:val="20"/>
                <w:szCs w:val="20"/>
                <w:color w:val="auto"/>
              </w:rPr>
            </w:pPr>
            <w:r>
              <w:rPr>
                <w:rFonts w:ascii="Arial" w:cs="Arial" w:eastAsia="Arial" w:hAnsi="Arial"/>
                <w:sz w:val="17"/>
                <w:szCs w:val="17"/>
                <w:color w:val="auto"/>
              </w:rPr>
              <w:t>(13,975)</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2,081</w:t>
            </w:r>
          </w:p>
        </w:tc>
        <w:tc>
          <w:tcPr>
            <w:tcW w:w="9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6"/>
        </w:trPr>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14,148</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80"/>
              <w:spacing w:after="0" w:line="184" w:lineRule="exact"/>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w w:val="96"/>
              </w:rPr>
              <w:t>14,845</w:t>
            </w:r>
          </w:p>
        </w:tc>
        <w:tc>
          <w:tcPr>
            <w:tcW w:w="9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(2,129.8%)</w:t>
            </w:r>
          </w:p>
        </w:tc>
        <w:tc>
          <w:tcPr>
            <w:tcW w:w="0" w:type="dxa"/>
            <w:vAlign w:val="bottom"/>
          </w:tcPr>
          <w:p>
            <w:pPr>
              <w:spacing w:after="0"/>
              <w:rPr>
                <w:sz w:val="1"/>
                <w:szCs w:val="1"/>
                <w:color w:val="auto"/>
              </w:rPr>
            </w:pPr>
          </w:p>
        </w:tc>
      </w:tr>
      <w:tr>
        <w:trPr>
          <w:trHeight w:val="183"/>
        </w:trPr>
        <w:tc>
          <w:tcPr>
            <w:tcW w:w="7140" w:type="dxa"/>
            <w:vAlign w:val="bottom"/>
          </w:tcPr>
          <w:p>
            <w:pPr>
              <w:spacing w:after="0" w:line="184" w:lineRule="exact"/>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5"/>
                <w:szCs w:val="15"/>
                <w:color w:val="auto"/>
              </w:rPr>
            </w:pPr>
          </w:p>
        </w:tc>
        <w:tc>
          <w:tcPr>
            <w:tcW w:w="10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5,738</w:t>
            </w:r>
          </w:p>
        </w:tc>
        <w:tc>
          <w:tcPr>
            <w:tcW w:w="100" w:type="dxa"/>
            <w:vAlign w:val="bottom"/>
          </w:tcPr>
          <w:p>
            <w:pPr>
              <w:spacing w:after="0"/>
              <w:rPr>
                <w:sz w:val="15"/>
                <w:szCs w:val="15"/>
                <w:color w:val="auto"/>
              </w:rPr>
            </w:pPr>
          </w:p>
        </w:tc>
        <w:tc>
          <w:tcPr>
            <w:tcW w:w="1040" w:type="dxa"/>
            <w:vAlign w:val="bottom"/>
            <w:gridSpan w:val="2"/>
          </w:tcPr>
          <w:p>
            <w:pPr>
              <w:jc w:val="right"/>
              <w:ind w:right="380"/>
              <w:spacing w:after="0" w:line="184" w:lineRule="exact"/>
              <w:rPr>
                <w:sz w:val="20"/>
                <w:szCs w:val="20"/>
                <w:color w:val="auto"/>
              </w:rPr>
            </w:pPr>
            <w:r>
              <w:rPr>
                <w:rFonts w:ascii="Arial" w:cs="Arial" w:eastAsia="Arial" w:hAnsi="Arial"/>
                <w:sz w:val="17"/>
                <w:szCs w:val="17"/>
                <w:color w:val="auto"/>
              </w:rPr>
              <w:t>(733)</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6,471</w:t>
            </w:r>
          </w:p>
        </w:tc>
        <w:tc>
          <w:tcPr>
            <w:tcW w:w="9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(882.8%)</w:t>
            </w:r>
          </w:p>
        </w:tc>
        <w:tc>
          <w:tcPr>
            <w:tcW w:w="0" w:type="dxa"/>
            <w:vAlign w:val="bottom"/>
          </w:tcPr>
          <w:p>
            <w:pPr>
              <w:spacing w:after="0"/>
              <w:rPr>
                <w:sz w:val="1"/>
                <w:szCs w:val="1"/>
                <w:color w:val="auto"/>
              </w:rPr>
            </w:pPr>
          </w:p>
        </w:tc>
      </w:tr>
      <w:tr>
        <w:trPr>
          <w:trHeight w:val="26"/>
        </w:trPr>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8,410</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8,374</w:t>
            </w:r>
          </w:p>
        </w:tc>
        <w:tc>
          <w:tcPr>
            <w:tcW w:w="9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23,261.1%</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Net service revenue was $180.4 million for the six months ended June 30, 2016, compared to $152.8 million for the six months ended June 30, 2015. Contributing to the $27.7 million growth in net service revenue was an increase in Phase II-IV study activity as measured by both number of active projects and employee time reporting. In addition, there was a higher concentration of active studies in phases that are generally attributed to higher levels of project activity, including patient enrollment and monitoring phases. Contract execution timing was also a factor in this increase, with a higher percentage of overall revenue driven from change in scope and task order executions in the six months ended June 30, 2016, compared to the six months ended June 30, 2015. On average, we converted 20.6% of our beginning of the period backlog to revenue in the six months ended June 30, 2016, compared to 19.1% of our beginning of the period backlog to revenue in the six months ended June 30, 2015.</w:t>
      </w:r>
    </w:p>
    <w:p>
      <w:pPr>
        <w:spacing w:after="0" w:line="14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Reimbursed out-of-pocket revenue was $25.1 million for the six months ended June 30, 2016, compared to $18.1 million for the six months ended June 30, 2015.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45"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Direct costs, excluding depreciation and amortization were $96.2 million for the six months ended June 30, 2016, compared to $77.7 million for the six months ended June 30, 2015. The $18.5 million increase was primarily attributed to increases in employee related costs of $12.1 million and increases in contracted services of $2.3 million related to growth in project volume.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45" w:lineRule="exact"/>
        <w:rPr>
          <w:sz w:val="20"/>
          <w:szCs w:val="20"/>
          <w:color w:val="auto"/>
        </w:rPr>
      </w:pPr>
    </w:p>
    <w:p>
      <w:pPr>
        <w:ind w:right="440"/>
        <w:spacing w:after="0" w:line="231" w:lineRule="auto"/>
        <w:rPr>
          <w:sz w:val="20"/>
          <w:szCs w:val="20"/>
          <w:color w:val="auto"/>
        </w:rPr>
      </w:pPr>
      <w:r>
        <w:rPr>
          <w:rFonts w:ascii="Arial" w:cs="Arial" w:eastAsia="Arial" w:hAnsi="Arial"/>
          <w:sz w:val="17"/>
          <w:szCs w:val="17"/>
          <w:color w:val="auto"/>
        </w:rPr>
        <w:t>Selling, general and administrative expenses were $28.3 million for the six months ended June 30, 2016, compared to $23.4 million for the six months ended June 30, 2015. The $4.9 million increase was primarily attributed to increases in employee related costs of $3.0 million related to additional headcount in business support functions.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49"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4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Depreciation and amortization expense was $28.9 million for the six months ended June 30, 2016, compared to $37.4 for the six months ended June 30, 2015. The $8.5 million decrease in depreciation and amortization was primarily related to definite lived intangible assets acquired as part of the Transaction with relatively short useful lives.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45"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Miscellaneous (expense) income, net was ($0.9) million of expense for the six months ended June 30, 2016, compared to ($1.0) million of expense for the six months ended June 30, 2015. These changes were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45"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Interest expense, net was $11.9 million for the six months ended June 30, 2016, compared to $14.0 for the six months ended June 30, 2015. The $2.1 million decrease in interest expense, net was related to the average lower outstanding balance under our Senior Secured Term Loan Facility (as defined below).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45"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Income tax provision was $5.7 million for the six months ended June 30, 2016, compared to an income tax benefit of $0.7 million for the six months ended June 30, 2015. The overall effective tax rate for the six months ended June 30, 2016 was 40.6% compared to 105.2% for the six months ended June 30, 2015. The change in effective tax rate was primarily due to the notable increase in projected pre-tax book income for the six months ended June 30, 2016 coupled with relatively consistent year over year rate reconciliation drivers.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60"/>
          </w:cols>
          <w:pgMar w:left="240" w:top="449" w:right="2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b w:val="1"/>
          <w:bCs w:val="1"/>
          <w:i w:val="1"/>
          <w:iCs w:val="1"/>
          <w:color w:val="auto"/>
        </w:rPr>
        <w:t>Successor year ended December 31, 2015 compared to the Successor nine month period from April 1, 2014 through December 31, 2014 and Predecessor three month period from January 1, 2014 through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Borders>
              <w:right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SUCCESSOR</w:t>
            </w:r>
          </w:p>
        </w:tc>
        <w:tc>
          <w:tcPr>
            <w:tcW w:w="54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PREDECESSOR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1"/>
              <w:spacing w:after="0" w:line="139" w:lineRule="exact"/>
              <w:rPr>
                <w:sz w:val="20"/>
                <w:szCs w:val="20"/>
                <w:color w:val="auto"/>
              </w:rPr>
            </w:pPr>
            <w:r>
              <w:rPr>
                <w:rFonts w:ascii="Arial" w:cs="Arial" w:eastAsia="Arial" w:hAnsi="Arial"/>
                <w:sz w:val="14"/>
                <w:szCs w:val="14"/>
                <w:b w:val="1"/>
                <w:bCs w:val="1"/>
                <w:color w:val="auto"/>
              </w:rPr>
              <w:t>THREE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MONTH</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right w:val="single" w:sz="8" w:color="auto"/>
            </w:tcBorders>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w w:val="99"/>
              </w:rPr>
              <w:t>NINE MONTH</w:t>
            </w:r>
          </w:p>
        </w:tc>
        <w:tc>
          <w:tcPr>
            <w:tcW w:w="540" w:type="dxa"/>
            <w:vAlign w:val="bottom"/>
          </w:tcPr>
          <w:p>
            <w:pPr>
              <w:spacing w:after="0"/>
              <w:rPr>
                <w:sz w:val="13"/>
                <w:szCs w:val="13"/>
                <w:color w:val="auto"/>
              </w:rPr>
            </w:pPr>
          </w:p>
        </w:tc>
        <w:tc>
          <w:tcPr>
            <w:tcW w:w="138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rPr>
              <w:t>PERIOD FROM</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right w:val="single" w:sz="8" w:color="auto"/>
            </w:tcBorders>
            <w:gridSpan w:val="3"/>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right w:val="single" w:sz="8" w:color="auto"/>
            </w:tcBorders>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w w:val="99"/>
              </w:rPr>
              <w:t>APRIL 1, 2014</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1220" w:type="dxa"/>
            <w:vAlign w:val="bottom"/>
            <w:gridSpan w:val="3"/>
          </w:tcPr>
          <w:p>
            <w:pPr>
              <w:jc w:val="right"/>
              <w:ind w:right="240"/>
              <w:spacing w:after="0" w:line="15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THROUGH</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12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340" w:type="dxa"/>
            <w:vAlign w:val="bottom"/>
            <w:tcBorders>
              <w:right w:val="single" w:sz="8" w:color="auto"/>
            </w:tcBorders>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CHANGE</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320,101</w:t>
            </w:r>
          </w:p>
        </w:tc>
        <w:tc>
          <w:tcPr>
            <w:tcW w:w="18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219,791</w:t>
            </w:r>
          </w:p>
        </w:tc>
        <w:tc>
          <w:tcPr>
            <w:tcW w:w="300" w:type="dxa"/>
            <w:vAlign w:val="bottom"/>
            <w:tcBorders>
              <w:right w:val="single" w:sz="8" w:color="auto"/>
            </w:tcBorders>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70,250</w:t>
            </w:r>
          </w:p>
        </w:tc>
        <w:tc>
          <w:tcPr>
            <w:tcW w:w="30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30,060</w:t>
            </w:r>
          </w:p>
        </w:tc>
        <w:tc>
          <w:tcPr>
            <w:tcW w:w="58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Reimbursed out-of-pocket revenue</w:t>
            </w: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38,958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7"/>
                <w:szCs w:val="17"/>
                <w:color w:val="auto"/>
              </w:rPr>
              <w:t>28,708</w:t>
            </w:r>
          </w:p>
        </w:tc>
        <w:tc>
          <w:tcPr>
            <w:tcW w:w="3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7,679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80"/>
              <w:spacing w:after="0" w:line="184" w:lineRule="exact"/>
              <w:rPr>
                <w:sz w:val="20"/>
                <w:szCs w:val="20"/>
                <w:color w:val="auto"/>
              </w:rPr>
            </w:pPr>
            <w:r>
              <w:rPr>
                <w:rFonts w:ascii="Arial" w:cs="Arial" w:eastAsia="Arial" w:hAnsi="Arial"/>
                <w:sz w:val="17"/>
                <w:szCs w:val="17"/>
                <w:color w:val="auto"/>
              </w:rPr>
              <w:t>2,571</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revenue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359,059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248,499</w:t>
            </w:r>
          </w:p>
        </w:tc>
        <w:tc>
          <w:tcPr>
            <w:tcW w:w="30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77,929</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80"/>
              <w:spacing w:after="0" w:line="184" w:lineRule="exact"/>
              <w:rPr>
                <w:sz w:val="20"/>
                <w:szCs w:val="20"/>
                <w:color w:val="auto"/>
              </w:rPr>
            </w:pPr>
            <w:r>
              <w:rPr>
                <w:rFonts w:ascii="Arial" w:cs="Arial" w:eastAsia="Arial" w:hAnsi="Arial"/>
                <w:sz w:val="17"/>
                <w:szCs w:val="17"/>
                <w:color w:val="auto"/>
              </w:rPr>
              <w:t>32,631</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Direct costs, excluding depreciation and amortization</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163,707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right w:val="single" w:sz="8" w:color="auto"/>
            </w:tcBorders>
            <w:gridSpan w:val="2"/>
          </w:tcPr>
          <w:p>
            <w:pPr>
              <w:jc w:val="right"/>
              <w:ind w:right="300"/>
              <w:spacing w:after="0" w:line="184" w:lineRule="exact"/>
              <w:rPr>
                <w:sz w:val="20"/>
                <w:szCs w:val="20"/>
                <w:color w:val="auto"/>
              </w:rPr>
            </w:pPr>
            <w:r>
              <w:rPr>
                <w:rFonts w:ascii="Arial" w:cs="Arial" w:eastAsia="Arial" w:hAnsi="Arial"/>
                <w:sz w:val="17"/>
                <w:szCs w:val="17"/>
                <w:color w:val="auto"/>
              </w:rPr>
              <w:t>117,550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38,759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80"/>
              <w:spacing w:after="0" w:line="184" w:lineRule="exact"/>
              <w:rPr>
                <w:sz w:val="20"/>
                <w:szCs w:val="20"/>
                <w:color w:val="auto"/>
              </w:rPr>
            </w:pPr>
            <w:r>
              <w:rPr>
                <w:rFonts w:ascii="Arial" w:cs="Arial" w:eastAsia="Arial" w:hAnsi="Arial"/>
                <w:sz w:val="17"/>
                <w:szCs w:val="17"/>
                <w:color w:val="auto"/>
              </w:rPr>
              <w:t>7,398</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Reimbursed out-of-pocket expenses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38,958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tcBorders>
              <w:right w:val="single" w:sz="8" w:color="auto"/>
            </w:tcBorders>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28,708</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7,679</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80"/>
              <w:spacing w:after="0" w:line="184" w:lineRule="exact"/>
              <w:rPr>
                <w:sz w:val="20"/>
                <w:szCs w:val="20"/>
                <w:color w:val="auto"/>
              </w:rPr>
            </w:pPr>
            <w:r>
              <w:rPr>
                <w:rFonts w:ascii="Arial" w:cs="Arial" w:eastAsia="Arial" w:hAnsi="Arial"/>
                <w:sz w:val="17"/>
                <w:szCs w:val="17"/>
                <w:color w:val="auto"/>
              </w:rPr>
              <w:t>2,571</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56,998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right w:val="single" w:sz="8" w:color="auto"/>
            </w:tcBorders>
            <w:gridSpan w:val="2"/>
          </w:tcPr>
          <w:p>
            <w:pPr>
              <w:jc w:val="right"/>
              <w:ind w:right="300"/>
              <w:spacing w:after="0" w:line="184" w:lineRule="exact"/>
              <w:rPr>
                <w:sz w:val="20"/>
                <w:szCs w:val="20"/>
                <w:color w:val="auto"/>
              </w:rPr>
            </w:pPr>
            <w:r>
              <w:rPr>
                <w:rFonts w:ascii="Arial" w:cs="Arial" w:eastAsia="Arial" w:hAnsi="Arial"/>
                <w:sz w:val="17"/>
                <w:szCs w:val="17"/>
                <w:color w:val="auto"/>
              </w:rPr>
              <w:t>29,465</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10,203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80"/>
              <w:spacing w:after="0" w:line="184" w:lineRule="exact"/>
              <w:rPr>
                <w:sz w:val="20"/>
                <w:szCs w:val="20"/>
                <w:color w:val="auto"/>
              </w:rPr>
            </w:pPr>
            <w:r>
              <w:rPr>
                <w:rFonts w:ascii="Arial" w:cs="Arial" w:eastAsia="Arial" w:hAnsi="Arial"/>
                <w:sz w:val="17"/>
                <w:szCs w:val="17"/>
                <w:color w:val="auto"/>
              </w:rPr>
              <w:t>17,330</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Acquisition and integration</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tcBorders>
              <w:right w:val="single" w:sz="8" w:color="auto"/>
            </w:tcBorders>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9,297</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12,420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20"/>
              <w:spacing w:after="0" w:line="184" w:lineRule="exact"/>
              <w:rPr>
                <w:sz w:val="20"/>
                <w:szCs w:val="20"/>
                <w:color w:val="auto"/>
              </w:rPr>
            </w:pPr>
            <w:r>
              <w:rPr>
                <w:rFonts w:ascii="Arial" w:cs="Arial" w:eastAsia="Arial" w:hAnsi="Arial"/>
                <w:sz w:val="17"/>
                <w:szCs w:val="17"/>
                <w:color w:val="auto"/>
                <w:w w:val="94"/>
              </w:rPr>
              <w:t>(21,717)</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Impairment of goodwill</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9,313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right w:val="single" w:sz="8" w:color="auto"/>
            </w:tcBorders>
            <w:gridSpan w:val="2"/>
          </w:tcPr>
          <w:p>
            <w:pPr>
              <w:jc w:val="right"/>
              <w:ind w:right="300"/>
              <w:spacing w:after="0" w:line="184"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80"/>
              <w:spacing w:after="0" w:line="184" w:lineRule="exact"/>
              <w:rPr>
                <w:sz w:val="20"/>
                <w:szCs w:val="20"/>
                <w:color w:val="auto"/>
              </w:rPr>
            </w:pPr>
            <w:r>
              <w:rPr>
                <w:rFonts w:ascii="Arial" w:cs="Arial" w:eastAsia="Arial" w:hAnsi="Arial"/>
                <w:sz w:val="17"/>
                <w:szCs w:val="17"/>
                <w:color w:val="auto"/>
              </w:rPr>
              <w:t>9,313</w:t>
            </w:r>
          </w:p>
        </w:tc>
        <w:tc>
          <w:tcPr>
            <w:tcW w:w="80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Depreciation</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6,379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tcBorders>
              <w:right w:val="single" w:sz="8" w:color="auto"/>
            </w:tcBorders>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4,610</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1,832</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20"/>
              <w:spacing w:after="0" w:line="184" w:lineRule="exact"/>
              <w:rPr>
                <w:sz w:val="20"/>
                <w:szCs w:val="20"/>
                <w:color w:val="auto"/>
              </w:rPr>
            </w:pPr>
            <w:r>
              <w:rPr>
                <w:rFonts w:ascii="Arial" w:cs="Arial" w:eastAsia="Arial" w:hAnsi="Arial"/>
                <w:sz w:val="17"/>
                <w:szCs w:val="17"/>
                <w:color w:val="auto"/>
              </w:rPr>
              <w:t>(63)</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Amortization</w:t>
            </w: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63,142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7"/>
                <w:szCs w:val="17"/>
                <w:color w:val="auto"/>
              </w:rPr>
              <w:t>56,422</w:t>
            </w:r>
          </w:p>
        </w:tc>
        <w:tc>
          <w:tcPr>
            <w:tcW w:w="3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5,199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80"/>
              <w:spacing w:after="0" w:line="184" w:lineRule="exact"/>
              <w:rPr>
                <w:sz w:val="20"/>
                <w:szCs w:val="20"/>
                <w:color w:val="auto"/>
              </w:rPr>
            </w:pPr>
            <w:r>
              <w:rPr>
                <w:rFonts w:ascii="Arial" w:cs="Arial" w:eastAsia="Arial" w:hAnsi="Arial"/>
                <w:sz w:val="17"/>
                <w:szCs w:val="17"/>
                <w:color w:val="auto"/>
              </w:rPr>
              <w:t>1,521</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338,497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246,052</w:t>
            </w:r>
          </w:p>
        </w:tc>
        <w:tc>
          <w:tcPr>
            <w:tcW w:w="30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76,092</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80"/>
              <w:spacing w:after="0" w:line="184" w:lineRule="exact"/>
              <w:rPr>
                <w:sz w:val="20"/>
                <w:szCs w:val="20"/>
                <w:color w:val="auto"/>
              </w:rPr>
            </w:pPr>
            <w:r>
              <w:rPr>
                <w:rFonts w:ascii="Arial" w:cs="Arial" w:eastAsia="Arial" w:hAnsi="Arial"/>
                <w:sz w:val="17"/>
                <w:szCs w:val="17"/>
                <w:color w:val="auto"/>
              </w:rPr>
              <w:t>16,353</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20,562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2,447</w:t>
            </w:r>
          </w:p>
        </w:tc>
        <w:tc>
          <w:tcPr>
            <w:tcW w:w="3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1,837</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16,278</w:t>
            </w: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380.0%</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Miscellaneous (expense) income, net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(1,133)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tcBorders>
              <w:right w:val="single" w:sz="8" w:color="auto"/>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(301)</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1,213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20"/>
              <w:spacing w:after="0" w:line="184" w:lineRule="exact"/>
              <w:rPr>
                <w:sz w:val="20"/>
                <w:szCs w:val="20"/>
                <w:color w:val="auto"/>
              </w:rPr>
            </w:pPr>
            <w:r>
              <w:rPr>
                <w:rFonts w:ascii="Arial" w:cs="Arial" w:eastAsia="Arial" w:hAnsi="Arial"/>
                <w:sz w:val="17"/>
                <w:szCs w:val="17"/>
                <w:color w:val="auto"/>
              </w:rPr>
              <w:t>(2,045)</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-224.2%</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15"/>
                <w:szCs w:val="15"/>
                <w:color w:val="auto"/>
              </w:rPr>
            </w:pPr>
          </w:p>
        </w:tc>
        <w:tc>
          <w:tcPr>
            <w:tcW w:w="100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(27,259)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right w:val="single" w:sz="8" w:color="auto"/>
            </w:tcBorders>
            <w:gridSpan w:val="2"/>
          </w:tcPr>
          <w:p>
            <w:pPr>
              <w:jc w:val="right"/>
              <w:ind w:right="260"/>
              <w:spacing w:after="0" w:line="184" w:lineRule="exact"/>
              <w:rPr>
                <w:sz w:val="20"/>
                <w:szCs w:val="20"/>
                <w:color w:val="auto"/>
              </w:rPr>
            </w:pPr>
            <w:r>
              <w:rPr>
                <w:rFonts w:ascii="Arial" w:cs="Arial" w:eastAsia="Arial" w:hAnsi="Arial"/>
                <w:sz w:val="17"/>
                <w:szCs w:val="17"/>
                <w:color w:val="auto"/>
              </w:rPr>
              <w:t>(23,185)</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(3,272)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20"/>
              <w:spacing w:after="0" w:line="184" w:lineRule="exact"/>
              <w:rPr>
                <w:sz w:val="20"/>
                <w:szCs w:val="20"/>
                <w:color w:val="auto"/>
              </w:rPr>
            </w:pPr>
            <w:r>
              <w:rPr>
                <w:rFonts w:ascii="Arial" w:cs="Arial" w:eastAsia="Arial" w:hAnsi="Arial"/>
                <w:sz w:val="17"/>
                <w:szCs w:val="17"/>
                <w:color w:val="auto"/>
              </w:rPr>
              <w:t>(802)</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(Loss) income before income taxes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(7,830)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tcBorders>
              <w:right w:val="single" w:sz="8" w:color="auto"/>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(21,039)</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(222)</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80"/>
              <w:spacing w:after="0" w:line="184" w:lineRule="exact"/>
              <w:rPr>
                <w:sz w:val="20"/>
                <w:szCs w:val="20"/>
                <w:color w:val="auto"/>
              </w:rPr>
            </w:pPr>
            <w:r>
              <w:rPr>
                <w:rFonts w:ascii="Arial" w:cs="Arial" w:eastAsia="Arial" w:hAnsi="Arial"/>
                <w:sz w:val="17"/>
                <w:szCs w:val="17"/>
                <w:color w:val="auto"/>
              </w:rPr>
              <w:t>13,431</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83"/>
        </w:trPr>
        <w:tc>
          <w:tcPr>
            <w:tcW w:w="4520" w:type="dxa"/>
            <w:vAlign w:val="bottom"/>
          </w:tcPr>
          <w:p>
            <w:pPr>
              <w:spacing w:after="0" w:line="184" w:lineRule="exact"/>
              <w:rPr>
                <w:sz w:val="20"/>
                <w:szCs w:val="20"/>
                <w:color w:val="auto"/>
              </w:rPr>
            </w:pPr>
            <w:r>
              <w:rPr>
                <w:rFonts w:ascii="Arial" w:cs="Arial" w:eastAsia="Arial" w:hAnsi="Arial"/>
                <w:sz w:val="17"/>
                <w:szCs w:val="17"/>
                <w:color w:val="auto"/>
              </w:rPr>
              <w:t>Income tax provision (benefit)</w:t>
            </w: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843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right w:val="single" w:sz="8" w:color="auto"/>
            </w:tcBorders>
            <w:gridSpan w:val="2"/>
          </w:tcPr>
          <w:p>
            <w:pPr>
              <w:jc w:val="right"/>
              <w:ind w:right="260"/>
              <w:spacing w:after="0" w:line="184" w:lineRule="exact"/>
              <w:rPr>
                <w:sz w:val="20"/>
                <w:szCs w:val="20"/>
                <w:color w:val="auto"/>
              </w:rPr>
            </w:pPr>
            <w:r>
              <w:rPr>
                <w:rFonts w:ascii="Arial" w:cs="Arial" w:eastAsia="Arial" w:hAnsi="Arial"/>
                <w:sz w:val="17"/>
                <w:szCs w:val="17"/>
                <w:color w:val="auto"/>
              </w:rPr>
              <w:t>(6,703)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1,014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80"/>
              <w:spacing w:after="0" w:line="184" w:lineRule="exact"/>
              <w:rPr>
                <w:sz w:val="20"/>
                <w:szCs w:val="20"/>
                <w:color w:val="auto"/>
              </w:rPr>
            </w:pPr>
            <w:r>
              <w:rPr>
                <w:rFonts w:ascii="Arial" w:cs="Arial" w:eastAsia="Arial" w:hAnsi="Arial"/>
                <w:sz w:val="17"/>
                <w:szCs w:val="17"/>
                <w:color w:val="auto"/>
              </w:rPr>
              <w:t>6,532</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Net (loss) income</w:t>
            </w:r>
          </w:p>
        </w:tc>
        <w:tc>
          <w:tcPr>
            <w:tcW w:w="2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(8,673)</w:t>
            </w:r>
          </w:p>
        </w:tc>
        <w:tc>
          <w:tcPr>
            <w:tcW w:w="2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auto"/>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(14,336)</w:t>
            </w:r>
          </w:p>
        </w:tc>
        <w:tc>
          <w:tcPr>
            <w:tcW w:w="6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(1,236)</w:t>
            </w:r>
          </w:p>
        </w:tc>
        <w:tc>
          <w:tcPr>
            <w:tcW w:w="3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580"/>
              <w:spacing w:after="0" w:line="184" w:lineRule="exact"/>
              <w:rPr>
                <w:sz w:val="20"/>
                <w:szCs w:val="20"/>
                <w:color w:val="auto"/>
              </w:rPr>
            </w:pPr>
            <w:r>
              <w:rPr>
                <w:rFonts w:ascii="Arial" w:cs="Arial" w:eastAsia="Arial" w:hAnsi="Arial"/>
                <w:sz w:val="17"/>
                <w:szCs w:val="17"/>
                <w:color w:val="auto"/>
              </w:rPr>
              <w:t>6,899</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Net service revenue was $320.1 million for the Successor year ended December 31, 2015, compared to $219.8 million for the Successor nine month period ended December 31, 2014, and $70.3 million for the Predecessor three month period ended March 31, 2014. Contributing to growth in net service revenue in the Successor year ended December 31, 2015 was a larger number of active projects. On average, we converted 19.7% of our beginning of the quarter backlog to revenue each quarter during the Successor year ended December 31, 2015. In comparison, we converted an average of 18.7% and 19.6% of our beginning of quarter backlog to revenue each quarter during the Successor nine month period ended December 31, 2014 and Predecessor three month period ended March 31, 2014, respectively.</w:t>
      </w:r>
    </w:p>
    <w:p>
      <w:pPr>
        <w:spacing w:after="0" w:line="143"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Reimbursed out-of-pocket revenue was $39.0 million for the Successor year ended December 31, 2015, $28.7 million for the Successor nine month period ended December 31, 2014 and $7.7 million for the Predecessor three month period ended March 31, 2014.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49"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4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Direct costs, excluding depreciation and amortization were $163.7 million for the Successor year ended December 31, 2015, compared to $117.6 million for the Successor nine month period ended December 31, 2014 and $38.8 million for the Predecessor three month period ended March 31, 2014. The increase for the Successor year ended December 31, 2015 was primarily the result of an increase in revenue generating headcount from December 31, 2014 to support our increased project activity and new business awards.</w:t>
      </w:r>
    </w:p>
    <w:p>
      <w:pPr>
        <w:spacing w:after="0" w:line="14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While direct costs, excluding depreciation and amortization, increased in the Successor year ended December 31, 2015 compared to the Successor nine month period ended December 31, 2014 and Predecessor three month period ended March 31, 2014, they decreased to 51.1% of net service revenue, from 53.5% of net service revenue in the Successor nine months period ended December 31, 2014 and 55.2% of net service revenue for the Predecessor three month period ended March 31, 2015. An increase in headcount drove salaries, wages and other employee related direct costs to $119.8 million, or 37.4%, of net service revenue, from $86.8 million, or 39.5% of net service revenue, in the Successor nine month period ended December 31, 2014, and $25.7 million, or 36.6% of net service revenue, in the Predecessor three month period ended March 31, 2014. In addition, stock based compensation expense recognized in direct costs, excluding depreciation and amortization, was $9.2 million, or 2.9% of net service revenue, in the Successor year ended 2015, compared to $4.4 million, or 2.0% of net service revenue, in the Successor nine month period ended December 31, 2014 and $5.4 million, or 7.7% of net service revenue, in the Predecessor three month period ended March 31, 2014. Stock based compensation expense was elevated in the Predecessor three month period ended March 31, 2014 as a result of the acceleration of stock option vesting that occurred in advance of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45"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Selling, general and administrative expenses were $57.0 million for the Successor year ended December 31, 2015, compared to $29.5 million for the Successor nine month period ended December 31, 2014, and $10.2 million for the Predecessor three month period ended March 31, 2014. The increase for the Successor year ended December 31, 2015 was primarily due to $13.1 million of stock based compensation expense related to the issuance of new stock based awards granted to select management personnel, recurring and accelerated amortization of previously granted restricted share awards, and the impact of mark-to-market expense adjustments due to an increase in the fair value of liability classified stock based awards. Stock based compensation expense was $1.0 million and $1.9 million for the Successor nine month period ended December 31, 2014 and Predecessor three month period ended March 31, 2014, respectively.</w:t>
      </w:r>
    </w:p>
    <w:p>
      <w:pPr>
        <w:spacing w:after="0" w:line="141"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Selling, general and administrative expenses increased to 17.8% of net service revenue for the Successor year ended December 31, 2015, compared to 13.4% of net service revenue for the Successor nine month period ended December 31, 2014, and 14.5% of net service revenue for the Predecessor three month period ended March 31, 2014. The increase in selling, general and administrative expense as a percentage of net service revenue was primarily related to the aforementioned increase in stock based compensation expense to 4.1% of net service revenue for the Successor year ended December 31, 2015 from 0.5% of net service revenue for the Successor nine month period ended December 31, 2014 and 2.7% of net service revenue for the Predecessor three month period ended March 31, 2014. Further contributing to this increase as a percentage of net service revenue were higher salaries and wages. Salaries and wages as a percentage of net service revenue were 7.4% for the Successor year ended December 31, 2015, compared to 5.6% and 5.5% of net service revenue for the Successor nine month period ended December 31, 2014 and the Predecessor three month period ended March 31, 2014, respectively. Salaries and wages grew at a higher percentage than net service revenue for the Successor year ended December 31, 2015 as we continued to hire both sales force and administrative personnel in anticipation of future growth. Offsetting the increase in selling, general and administrative expense as a percentage of net service revenue were bad debt recoveries and gains on litigation matters of $2.7 million, or 0.9% of net service revenue, for the Successor year ended December 31, 2015, compared to bad debt expense and litigation losses of $2.2 million, or 1.0% of net service revenue, for the Successor nine month period ended December 31, 2014.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49"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expenses</w:t>
      </w:r>
    </w:p>
    <w:p>
      <w:pPr>
        <w:spacing w:after="0" w:line="45" w:lineRule="exact"/>
        <w:rPr>
          <w:sz w:val="20"/>
          <w:szCs w:val="20"/>
          <w:color w:val="auto"/>
        </w:rPr>
      </w:pPr>
    </w:p>
    <w:p>
      <w:pPr>
        <w:jc w:val="both"/>
        <w:ind w:right="240"/>
        <w:spacing w:after="0" w:line="231" w:lineRule="auto"/>
        <w:rPr>
          <w:sz w:val="20"/>
          <w:szCs w:val="20"/>
          <w:color w:val="auto"/>
        </w:rPr>
      </w:pPr>
      <w:r>
        <w:rPr>
          <w:rFonts w:ascii="Arial" w:cs="Arial" w:eastAsia="Arial" w:hAnsi="Arial"/>
          <w:sz w:val="17"/>
          <w:szCs w:val="17"/>
          <w:color w:val="auto"/>
        </w:rPr>
        <w:t>There were no acquisition and integration expenses for the Successor year ended December 31, 2015. Acquisition and integration expenses were $9.3 million for the Successor nine month period ended December 31, 2014 and $12.4 million for the Predecessor three month period ended March 31, 2014. These expenses included attorney fees, advisory fees and other professional service fees related to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w:t>
      </w:r>
    </w:p>
    <w:p>
      <w:pPr>
        <w:spacing w:after="0" w:line="45" w:lineRule="exact"/>
        <w:rPr>
          <w:sz w:val="20"/>
          <w:szCs w:val="20"/>
          <w:color w:val="auto"/>
        </w:rPr>
      </w:pPr>
    </w:p>
    <w:p>
      <w:pPr>
        <w:ind w:right="360"/>
        <w:spacing w:after="0" w:line="231" w:lineRule="auto"/>
        <w:rPr>
          <w:sz w:val="20"/>
          <w:szCs w:val="20"/>
          <w:color w:val="auto"/>
        </w:rPr>
      </w:pPr>
      <w:r>
        <w:rPr>
          <w:rFonts w:ascii="Arial" w:cs="Arial" w:eastAsia="Arial" w:hAnsi="Arial"/>
          <w:sz w:val="17"/>
          <w:szCs w:val="17"/>
          <w:color w:val="auto"/>
        </w:rPr>
        <w:t>During the Successor year ended December 31, 2015, we determined that the fair value of our Clinics reporting unit did not exceed its carrying value resulting in a $9.3 million impairment of goodwill. This impairment was identified during the annual impairment assessment in the fourth quarter of 2015 when we updated our forecasted discounted cash flows to reflect operating results that lagged prior forecasted results.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4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Depreciation and amortization expense was $69.5 million for the Successor year ended December 31, 2015, compared to $61.0 million for the Successor nine month period ended December 31, 2014 and $7.0 million for the Predecessor three month period ended March 31, 2014. The increase in depreciation and amortization was primarily related to the amortization expense associated with the Transaction in which $274.7 million in finite-lived intangible assets that were identified and capitalized as part of the Transaction. Depreciation and amortization as a percentage of net service revenue, decreased to 21.7% in the Successor year ended 2015, compared to 27.8% for the Successor nine month period ended December 31, 2014. This decrease primarily related to the accelerated amortization methodology of our backlog and customer relationship intangibles. Within the Successor nine month period ended December 31, 2014 and the Predecessor three month period ended March 31, 2014, depreciation and amortization expense as a percentage of net service revenue increased to 27.8% from 10.0%, respectively. This increase was the result of the capitalization and amortization of the finite-lived intangible assets identified as part of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45"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Miscellaneous (expense) income, net was $1.1 million of expense for the Successor year ended December 31, 2015, compared to $0.3 million of expense for the Successor nine month period ended December 31, 2014 and $1.2 million of income for the Predecessor three month period ended March 31, 2014. Changes are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45"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Interest expense, net was $27.3 million for the Successor year ended December 31, 2015, compared to $23.2 million for the Successor nine month period ended December 31, 2014 and $3.3 million for the Predecessor three month period ended March 31, 2014. Interest expense, net was 8.5% of net service revenue for the Successor year ended December 31, 2015, compared to 10.5% of net service revenue for the Successor nine month period ended December 31, 2014 and 4.7% of net service revenue for the Predecessor three month period ended March 31, 2014. The change in interest expense, net was primarily attributed to the average lower outstanding balance under our Senior Secured Term Loan Facility in the Successor year ended December 31, 2015, compared to the Successor nine month period ended December 31, 2014, as $116.1 million of principal payments were applied to the Senior Secured Term Loan Facility throughout the year. For the Successor nine month period ended December 31, 2014, compared to the Predecessor three month period ended March 31, 2014, the increase in interest expense, net was related to entering into the Senior Secured Credit Facilities (as defined below) to finance a portion of the Transaction, which increased outstanding debt, net from $143.7 million (that was paid in full at the Transaction date) to $530.0 million as of April 1,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45" w:lineRule="exact"/>
        <w:rPr>
          <w:sz w:val="20"/>
          <w:szCs w:val="20"/>
          <w:color w:val="auto"/>
        </w:rPr>
      </w:pPr>
    </w:p>
    <w:p>
      <w:pPr>
        <w:ind w:right="500"/>
        <w:spacing w:after="0" w:line="235" w:lineRule="auto"/>
        <w:rPr>
          <w:sz w:val="20"/>
          <w:szCs w:val="20"/>
          <w:color w:val="auto"/>
        </w:rPr>
      </w:pPr>
      <w:r>
        <w:rPr>
          <w:rFonts w:ascii="Arial" w:cs="Arial" w:eastAsia="Arial" w:hAnsi="Arial"/>
          <w:sz w:val="17"/>
          <w:szCs w:val="17"/>
          <w:color w:val="auto"/>
        </w:rPr>
        <w:t>Income tax provision was $0.8 million for the Successor year ended December 31, 2015, compared to a benefit of $6.7 million for the Successor nine month period ended December 31, 2014 and a provision of $1.0 million for the Predecessor three month period ended March 31, 2014.</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49"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80"/>
        <w:spacing w:after="0" w:line="227" w:lineRule="auto"/>
        <w:rPr>
          <w:sz w:val="20"/>
          <w:szCs w:val="20"/>
          <w:color w:val="auto"/>
        </w:rPr>
      </w:pPr>
      <w:r>
        <w:rPr>
          <w:rFonts w:ascii="Arial" w:cs="Arial" w:eastAsia="Arial" w:hAnsi="Arial"/>
          <w:sz w:val="17"/>
          <w:szCs w:val="17"/>
          <w:color w:val="auto"/>
        </w:rPr>
        <w:t>The effective tax rate for the Successor year ended December 31, 2015 was negative 10.8%, compared to 31.8% for the Successor nine month period ended December 31, 2014. This change in the effective tax rates was primarily the result of higher non-deductible expenses in the Successor year ended December 31, 2015. The nondeductible expenses for the Successor year ended December 31, 2015 included goodwill impairment and stock based compensation expense resulting from the vesting of stock based awards for foreign employees and an increase of domestic and foreign uncertain tax positions in the Successor year ended December 31, 2015. In the Successor nine month period ended December 31, 2014, the Company experienced significant nondeductible transaction costs resulting from the Transaction. Although both periods experienced high levels of nondeductible expenses, the total nondeductible expenses related to the Successor year ended December 31, 2015 exceeded nondeductible expenses incurred in the Successor nine month period ended December 31, 2014.</w:t>
      </w:r>
    </w:p>
    <w:p>
      <w:pPr>
        <w:spacing w:after="0" w:line="145"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 sale of an investment. The valuation allowance was recorded in the Predecessor three month period ended March 31, 2014 because the Company did not anticipate generating capital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12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b w:val="1"/>
          <w:bCs w:val="1"/>
          <w:i w:val="1"/>
          <w:iCs w:val="1"/>
          <w:color w:val="auto"/>
        </w:rPr>
        <w:t>Successor nine month period from April 1, 2014 through December 31, 2014 and Predecessor three month period from January 1, 2014 through March 31, 2014 compared to the Predecessor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9"/>
              </w:rPr>
              <w:t>SUCCESSOR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ind w:left="600"/>
              <w:spacing w:after="0"/>
              <w:rPr>
                <w:sz w:val="20"/>
                <w:szCs w:val="20"/>
                <w:color w:val="auto"/>
              </w:rPr>
            </w:pPr>
            <w:r>
              <w:rPr>
                <w:rFonts w:ascii="Arial" w:cs="Arial" w:eastAsia="Arial" w:hAnsi="Arial"/>
                <w:sz w:val="14"/>
                <w:szCs w:val="14"/>
                <w:b w:val="1"/>
                <w:bCs w:val="1"/>
                <w:color w:val="auto"/>
              </w:rPr>
              <w:t>PREDECESSOR</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NINE MONTH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MONTH</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3"/>
                <w:szCs w:val="13"/>
                <w:color w:val="auto"/>
              </w:rPr>
            </w:pPr>
          </w:p>
        </w:tc>
        <w:tc>
          <w:tcPr>
            <w:tcW w:w="1260" w:type="dxa"/>
            <w:vAlign w:val="bottom"/>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FROM APRIL 1,</w:t>
            </w:r>
          </w:p>
        </w:tc>
        <w:tc>
          <w:tcPr>
            <w:tcW w:w="460" w:type="dxa"/>
            <w:vAlign w:val="bottom"/>
          </w:tcPr>
          <w:p>
            <w:pPr>
              <w:spacing w:after="0"/>
              <w:rPr>
                <w:sz w:val="13"/>
                <w:szCs w:val="13"/>
                <w:color w:val="auto"/>
              </w:rPr>
            </w:pPr>
          </w:p>
        </w:tc>
        <w:tc>
          <w:tcPr>
            <w:tcW w:w="1260" w:type="dxa"/>
            <w:vAlign w:val="bottom"/>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JANUARY 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0"/>
              <w:spacing w:after="0" w:line="157"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8"/>
              </w:rPr>
              <w:t>THROUGH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8"/>
              </w:rPr>
              <w:t>THROUGH</w:t>
            </w:r>
          </w:p>
        </w:tc>
        <w:tc>
          <w:tcPr>
            <w:tcW w:w="220" w:type="dxa"/>
            <w:vAlign w:val="bottom"/>
          </w:tcPr>
          <w:p>
            <w:pPr>
              <w:spacing w:after="0"/>
              <w:rPr>
                <w:sz w:val="13"/>
                <w:szCs w:val="13"/>
                <w:color w:val="auto"/>
              </w:rPr>
            </w:pPr>
          </w:p>
        </w:tc>
        <w:tc>
          <w:tcPr>
            <w:tcW w:w="1500" w:type="dxa"/>
            <w:vAlign w:val="bottom"/>
            <w:gridSpan w:val="3"/>
          </w:tcPr>
          <w:p>
            <w:pPr>
              <w:jc w:val="center"/>
              <w:ind w:right="480"/>
              <w:spacing w:after="0" w:line="157" w:lineRule="exact"/>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5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78"/>
              <w:spacing w:after="0"/>
              <w:rPr>
                <w:sz w:val="20"/>
                <w:szCs w:val="20"/>
                <w:color w:val="auto"/>
              </w:rPr>
            </w:pPr>
            <w:r>
              <w:rPr>
                <w:rFonts w:ascii="Arial" w:cs="Arial" w:eastAsia="Arial" w:hAnsi="Arial"/>
                <w:sz w:val="14"/>
                <w:szCs w:val="14"/>
                <w:b w:val="1"/>
                <w:bCs w:val="1"/>
                <w:color w:val="auto"/>
                <w:w w:val="96"/>
              </w:rPr>
              <w:t>2013</w:t>
            </w: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CHANGE</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0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219,791</w:t>
            </w:r>
          </w:p>
        </w:tc>
        <w:tc>
          <w:tcPr>
            <w:tcW w:w="220" w:type="dxa"/>
            <w:vAlign w:val="bottom"/>
            <w:tcBorders>
              <w:right w:val="single" w:sz="8" w:color="auto"/>
            </w:tcBorders>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70,250</w:t>
            </w:r>
          </w:p>
        </w:tc>
        <w:tc>
          <w:tcPr>
            <w:tcW w:w="26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244,270</w:t>
            </w: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45,771</w:t>
            </w:r>
          </w:p>
        </w:tc>
        <w:tc>
          <w:tcPr>
            <w:tcW w:w="50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Reimbursed out-of-pocket revenue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7"/>
                <w:szCs w:val="17"/>
                <w:color w:val="auto"/>
              </w:rPr>
              <w:t>28,708</w:t>
            </w:r>
          </w:p>
        </w:tc>
        <w:tc>
          <w:tcPr>
            <w:tcW w:w="2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7,679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28,620</w:t>
            </w:r>
          </w:p>
        </w:tc>
        <w:tc>
          <w:tcPr>
            <w:tcW w:w="100" w:type="dxa"/>
            <w:vAlign w:val="bottom"/>
          </w:tcPr>
          <w:p>
            <w:pPr>
              <w:spacing w:after="0"/>
              <w:rPr>
                <w:sz w:val="15"/>
                <w:szCs w:val="15"/>
                <w:color w:val="auto"/>
              </w:rPr>
            </w:pPr>
          </w:p>
        </w:tc>
        <w:tc>
          <w:tcPr>
            <w:tcW w:w="1100" w:type="dxa"/>
            <w:vAlign w:val="bottom"/>
            <w:gridSpan w:val="2"/>
          </w:tcPr>
          <w:p>
            <w:pPr>
              <w:jc w:val="right"/>
              <w:ind w:right="500"/>
              <w:spacing w:after="0" w:line="184" w:lineRule="exact"/>
              <w:rPr>
                <w:sz w:val="20"/>
                <w:szCs w:val="20"/>
                <w:color w:val="auto"/>
              </w:rPr>
            </w:pPr>
            <w:r>
              <w:rPr>
                <w:rFonts w:ascii="Arial" w:cs="Arial" w:eastAsia="Arial" w:hAnsi="Arial"/>
                <w:sz w:val="17"/>
                <w:szCs w:val="17"/>
                <w:color w:val="auto"/>
              </w:rPr>
              <w:t>7,767</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revenue</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248,499</w:t>
            </w:r>
          </w:p>
        </w:tc>
        <w:tc>
          <w:tcPr>
            <w:tcW w:w="220" w:type="dxa"/>
            <w:vAlign w:val="bottom"/>
            <w:tcBorders>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77,929</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272,890</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line="184" w:lineRule="exact"/>
              <w:rPr>
                <w:sz w:val="20"/>
                <w:szCs w:val="20"/>
                <w:color w:val="auto"/>
              </w:rPr>
            </w:pPr>
            <w:r>
              <w:rPr>
                <w:rFonts w:ascii="Arial" w:cs="Arial" w:eastAsia="Arial" w:hAnsi="Arial"/>
                <w:sz w:val="17"/>
                <w:szCs w:val="17"/>
                <w:color w:val="auto"/>
              </w:rPr>
              <w:t>53,538</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Direct costs, excluding depreciation and amortization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220"/>
              <w:spacing w:after="0" w:line="184" w:lineRule="exact"/>
              <w:rPr>
                <w:sz w:val="20"/>
                <w:szCs w:val="20"/>
                <w:color w:val="auto"/>
              </w:rPr>
            </w:pPr>
            <w:r>
              <w:rPr>
                <w:rFonts w:ascii="Arial" w:cs="Arial" w:eastAsia="Arial" w:hAnsi="Arial"/>
                <w:sz w:val="17"/>
                <w:szCs w:val="17"/>
                <w:color w:val="auto"/>
              </w:rPr>
              <w:t>117,550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38,759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119,779</w:t>
            </w:r>
          </w:p>
        </w:tc>
        <w:tc>
          <w:tcPr>
            <w:tcW w:w="100" w:type="dxa"/>
            <w:vAlign w:val="bottom"/>
          </w:tcPr>
          <w:p>
            <w:pPr>
              <w:spacing w:after="0"/>
              <w:rPr>
                <w:sz w:val="15"/>
                <w:szCs w:val="15"/>
                <w:color w:val="auto"/>
              </w:rPr>
            </w:pPr>
          </w:p>
        </w:tc>
        <w:tc>
          <w:tcPr>
            <w:tcW w:w="1100" w:type="dxa"/>
            <w:vAlign w:val="bottom"/>
            <w:gridSpan w:val="2"/>
          </w:tcPr>
          <w:p>
            <w:pPr>
              <w:jc w:val="right"/>
              <w:ind w:right="500"/>
              <w:spacing w:after="0" w:line="184" w:lineRule="exact"/>
              <w:rPr>
                <w:sz w:val="20"/>
                <w:szCs w:val="20"/>
                <w:color w:val="auto"/>
              </w:rPr>
            </w:pPr>
            <w:r>
              <w:rPr>
                <w:rFonts w:ascii="Arial" w:cs="Arial" w:eastAsia="Arial" w:hAnsi="Arial"/>
                <w:sz w:val="17"/>
                <w:szCs w:val="17"/>
                <w:color w:val="auto"/>
              </w:rPr>
              <w:t>36,530</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Reimbursed out-of-pocket expenses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28,708</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7,679</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28,620</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line="184" w:lineRule="exact"/>
              <w:rPr>
                <w:sz w:val="20"/>
                <w:szCs w:val="20"/>
                <w:color w:val="auto"/>
              </w:rPr>
            </w:pPr>
            <w:r>
              <w:rPr>
                <w:rFonts w:ascii="Arial" w:cs="Arial" w:eastAsia="Arial" w:hAnsi="Arial"/>
                <w:sz w:val="17"/>
                <w:szCs w:val="17"/>
                <w:color w:val="auto"/>
              </w:rPr>
              <w:t>7,767</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Selling, general and administrative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220"/>
              <w:spacing w:after="0" w:line="184" w:lineRule="exact"/>
              <w:rPr>
                <w:sz w:val="20"/>
                <w:szCs w:val="20"/>
                <w:color w:val="auto"/>
              </w:rPr>
            </w:pPr>
            <w:r>
              <w:rPr>
                <w:rFonts w:ascii="Arial" w:cs="Arial" w:eastAsia="Arial" w:hAnsi="Arial"/>
                <w:sz w:val="17"/>
                <w:szCs w:val="17"/>
                <w:color w:val="auto"/>
              </w:rPr>
              <w:t>29,465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10,203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35,109</w:t>
            </w:r>
          </w:p>
        </w:tc>
        <w:tc>
          <w:tcPr>
            <w:tcW w:w="100" w:type="dxa"/>
            <w:vAlign w:val="bottom"/>
          </w:tcPr>
          <w:p>
            <w:pPr>
              <w:spacing w:after="0"/>
              <w:rPr>
                <w:sz w:val="15"/>
                <w:szCs w:val="15"/>
                <w:color w:val="auto"/>
              </w:rPr>
            </w:pPr>
          </w:p>
        </w:tc>
        <w:tc>
          <w:tcPr>
            <w:tcW w:w="1100" w:type="dxa"/>
            <w:vAlign w:val="bottom"/>
            <w:gridSpan w:val="2"/>
          </w:tcPr>
          <w:p>
            <w:pPr>
              <w:jc w:val="right"/>
              <w:ind w:right="500"/>
              <w:spacing w:after="0" w:line="184" w:lineRule="exact"/>
              <w:rPr>
                <w:sz w:val="20"/>
                <w:szCs w:val="20"/>
                <w:color w:val="auto"/>
              </w:rPr>
            </w:pPr>
            <w:r>
              <w:rPr>
                <w:rFonts w:ascii="Arial" w:cs="Arial" w:eastAsia="Arial" w:hAnsi="Arial"/>
                <w:sz w:val="17"/>
                <w:szCs w:val="17"/>
                <w:color w:val="auto"/>
              </w:rPr>
              <w:t>4,559</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Acquisition and integration</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9,297</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12,420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line="184" w:lineRule="exact"/>
              <w:rPr>
                <w:sz w:val="20"/>
                <w:szCs w:val="20"/>
                <w:color w:val="auto"/>
              </w:rPr>
            </w:pPr>
            <w:r>
              <w:rPr>
                <w:rFonts w:ascii="Arial" w:cs="Arial" w:eastAsia="Arial" w:hAnsi="Arial"/>
                <w:sz w:val="17"/>
                <w:szCs w:val="17"/>
                <w:color w:val="auto"/>
              </w:rPr>
              <w:t>21,717</w:t>
            </w:r>
          </w:p>
        </w:tc>
        <w:tc>
          <w:tcPr>
            <w:tcW w:w="80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Impairment of goodwill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220"/>
              <w:spacing w:after="0" w:line="184"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500"/>
              <w:spacing w:after="0" w:line="18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Depreciation</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4,610</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1,832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6,665</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(223)</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Amortization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7"/>
                <w:szCs w:val="17"/>
                <w:color w:val="auto"/>
              </w:rPr>
              <w:t>56,422</w:t>
            </w:r>
          </w:p>
        </w:tc>
        <w:tc>
          <w:tcPr>
            <w:tcW w:w="2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5,199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23,854</w:t>
            </w:r>
          </w:p>
        </w:tc>
        <w:tc>
          <w:tcPr>
            <w:tcW w:w="100" w:type="dxa"/>
            <w:vAlign w:val="bottom"/>
          </w:tcPr>
          <w:p>
            <w:pPr>
              <w:spacing w:after="0"/>
              <w:rPr>
                <w:sz w:val="15"/>
                <w:szCs w:val="15"/>
                <w:color w:val="auto"/>
              </w:rPr>
            </w:pPr>
          </w:p>
        </w:tc>
        <w:tc>
          <w:tcPr>
            <w:tcW w:w="1100" w:type="dxa"/>
            <w:vAlign w:val="bottom"/>
            <w:gridSpan w:val="2"/>
          </w:tcPr>
          <w:p>
            <w:pPr>
              <w:jc w:val="right"/>
              <w:ind w:right="500"/>
              <w:spacing w:after="0" w:line="184" w:lineRule="exact"/>
              <w:rPr>
                <w:sz w:val="20"/>
                <w:szCs w:val="20"/>
                <w:color w:val="auto"/>
              </w:rPr>
            </w:pPr>
            <w:r>
              <w:rPr>
                <w:rFonts w:ascii="Arial" w:cs="Arial" w:eastAsia="Arial" w:hAnsi="Arial"/>
                <w:sz w:val="17"/>
                <w:szCs w:val="17"/>
                <w:color w:val="auto"/>
              </w:rPr>
              <w:t>37,767</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operating expenses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246,052</w:t>
            </w:r>
          </w:p>
        </w:tc>
        <w:tc>
          <w:tcPr>
            <w:tcW w:w="220" w:type="dxa"/>
            <w:vAlign w:val="bottom"/>
            <w:tcBorders>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76,092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214,027</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line="184" w:lineRule="exact"/>
              <w:rPr>
                <w:sz w:val="20"/>
                <w:szCs w:val="20"/>
                <w:color w:val="auto"/>
              </w:rPr>
            </w:pPr>
            <w:r>
              <w:rPr>
                <w:rFonts w:ascii="Arial" w:cs="Arial" w:eastAsia="Arial" w:hAnsi="Arial"/>
                <w:sz w:val="17"/>
                <w:szCs w:val="17"/>
                <w:color w:val="auto"/>
                <w:w w:val="94"/>
              </w:rPr>
              <w:t>108,117</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2,447</w:t>
            </w:r>
          </w:p>
        </w:tc>
        <w:tc>
          <w:tcPr>
            <w:tcW w:w="2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1,837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58,863</w:t>
            </w:r>
          </w:p>
        </w:tc>
        <w:tc>
          <w:tcPr>
            <w:tcW w:w="100" w:type="dxa"/>
            <w:vAlign w:val="bottom"/>
          </w:tcPr>
          <w:p>
            <w:pPr>
              <w:spacing w:after="0"/>
              <w:rPr>
                <w:sz w:val="16"/>
                <w:szCs w:val="16"/>
                <w:color w:val="auto"/>
              </w:rPr>
            </w:pPr>
          </w:p>
        </w:tc>
        <w:tc>
          <w:tcPr>
            <w:tcW w:w="11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(54,579)</w:t>
            </w: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Miscellaneous (expense) income, net</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(301)</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1,213</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(1,718)</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line="184" w:lineRule="exact"/>
              <w:rPr>
                <w:sz w:val="20"/>
                <w:szCs w:val="20"/>
                <w:color w:val="auto"/>
              </w:rPr>
            </w:pPr>
            <w:r>
              <w:rPr>
                <w:rFonts w:ascii="Arial" w:cs="Arial" w:eastAsia="Arial" w:hAnsi="Arial"/>
                <w:sz w:val="17"/>
                <w:szCs w:val="17"/>
                <w:color w:val="auto"/>
              </w:rPr>
              <w:t>2,630</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-153.1%</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Interest expense, net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180"/>
              <w:spacing w:after="0" w:line="184" w:lineRule="exact"/>
              <w:rPr>
                <w:sz w:val="20"/>
                <w:szCs w:val="20"/>
                <w:color w:val="auto"/>
              </w:rPr>
            </w:pPr>
            <w:r>
              <w:rPr>
                <w:rFonts w:ascii="Arial" w:cs="Arial" w:eastAsia="Arial" w:hAnsi="Arial"/>
                <w:sz w:val="17"/>
                <w:szCs w:val="17"/>
                <w:color w:val="auto"/>
              </w:rPr>
              <w:t>(23,185)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(3,272)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(18,000)</w:t>
            </w:r>
          </w:p>
        </w:tc>
        <w:tc>
          <w:tcPr>
            <w:tcW w:w="100" w:type="dxa"/>
            <w:vAlign w:val="bottom"/>
          </w:tcPr>
          <w:p>
            <w:pPr>
              <w:spacing w:after="0"/>
              <w:rPr>
                <w:sz w:val="15"/>
                <w:szCs w:val="15"/>
                <w:color w:val="auto"/>
              </w:rPr>
            </w:pPr>
          </w:p>
        </w:tc>
        <w:tc>
          <w:tcPr>
            <w:tcW w:w="110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(8,457)</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(Loss) income before income taxes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(21,039)</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(222)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39,145</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(60,406)</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183"/>
        </w:trPr>
        <w:tc>
          <w:tcPr>
            <w:tcW w:w="4300" w:type="dxa"/>
            <w:vAlign w:val="bottom"/>
          </w:tcPr>
          <w:p>
            <w:pPr>
              <w:spacing w:after="0" w:line="184" w:lineRule="exact"/>
              <w:rPr>
                <w:sz w:val="20"/>
                <w:szCs w:val="20"/>
                <w:color w:val="auto"/>
              </w:rPr>
            </w:pPr>
            <w:r>
              <w:rPr>
                <w:rFonts w:ascii="Arial" w:cs="Arial" w:eastAsia="Arial" w:hAnsi="Arial"/>
                <w:sz w:val="17"/>
                <w:szCs w:val="17"/>
                <w:color w:val="auto"/>
              </w:rPr>
              <w:t>Income tax (benefit) provision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180"/>
              <w:spacing w:after="0" w:line="184" w:lineRule="exact"/>
              <w:rPr>
                <w:sz w:val="20"/>
                <w:szCs w:val="20"/>
                <w:color w:val="auto"/>
              </w:rPr>
            </w:pPr>
            <w:r>
              <w:rPr>
                <w:rFonts w:ascii="Arial" w:cs="Arial" w:eastAsia="Arial" w:hAnsi="Arial"/>
                <w:sz w:val="17"/>
                <w:szCs w:val="17"/>
                <w:color w:val="auto"/>
              </w:rPr>
              <w:t>(6,703)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1,014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14,301</w:t>
            </w:r>
          </w:p>
        </w:tc>
        <w:tc>
          <w:tcPr>
            <w:tcW w:w="100" w:type="dxa"/>
            <w:vAlign w:val="bottom"/>
          </w:tcPr>
          <w:p>
            <w:pPr>
              <w:spacing w:after="0"/>
              <w:rPr>
                <w:sz w:val="15"/>
                <w:szCs w:val="15"/>
                <w:color w:val="auto"/>
              </w:rPr>
            </w:pPr>
          </w:p>
        </w:tc>
        <w:tc>
          <w:tcPr>
            <w:tcW w:w="110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(19,990)</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Net (loss) income</w:t>
            </w:r>
          </w:p>
        </w:tc>
        <w:tc>
          <w:tcPr>
            <w:tcW w:w="5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(14,336)</w:t>
            </w:r>
          </w:p>
        </w:tc>
        <w:tc>
          <w:tcPr>
            <w:tcW w:w="5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(1,236)</w:t>
            </w:r>
          </w:p>
        </w:tc>
        <w:tc>
          <w:tcPr>
            <w:tcW w:w="560" w:type="dxa"/>
            <w:vAlign w:val="bottom"/>
            <w:gridSpan w:val="2"/>
            <w:shd w:val="clear" w:color="auto" w:fill="CCEEFF"/>
          </w:tcPr>
          <w:p>
            <w:pPr>
              <w:ind w:left="220"/>
              <w:spacing w:after="0" w:line="184"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24,844</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(40,146)</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4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Net service revenue was $219.8 million for the Successor nine month period ended December 31, 2014 and $70.3 million for the Predecessor three month period ended March 31, 2014, compared to $244.3 million for the Predecessor year ended December 31, 2013. Results in the Successor nine month period ended December 31, 2014, compared to the Predecessor three month period ended March 31, 2014 benefitted from a larger number of overall active projects. Compared to the Predecessor year ended December 31, 2013, the Predecessor three month period ended March 31, 2014 also benefitted from more active projects, combined with relatively low project cancellations. Average quarterly backlog conversion was 18.7% for the Successor nine month period ended December 31, 2014 and 19.6% for the Predecessor three month period ended March 31, 2014, compared to 18.7% for the Predecessor year ended December 31, 2013.</w:t>
      </w:r>
    </w:p>
    <w:p>
      <w:pPr>
        <w:spacing w:after="0" w:line="141"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Reimbursed out-of-pocket revenue was $28.7 million for the Successor nine month period ended December 31, 2014, $7.7 million for the Predecessor three month period ended March 31, 2014 and $28.6 million for the Predecessor year ended December 31, 2013.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4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Direct costs, excluding depreciation and amortization, were $117.6 million for the Successor nine month period ended December 31, 2014 and $38.8 million for the Predecessor three month period ended March 31, 2014, compared to $119.8 million for the Predecessor year ended December 31, 2013. The increase for the Successor nine month period ended December 31, 2014 and the Predecessor three month period ended March 31, 2014 was primarily due to an increase in revenue generating headcount from the Predecessor year ended December 31, 2013 to support higher project activity and new business awards. Additionally, stock based compensation increased to $4.4 million for the Successor nine month period ended December 31, 2014 and $5.4 million for the Predecessor three month period ended March 31, 2014, compared to $0.6 million for the Predecessor year ended December 31, 2013. The increase in stock based compensation was primarily driven by the acceleration of stock option vesting that occurred in advance of the Transaction and new stock based awards issued subsequent to the Transaction.</w:t>
      </w:r>
    </w:p>
    <w:p>
      <w:pPr>
        <w:spacing w:after="0" w:line="145"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As a percentage of net service revenue, direct costs, excluding depreciation and amortization, increased to 53.5% of net service revenue for the Successor nine month period ended December 31, 2014 and 55.2% for the Predecessor three month period ended March 31, 2014, compared to 49.0% for the Predecessor year ended December 31, 2013. The primary driver of the increase as a percentage of net service revenue was the aforementioned higher stock based compensation. As a percentage of net service revenue stock based compensation was 2.0% and 7.7% for the Successor nine month period ended December 31, 2014 and Predecessor three month period ended March 31, 2014, respectively, compared to 0.3% for the Predecessor year ended December 31, 2013.</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4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Selling, general and administrative expenses were $29.5 million for the Successor nine month period ended December 31, 2014 and $10.2 million for the Predecessor three month period ended March 31, 2014, compared to $35.1 for the Predecessor year ended December 31, 2013. The increase was primarily related to higher litigation costs resulting from a certain customer bad debt and an employee matter, representing $1.8 million for the Successor nine month period ended December 31, 2014 and $0.0 million for the Predecessor three month period ended March 31, 2014, compared to $0.0 million for the Predecessor year ended December 31, 2013. Further increasing selling, general and administrative expenses was higher employee stock based compensation expense of $1.0 million for the Successor nine month period ended December 31, 2014 for stock based awards issued after the Transaction and $1.9 million for the Predecessor three month period ended March 31, 2014 due to the aforementioned acceleration of stock option vesting that occurred immediately prior to the Transaction, compared to $1.4 million for the Predecessor year ended December 31, 2013.</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as a percentage of net service revenue were 13.4% for the for the Successor nine month period ended</w:t>
      </w:r>
    </w:p>
    <w:p>
      <w:pPr>
        <w:spacing w:after="0" w:line="225" w:lineRule="auto"/>
        <w:rPr>
          <w:sz w:val="20"/>
          <w:szCs w:val="20"/>
          <w:color w:val="auto"/>
        </w:rPr>
      </w:pPr>
      <w:r>
        <w:rPr>
          <w:rFonts w:ascii="Arial" w:cs="Arial" w:eastAsia="Arial" w:hAnsi="Arial"/>
          <w:sz w:val="17"/>
          <w:szCs w:val="17"/>
          <w:color w:val="auto"/>
        </w:rPr>
        <w:t>December 31, 2014 and 14.5% for the Predecessor three month period ended March 31, 2014, compared to 14.4% for the Predecessor year ended</w:t>
      </w:r>
    </w:p>
    <w:p>
      <w:pPr>
        <w:spacing w:after="0"/>
        <w:rPr>
          <w:sz w:val="20"/>
          <w:szCs w:val="20"/>
          <w:color w:val="auto"/>
        </w:rPr>
      </w:pPr>
      <w:r>
        <w:rPr>
          <w:rFonts w:ascii="Arial" w:cs="Arial" w:eastAsia="Arial" w:hAnsi="Arial"/>
          <w:sz w:val="17"/>
          <w:szCs w:val="17"/>
          <w:color w:val="auto"/>
        </w:rPr>
        <w:t>December 31, 2013. Growth of net service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49"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220"/>
        <w:spacing w:after="0" w:line="231" w:lineRule="auto"/>
        <w:rPr>
          <w:sz w:val="20"/>
          <w:szCs w:val="20"/>
          <w:color w:val="auto"/>
        </w:rPr>
      </w:pPr>
      <w:r>
        <w:rPr>
          <w:rFonts w:ascii="Arial" w:cs="Arial" w:eastAsia="Arial" w:hAnsi="Arial"/>
          <w:sz w:val="17"/>
          <w:szCs w:val="17"/>
          <w:color w:val="auto"/>
        </w:rPr>
        <w:t>revenue over for the Successor nine month period ended December 31, 2014 and Predecessor three month period ended March 31, 2014 outpaced the corresponding period increases to selling, general and administrative salary and wage growth, causing the decrease as a percent of net service revenue, compared to the Predecessor year ended December 31,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expenses</w:t>
      </w:r>
    </w:p>
    <w:p>
      <w:pPr>
        <w:spacing w:after="0" w:line="32"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Acquisition and integration expenses were $9.3 million for the Successor nine month period ended December 31, 2014 and $12.4 million for the Predecessor three month period ended March 31, 2014 related to the Transaction. There were no acquisition and integration expenses for the Predecessor year ended December 31, 2013. The expenses in the Successor nine month period ended December 31, 2014 and Predecessor three month period ended March 31, 2014 include attorney fees, advisory fees and other professional service fees related to the Transaction.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32"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Depreciation and amortization expense was $61.0 million for the Successor nine month period ended December 31, 2014 and $7.0 million for the Predecessor three month period ended March 31, 2014, compared to $30.5 million for the Predecessor year ended December 31, 2013. The increase in depreciation and amortization was primarily related to the Transaction in which $274.7 million in finite-lived intangible assets were identified and capitalized as part of the purchase accounting adjustments as of April 1, 2014. The gross carrying value of finite-lived intangible assets prior to the transaction date was $181.7 million. The additional capitalized intangible assets caused depreciation and amortization expense to be 27.8% of net service revenue for the Successor nine month period ended December 31, 2014 and 10.0% of net service revenue for the Predecessor three month period ended March 31, 2014, compared to 12.5% of net service revenue for the Predecessor year ended December 31, 2013. The increase in depreciation and amortization expense in the Successor period ended December 31, 2014 is further driven by certain intangible assets, such as backlog and customer relationships that have an accelerated amortization that aligns to the time period over which cash flows of each respective intangible asset is generated.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3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Miscellaneous (expense) income, net was $0.3 million of expense for the Successor nine month period and $1.2 million of income for the Predecessor three month period ended March 31, 2014, compared to $1.7 million of expense in the Predecessor year ended December 31, 2013. Changes in miscellaneous (expense) income, net were mainly attributed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3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Interest expense, net was $23.2 million for the Successor nine month period ended December 31, 2014 and $3.3 million for the Predecessor three month period ended March 31, 2014, compared to $18.0 million for the Predecessor year ended December 31, 2013. Interest expense, net was 10.5% of net service revenue for the Successor nine month period December 31, 2014 and 4.7% of net service revenue for the Predecessor three month period ended March 31, 2014, compared to 7.4% of net service revenue for the Predecessor year ended December 31, 2013. The increase in interest expense, net in the Successor nine month period ended December 31, 2014 was related to entering into the Senior Secured Credit Facilities to finance a portion of the Transaction, which increased outstanding debt, net from $143.7 million (that was paid in full at the Transaction date) in the Predecessor three month period ended March 31, 2014, to $530.0 million as of December 31, 2014.</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3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had an income tax benefit of $6.7 million for the Successor nine month period ended December 31, 2014, compared to a provision of $1.0 million for the Predecessor three month period ended March 31, 2014, and a provision of $14.3 million for the Predecessor year ended December 31, 2013.</w:t>
      </w:r>
    </w:p>
    <w:p>
      <w:pPr>
        <w:spacing w:after="0" w:line="125"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49"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sale of an investment. The valuation allowance was recorded in the Predecessor three month period ended March 31, 2014 because the Company did not anticipate generating taxable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14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effective tax rate for the Predecessor three month period ended March 31, 2014 was negative 456.1%, compared to 36.5% for the Predecessor year ended December 31, 2013. The change in the effective tax rates between the Predecessor three month period ended March 31, 2014 and the Predecessor year ended December 31, 2013 was primarily due to an increase in our valuation allowance on U.S. deferred tax assets. The valuation allowance was recorded on a deferred tax asset resulting from a capital loss realized in March 2014 on the sale of an investment. The capital loss is limited to offset future taxable gains which the Company does not anticipate will be generated, resulting in a full valuation allowance. The change in the effective tax rate was also related to non-deductible stock based compensation expense related to foreign earnings due to the acceleration of stock based awards vesting in advance of the Transaction.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40" w:top="449" w:right="2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96"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The tables below present selected unaudited quarterly condensed consolidated statements of operations for our last eight completed fiscal quarters. The information for each of these quarters has been prepared on the same basis as our audited consolidated financial statements appearing elsewhere in this prospectus and, in the opinion of management, includes all adjustments of a normal recurring nature necessary for a fair presentation of the results of operations for these periods. The quarterly results of operations should be read in conjunction with our audited consolidated financial statements and related notes appearing elsewhere in this prospectus. The results for any interim period are not necessarily indicative of the results that may be expected for a full year. Additionally, our historical results are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center"/>
              <w:ind w:right="140"/>
              <w:spacing w:after="0" w:line="121" w:lineRule="exact"/>
              <w:rPr>
                <w:sz w:val="20"/>
                <w:szCs w:val="20"/>
                <w:color w:val="auto"/>
              </w:rPr>
            </w:pPr>
            <w:r>
              <w:rPr>
                <w:rFonts w:ascii="Arial" w:cs="Arial" w:eastAsia="Arial" w:hAnsi="Arial"/>
                <w:sz w:val="13"/>
                <w:szCs w:val="13"/>
                <w:b w:val="1"/>
                <w:bCs w:val="1"/>
                <w:color w:val="auto"/>
                <w:w w:val="99"/>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w w:val="99"/>
              </w:rPr>
              <w:t>THREE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80"/>
              <w:spacing w:after="0" w:line="121" w:lineRule="exact"/>
              <w:rPr>
                <w:sz w:val="20"/>
                <w:szCs w:val="20"/>
                <w:color w:val="auto"/>
              </w:rPr>
            </w:pPr>
            <w:r>
              <w:rPr>
                <w:rFonts w:ascii="Arial" w:cs="Arial" w:eastAsia="Arial" w:hAnsi="Arial"/>
                <w:sz w:val="13"/>
                <w:szCs w:val="13"/>
                <w:b w:val="1"/>
                <w:bCs w:val="1"/>
                <w:color w:val="auto"/>
                <w:w w:val="99"/>
              </w:rPr>
              <w:t>THREE</w:t>
            </w: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3"/>
                <w:szCs w:val="13"/>
                <w:b w:val="1"/>
                <w:bCs w:val="1"/>
                <w:color w:val="auto"/>
                <w:w w:val="99"/>
              </w:rPr>
              <w:t>THREE</w:t>
            </w:r>
          </w:p>
        </w:tc>
        <w:tc>
          <w:tcPr>
            <w:tcW w:w="700" w:type="dxa"/>
            <w:vAlign w:val="bottom"/>
            <w:gridSpan w:val="3"/>
          </w:tcPr>
          <w:p>
            <w:pPr>
              <w:jc w:val="center"/>
              <w:ind w:right="140"/>
              <w:spacing w:after="0" w:line="121" w:lineRule="exact"/>
              <w:rPr>
                <w:sz w:val="20"/>
                <w:szCs w:val="20"/>
                <w:color w:val="auto"/>
              </w:rPr>
            </w:pPr>
            <w:r>
              <w:rPr>
                <w:rFonts w:ascii="Arial" w:cs="Arial" w:eastAsia="Arial" w:hAnsi="Arial"/>
                <w:sz w:val="13"/>
                <w:szCs w:val="13"/>
                <w:b w:val="1"/>
                <w:bCs w:val="1"/>
                <w:color w:val="auto"/>
                <w:w w:val="99"/>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99"/>
              </w:rPr>
              <w:t>THREE</w:t>
            </w:r>
          </w:p>
        </w:tc>
        <w:tc>
          <w:tcPr>
            <w:tcW w:w="140" w:type="dxa"/>
            <w:vAlign w:val="bottom"/>
          </w:tcPr>
          <w:p>
            <w:pPr>
              <w:spacing w:after="0"/>
              <w:rPr>
                <w:sz w:val="10"/>
                <w:szCs w:val="10"/>
                <w:color w:val="auto"/>
              </w:rPr>
            </w:pPr>
          </w:p>
        </w:tc>
        <w:tc>
          <w:tcPr>
            <w:tcW w:w="1080" w:type="dxa"/>
            <w:vAlign w:val="bottom"/>
            <w:gridSpan w:val="2"/>
          </w:tcPr>
          <w:p>
            <w:pPr>
              <w:jc w:val="center"/>
              <w:ind w:right="400"/>
              <w:spacing w:after="0" w:line="121" w:lineRule="exact"/>
              <w:rPr>
                <w:sz w:val="20"/>
                <w:szCs w:val="20"/>
                <w:color w:val="auto"/>
              </w:rPr>
            </w:pPr>
            <w:r>
              <w:rPr>
                <w:rFonts w:ascii="Arial" w:cs="Arial" w:eastAsia="Arial" w:hAnsi="Arial"/>
                <w:sz w:val="13"/>
                <w:szCs w:val="13"/>
                <w:b w:val="1"/>
                <w:bCs w:val="1"/>
                <w:color w:val="auto"/>
                <w:w w:val="99"/>
              </w:rPr>
              <w:t>THREE</w:t>
            </w:r>
          </w:p>
        </w:tc>
        <w:tc>
          <w:tcPr>
            <w:tcW w:w="160" w:type="dxa"/>
            <w:vAlign w:val="bottom"/>
          </w:tcPr>
          <w:p>
            <w:pPr>
              <w:spacing w:after="0"/>
              <w:rPr>
                <w:sz w:val="10"/>
                <w:szCs w:val="10"/>
                <w:color w:val="auto"/>
              </w:rPr>
            </w:pPr>
          </w:p>
        </w:tc>
        <w:tc>
          <w:tcPr>
            <w:tcW w:w="880" w:type="dxa"/>
            <w:vAlign w:val="bottom"/>
          </w:tcPr>
          <w:p>
            <w:pPr>
              <w:jc w:val="center"/>
              <w:ind w:right="91"/>
              <w:spacing w:after="0" w:line="121" w:lineRule="exact"/>
              <w:rPr>
                <w:sz w:val="20"/>
                <w:szCs w:val="20"/>
                <w:color w:val="auto"/>
              </w:rPr>
            </w:pPr>
            <w:r>
              <w:rPr>
                <w:rFonts w:ascii="Arial" w:cs="Arial" w:eastAsia="Arial" w:hAnsi="Arial"/>
                <w:sz w:val="13"/>
                <w:szCs w:val="13"/>
                <w:b w:val="1"/>
                <w:bCs w:val="1"/>
                <w:color w:val="auto"/>
                <w:w w:val="99"/>
              </w:rPr>
              <w:t>THREE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MONTHS</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rPr>
              <w:t>MONTHS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99"/>
              </w:rPr>
              <w:t>MONTHS</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9"/>
              </w:rPr>
              <w:t>MONTHS</w:t>
            </w:r>
          </w:p>
        </w:tc>
        <w:tc>
          <w:tcPr>
            <w:tcW w:w="7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MONTHS</w:t>
            </w:r>
          </w:p>
        </w:tc>
        <w:tc>
          <w:tcPr>
            <w:tcW w:w="100" w:type="dxa"/>
            <w:vAlign w:val="bottom"/>
          </w:tcPr>
          <w:p>
            <w:pPr>
              <w:spacing w:after="0"/>
              <w:rPr>
                <w:sz w:val="12"/>
                <w:szCs w:val="12"/>
                <w:color w:val="auto"/>
              </w:rPr>
            </w:pPr>
          </w:p>
        </w:tc>
        <w:tc>
          <w:tcPr>
            <w:tcW w:w="96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MONTHS</w:t>
            </w: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9"/>
              </w:rPr>
              <w:t>MONTHS</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MONTHS</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rPr>
              <w:t>ENDED</w:t>
            </w: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rPr>
              <w:t>ENDED</w:t>
            </w:r>
          </w:p>
        </w:tc>
        <w:tc>
          <w:tcPr>
            <w:tcW w:w="7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rPr>
              <w:t>ENDED</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44"/>
        </w:trPr>
        <w:tc>
          <w:tcPr>
            <w:tcW w:w="2900" w:type="dxa"/>
            <w:vAlign w:val="bottom"/>
          </w:tcPr>
          <w:p>
            <w:pPr>
              <w:spacing w:after="0" w:line="144" w:lineRule="exact"/>
              <w:rPr>
                <w:sz w:val="20"/>
                <w:szCs w:val="20"/>
                <w:color w:val="auto"/>
              </w:rPr>
            </w:pPr>
            <w:r>
              <w:rPr>
                <w:rFonts w:ascii="Arial" w:cs="Arial" w:eastAsia="Arial" w:hAnsi="Arial"/>
                <w:sz w:val="13"/>
                <w:szCs w:val="13"/>
                <w:b w:val="1"/>
                <w:bCs w:val="1"/>
                <w:color w:val="auto"/>
              </w:rPr>
              <w:t>(In thousands, except per share</w:t>
            </w:r>
          </w:p>
        </w:tc>
        <w:tc>
          <w:tcPr>
            <w:tcW w:w="160" w:type="dxa"/>
            <w:vAlign w:val="bottom"/>
          </w:tcPr>
          <w:p>
            <w:pPr>
              <w:spacing w:after="0"/>
              <w:rPr>
                <w:sz w:val="12"/>
                <w:szCs w:val="12"/>
                <w:color w:val="auto"/>
              </w:rPr>
            </w:pPr>
          </w:p>
        </w:tc>
        <w:tc>
          <w:tcPr>
            <w:tcW w:w="7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2"/>
                <w:szCs w:val="12"/>
                <w:color w:val="auto"/>
              </w:rPr>
            </w:pPr>
          </w:p>
        </w:tc>
        <w:tc>
          <w:tcPr>
            <w:tcW w:w="8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2"/>
                <w:szCs w:val="12"/>
                <w:color w:val="auto"/>
              </w:rPr>
            </w:pPr>
          </w:p>
        </w:tc>
        <w:tc>
          <w:tcPr>
            <w:tcW w:w="12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DECEMBER 31,</w:t>
            </w:r>
          </w:p>
        </w:tc>
        <w:tc>
          <w:tcPr>
            <w:tcW w:w="12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7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2"/>
                <w:szCs w:val="12"/>
                <w:color w:val="auto"/>
              </w:rPr>
            </w:pPr>
          </w:p>
        </w:tc>
        <w:tc>
          <w:tcPr>
            <w:tcW w:w="9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MARCH 31,</w:t>
            </w:r>
          </w:p>
        </w:tc>
        <w:tc>
          <w:tcPr>
            <w:tcW w:w="12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DECEMBER 31,</w:t>
            </w:r>
          </w:p>
        </w:tc>
        <w:tc>
          <w:tcPr>
            <w:tcW w:w="1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data)</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2016</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6"/>
              </w:rPr>
              <w:t>2015</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6"/>
              </w:rPr>
              <w:t>2015</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2015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2015</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6"/>
              </w:rPr>
              <w:t>2014</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9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900" w:type="dxa"/>
            <w:vAlign w:val="bottom"/>
          </w:tcPr>
          <w:p>
            <w:pPr>
              <w:ind w:left="240"/>
              <w:spacing w:after="0" w:line="157" w:lineRule="exact"/>
              <w:rPr>
                <w:sz w:val="20"/>
                <w:szCs w:val="20"/>
                <w:color w:val="auto"/>
              </w:rPr>
            </w:pPr>
            <w:r>
              <w:rPr>
                <w:rFonts w:ascii="Arial" w:cs="Arial" w:eastAsia="Arial" w:hAnsi="Arial"/>
                <w:sz w:val="14"/>
                <w:szCs w:val="14"/>
                <w:color w:val="auto"/>
              </w:rPr>
              <w:t>Service revenue, net</w:t>
            </w:r>
          </w:p>
        </w:tc>
        <w:tc>
          <w:tcPr>
            <w:tcW w:w="2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92,633</w:t>
            </w:r>
          </w:p>
        </w:tc>
        <w:tc>
          <w:tcPr>
            <w:tcW w:w="2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87,800</w:t>
            </w:r>
          </w:p>
        </w:tc>
        <w:tc>
          <w:tcPr>
            <w:tcW w:w="24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85,681</w:t>
            </w: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81,638</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76,752</w:t>
            </w:r>
          </w:p>
        </w:tc>
        <w:tc>
          <w:tcPr>
            <w:tcW w:w="2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76,030</w:t>
            </w:r>
          </w:p>
        </w:tc>
        <w:tc>
          <w:tcPr>
            <w:tcW w:w="14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74,476</w:t>
            </w: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68,773</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Reimbursed out-of-pocket revenue</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13,321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11,786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10,360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10,493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11,102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7,003</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9,278</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0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105,954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99,586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96,041</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92,131</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87,854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83,033</w:t>
            </w:r>
          </w:p>
        </w:tc>
        <w:tc>
          <w:tcPr>
            <w:tcW w:w="14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83,754</w:t>
            </w:r>
          </w:p>
        </w:tc>
        <w:tc>
          <w:tcPr>
            <w:tcW w:w="1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78,837</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40"/>
              <w:spacing w:after="0"/>
              <w:rPr>
                <w:sz w:val="20"/>
                <w:szCs w:val="20"/>
                <w:color w:val="auto"/>
              </w:rPr>
            </w:pPr>
            <w:r>
              <w:rPr>
                <w:rFonts w:ascii="Arial" w:cs="Arial" w:eastAsia="Arial" w:hAnsi="Arial"/>
                <w:sz w:val="14"/>
                <w:szCs w:val="14"/>
                <w:color w:val="auto"/>
              </w:rPr>
              <w:t>Direct costs, excluding depreciation and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500"/>
              <w:spacing w:after="0" w:line="153" w:lineRule="exact"/>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49,234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46,981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44,219</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41,763</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38,600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39,125</w:t>
            </w:r>
          </w:p>
        </w:tc>
        <w:tc>
          <w:tcPr>
            <w:tcW w:w="140" w:type="dxa"/>
            <w:vAlign w:val="bottom"/>
          </w:tcPr>
          <w:p>
            <w:pPr>
              <w:spacing w:after="0"/>
              <w:rPr>
                <w:sz w:val="13"/>
                <w:szCs w:val="13"/>
                <w:color w:val="auto"/>
              </w:rPr>
            </w:pPr>
          </w:p>
        </w:tc>
        <w:tc>
          <w:tcPr>
            <w:tcW w:w="10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39,264</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40,780</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Reimbursed out-of-pocket expenses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13,321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11,786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10,360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10,493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11,102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7,003</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9,278</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157"/>
        </w:trPr>
        <w:tc>
          <w:tcPr>
            <w:tcW w:w="2900" w:type="dxa"/>
            <w:vAlign w:val="bottom"/>
          </w:tcPr>
          <w:p>
            <w:pPr>
              <w:ind w:left="240"/>
              <w:spacing w:after="0" w:line="157" w:lineRule="exact"/>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14,824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13,509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18,255</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15,295</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11,706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11,742</w:t>
            </w:r>
          </w:p>
        </w:tc>
        <w:tc>
          <w:tcPr>
            <w:tcW w:w="140" w:type="dxa"/>
            <w:vAlign w:val="bottom"/>
          </w:tcPr>
          <w:p>
            <w:pPr>
              <w:spacing w:after="0"/>
              <w:rPr>
                <w:sz w:val="13"/>
                <w:szCs w:val="13"/>
                <w:color w:val="auto"/>
              </w:rPr>
            </w:pPr>
          </w:p>
        </w:tc>
        <w:tc>
          <w:tcPr>
            <w:tcW w:w="10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10,247</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10,382</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Acquisition and integration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7"/>
        </w:trPr>
        <w:tc>
          <w:tcPr>
            <w:tcW w:w="2900" w:type="dxa"/>
            <w:vAlign w:val="bottom"/>
          </w:tcPr>
          <w:p>
            <w:pPr>
              <w:ind w:left="240"/>
              <w:spacing w:after="0" w:line="157" w:lineRule="exact"/>
              <w:rPr>
                <w:sz w:val="20"/>
                <w:szCs w:val="20"/>
                <w:color w:val="auto"/>
              </w:rPr>
            </w:pPr>
            <w:r>
              <w:rPr>
                <w:rFonts w:ascii="Arial" w:cs="Arial" w:eastAsia="Arial" w:hAnsi="Arial"/>
                <w:sz w:val="14"/>
                <w:szCs w:val="14"/>
                <w:color w:val="auto"/>
              </w:rPr>
              <w:t>Impairment of goodwill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9,313</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1,658</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1,611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1,573</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1,753</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57"/>
        </w:trPr>
        <w:tc>
          <w:tcPr>
            <w:tcW w:w="2900" w:type="dxa"/>
            <w:vAlign w:val="bottom"/>
          </w:tcPr>
          <w:p>
            <w:pPr>
              <w:ind w:left="240"/>
              <w:spacing w:after="0" w:line="157" w:lineRule="exact"/>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12,668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12,668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13,125</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15,774</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17,042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17,201</w:t>
            </w:r>
          </w:p>
        </w:tc>
        <w:tc>
          <w:tcPr>
            <w:tcW w:w="140" w:type="dxa"/>
            <w:vAlign w:val="bottom"/>
          </w:tcPr>
          <w:p>
            <w:pPr>
              <w:spacing w:after="0"/>
              <w:rPr>
                <w:sz w:val="13"/>
                <w:szCs w:val="13"/>
                <w:color w:val="auto"/>
              </w:rPr>
            </w:pPr>
          </w:p>
        </w:tc>
        <w:tc>
          <w:tcPr>
            <w:tcW w:w="10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18,879</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18,771</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Total operating expenses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91,840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86,717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96,930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84,936</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79,987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76,644</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79,261</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81,442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0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12,869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(889)</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7,195</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7,867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6,389</w:t>
            </w:r>
          </w:p>
        </w:tc>
        <w:tc>
          <w:tcPr>
            <w:tcW w:w="14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4,493</w:t>
            </w:r>
          </w:p>
        </w:tc>
        <w:tc>
          <w:tcPr>
            <w:tcW w:w="1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Other (Expense) Income, Net: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tcPr>
          <w:p>
            <w:pPr>
              <w:ind w:left="240"/>
              <w:spacing w:after="0" w:line="157" w:lineRule="exact"/>
              <w:rPr>
                <w:sz w:val="20"/>
                <w:szCs w:val="20"/>
                <w:color w:val="auto"/>
              </w:rPr>
            </w:pPr>
            <w:r>
              <w:rPr>
                <w:rFonts w:ascii="Arial" w:cs="Arial" w:eastAsia="Arial" w:hAnsi="Arial"/>
                <w:sz w:val="14"/>
                <w:szCs w:val="14"/>
                <w:color w:val="auto"/>
              </w:rPr>
              <w:t>Miscellaneous (expense) income, net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(205)</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(976)</w:t>
            </w:r>
          </w:p>
        </w:tc>
        <w:tc>
          <w:tcPr>
            <w:tcW w:w="140" w:type="dxa"/>
            <w:vAlign w:val="bottom"/>
          </w:tcPr>
          <w:p>
            <w:pPr>
              <w:spacing w:after="0"/>
              <w:rPr>
                <w:sz w:val="13"/>
                <w:szCs w:val="13"/>
                <w:color w:val="auto"/>
              </w:rPr>
            </w:pPr>
          </w:p>
        </w:tc>
        <w:tc>
          <w:tcPr>
            <w:tcW w:w="10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(240)</w:t>
            </w:r>
          </w:p>
        </w:tc>
        <w:tc>
          <w:tcPr>
            <w:tcW w:w="160" w:type="dxa"/>
            <w:vAlign w:val="bottom"/>
          </w:tcPr>
          <w:p>
            <w:pPr>
              <w:spacing w:after="0"/>
              <w:rPr>
                <w:sz w:val="13"/>
                <w:szCs w:val="13"/>
                <w:color w:val="auto"/>
              </w:rPr>
            </w:pPr>
          </w:p>
        </w:tc>
        <w:tc>
          <w:tcPr>
            <w:tcW w:w="9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Net interest (expense) income</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(5,921)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(6,547)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(6,737)</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(6,902)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(7,073)</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(7,184)</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(7,766)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00" w:type="dxa"/>
            <w:vAlign w:val="bottom"/>
          </w:tcPr>
          <w:p>
            <w:pPr>
              <w:ind w:left="500"/>
              <w:spacing w:after="0"/>
              <w:rPr>
                <w:sz w:val="20"/>
                <w:szCs w:val="20"/>
                <w:color w:val="auto"/>
              </w:rPr>
            </w:pPr>
            <w:r>
              <w:rPr>
                <w:rFonts w:ascii="Arial" w:cs="Arial" w:eastAsia="Arial" w:hAnsi="Arial"/>
                <w:sz w:val="14"/>
                <w:szCs w:val="14"/>
                <w:color w:val="auto"/>
              </w:rPr>
              <w:t>Other (expense) income, net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(5,927)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(6,908)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(6,752)</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(6,904)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(8,049)</w:t>
            </w: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(7,424)</w:t>
            </w:r>
          </w:p>
        </w:tc>
        <w:tc>
          <w:tcPr>
            <w:tcW w:w="1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(8,013)</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8,187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5,961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(7,641)</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(1,660)</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(2,931)</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(10,618)</w:t>
            </w:r>
          </w:p>
        </w:tc>
        <w:tc>
          <w:tcPr>
            <w:tcW w:w="0" w:type="dxa"/>
            <w:vAlign w:val="bottom"/>
          </w:tcPr>
          <w:p>
            <w:pPr>
              <w:spacing w:after="0"/>
              <w:rPr>
                <w:sz w:val="1"/>
                <w:szCs w:val="1"/>
                <w:color w:val="auto"/>
              </w:rPr>
            </w:pPr>
          </w:p>
        </w:tc>
      </w:tr>
      <w:tr>
        <w:trPr>
          <w:trHeight w:val="157"/>
        </w:trPr>
        <w:tc>
          <w:tcPr>
            <w:tcW w:w="2900" w:type="dxa"/>
            <w:vAlign w:val="bottom"/>
          </w:tcPr>
          <w:p>
            <w:pPr>
              <w:spacing w:after="0" w:line="157" w:lineRule="exact"/>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3,225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2,513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935</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641</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(1,601)</w:t>
            </w:r>
          </w:p>
        </w:tc>
        <w:tc>
          <w:tcPr>
            <w:tcW w:w="140" w:type="dxa"/>
            <w:vAlign w:val="bottom"/>
          </w:tcPr>
          <w:p>
            <w:pPr>
              <w:spacing w:after="0"/>
              <w:rPr>
                <w:sz w:val="13"/>
                <w:szCs w:val="13"/>
                <w:color w:val="auto"/>
              </w:rPr>
            </w:pPr>
          </w:p>
        </w:tc>
        <w:tc>
          <w:tcPr>
            <w:tcW w:w="10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(1,218)</w:t>
            </w:r>
          </w:p>
        </w:tc>
        <w:tc>
          <w:tcPr>
            <w:tcW w:w="160" w:type="dxa"/>
            <w:vAlign w:val="bottom"/>
          </w:tcPr>
          <w:p>
            <w:pPr>
              <w:spacing w:after="0"/>
              <w:rPr>
                <w:sz w:val="13"/>
                <w:szCs w:val="13"/>
                <w:color w:val="auto"/>
              </w:rPr>
            </w:pPr>
          </w:p>
        </w:tc>
        <w:tc>
          <w:tcPr>
            <w:tcW w:w="9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4,962</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3,448</w:t>
            </w:r>
          </w:p>
        </w:tc>
        <w:tc>
          <w:tcPr>
            <w:tcW w:w="24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(8,576)</w:t>
            </w:r>
          </w:p>
        </w:tc>
        <w:tc>
          <w:tcPr>
            <w:tcW w:w="1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95</w:t>
            </w:r>
          </w:p>
        </w:tc>
        <w:tc>
          <w:tcPr>
            <w:tcW w:w="20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(1,713)</w:t>
            </w:r>
          </w:p>
        </w:tc>
        <w:tc>
          <w:tcPr>
            <w:tcW w:w="1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(7,341)</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share attributable to</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common stockholders: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tcPr>
          <w:p>
            <w:pPr>
              <w:ind w:left="240"/>
              <w:spacing w:after="0" w:line="157" w:lineRule="exact"/>
              <w:rPr>
                <w:sz w:val="20"/>
                <w:szCs w:val="20"/>
                <w:color w:val="auto"/>
              </w:rPr>
            </w:pPr>
            <w:r>
              <w:rPr>
                <w:rFonts w:ascii="Arial" w:cs="Arial" w:eastAsia="Arial" w:hAnsi="Arial"/>
                <w:sz w:val="14"/>
                <w:szCs w:val="14"/>
                <w:color w:val="auto"/>
              </w:rPr>
              <w:t>Basic</w:t>
            </w:r>
          </w:p>
        </w:tc>
        <w:tc>
          <w:tcPr>
            <w:tcW w:w="2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0.15</w:t>
            </w:r>
          </w:p>
        </w:tc>
        <w:tc>
          <w:tcPr>
            <w:tcW w:w="2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0.11</w:t>
            </w:r>
          </w:p>
        </w:tc>
        <w:tc>
          <w:tcPr>
            <w:tcW w:w="24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(0.27)</w:t>
            </w: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(0.00)</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0.00</w:t>
            </w:r>
          </w:p>
        </w:tc>
        <w:tc>
          <w:tcPr>
            <w:tcW w:w="2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(0.00)</w:t>
            </w:r>
          </w:p>
        </w:tc>
        <w:tc>
          <w:tcPr>
            <w:tcW w:w="14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(0.06)</w:t>
            </w: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Diluted</w:t>
            </w:r>
          </w:p>
        </w:tc>
        <w:tc>
          <w:tcPr>
            <w:tcW w:w="26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0.15</w:t>
            </w:r>
          </w:p>
        </w:tc>
        <w:tc>
          <w:tcPr>
            <w:tcW w:w="20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0.11</w:t>
            </w:r>
          </w:p>
        </w:tc>
        <w:tc>
          <w:tcPr>
            <w:tcW w:w="24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(0.27)</w:t>
            </w:r>
          </w:p>
        </w:tc>
        <w:tc>
          <w:tcPr>
            <w:tcW w:w="1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(0.00)</w:t>
            </w:r>
          </w:p>
        </w:tc>
        <w:tc>
          <w:tcPr>
            <w:tcW w:w="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Weighted average common 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40"/>
              <w:spacing w:after="0" w:line="153" w:lineRule="exact"/>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32,636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32,625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31,604</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31,430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31,722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30,969</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30,950</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30,941</w:t>
            </w:r>
          </w:p>
        </w:tc>
        <w:tc>
          <w:tcPr>
            <w:tcW w:w="0" w:type="dxa"/>
            <w:vAlign w:val="bottom"/>
          </w:tcPr>
          <w:p>
            <w:pPr>
              <w:spacing w:after="0"/>
              <w:rPr>
                <w:sz w:val="1"/>
                <w:szCs w:val="1"/>
                <w:color w:val="auto"/>
              </w:rPr>
            </w:pPr>
          </w:p>
        </w:tc>
      </w:tr>
      <w:tr>
        <w:trPr>
          <w:trHeight w:val="173"/>
        </w:trPr>
        <w:tc>
          <w:tcPr>
            <w:tcW w:w="29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32,828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32,625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31,604</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31,430</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31,770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30,969</w:t>
            </w: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30,950</w:t>
            </w: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30,941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49"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reconciliation of net income (loss) to EBITDA,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0"/>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40"/>
              <w:spacing w:after="0" w:line="121" w:lineRule="exact"/>
              <w:rPr>
                <w:sz w:val="20"/>
                <w:szCs w:val="20"/>
                <w:color w:val="auto"/>
              </w:rPr>
            </w:pPr>
            <w:r>
              <w:rPr>
                <w:rFonts w:ascii="Arial" w:cs="Arial" w:eastAsia="Arial" w:hAnsi="Arial"/>
                <w:sz w:val="13"/>
                <w:szCs w:val="13"/>
                <w:b w:val="1"/>
                <w:bCs w:val="1"/>
                <w:color w:val="auto"/>
                <w:w w:val="99"/>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99"/>
              </w:rPr>
              <w:t>THREE</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99"/>
              </w:rPr>
              <w:t>THREE</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9"/>
              </w:rPr>
              <w:t>THREE</w:t>
            </w:r>
          </w:p>
        </w:tc>
        <w:tc>
          <w:tcPr>
            <w:tcW w:w="100" w:type="dxa"/>
            <w:vAlign w:val="bottom"/>
          </w:tcPr>
          <w:p>
            <w:pPr>
              <w:spacing w:after="0"/>
              <w:rPr>
                <w:sz w:val="10"/>
                <w:szCs w:val="10"/>
                <w:color w:val="auto"/>
              </w:rPr>
            </w:pPr>
          </w:p>
        </w:tc>
        <w:tc>
          <w:tcPr>
            <w:tcW w:w="800" w:type="dxa"/>
            <w:vAlign w:val="bottom"/>
            <w:gridSpan w:val="3"/>
          </w:tcPr>
          <w:p>
            <w:pPr>
              <w:jc w:val="center"/>
              <w:ind w:right="240"/>
              <w:spacing w:after="0" w:line="121" w:lineRule="exact"/>
              <w:rPr>
                <w:sz w:val="20"/>
                <w:szCs w:val="20"/>
                <w:color w:val="auto"/>
              </w:rPr>
            </w:pPr>
            <w:r>
              <w:rPr>
                <w:rFonts w:ascii="Arial" w:cs="Arial" w:eastAsia="Arial" w:hAnsi="Arial"/>
                <w:sz w:val="13"/>
                <w:szCs w:val="13"/>
                <w:b w:val="1"/>
                <w:bCs w:val="1"/>
                <w:color w:val="auto"/>
                <w:w w:val="99"/>
              </w:rPr>
              <w:t>THREE</w:t>
            </w:r>
          </w:p>
        </w:tc>
        <w:tc>
          <w:tcPr>
            <w:tcW w:w="10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rPr>
              <w:t>THREE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rPr>
              <w:t>THREE</w:t>
            </w:r>
          </w:p>
        </w:tc>
        <w:tc>
          <w:tcPr>
            <w:tcW w:w="160" w:type="dxa"/>
            <w:vAlign w:val="bottom"/>
          </w:tcPr>
          <w:p>
            <w:pPr>
              <w:spacing w:after="0"/>
              <w:rPr>
                <w:sz w:val="10"/>
                <w:szCs w:val="10"/>
                <w:color w:val="auto"/>
              </w:rPr>
            </w:pPr>
          </w:p>
        </w:tc>
        <w:tc>
          <w:tcPr>
            <w:tcW w:w="880" w:type="dxa"/>
            <w:vAlign w:val="bottom"/>
          </w:tcPr>
          <w:p>
            <w:pPr>
              <w:jc w:val="center"/>
              <w:ind w:right="95"/>
              <w:spacing w:after="0" w:line="121" w:lineRule="exact"/>
              <w:rPr>
                <w:sz w:val="20"/>
                <w:szCs w:val="20"/>
                <w:color w:val="auto"/>
              </w:rPr>
            </w:pPr>
            <w:r>
              <w:rPr>
                <w:rFonts w:ascii="Arial" w:cs="Arial" w:eastAsia="Arial" w:hAnsi="Arial"/>
                <w:sz w:val="13"/>
                <w:szCs w:val="13"/>
                <w:b w:val="1"/>
                <w:bCs w:val="1"/>
                <w:color w:val="auto"/>
                <w:w w:val="99"/>
              </w:rPr>
              <w:t>THREE</w:t>
            </w:r>
          </w:p>
        </w:tc>
        <w:tc>
          <w:tcPr>
            <w:tcW w:w="80" w:type="dxa"/>
            <w:vAlign w:val="bottom"/>
          </w:tcPr>
          <w:p>
            <w:pPr>
              <w:spacing w:after="0"/>
              <w:rPr>
                <w:sz w:val="10"/>
                <w:szCs w:val="10"/>
                <w:color w:val="auto"/>
              </w:rPr>
            </w:pPr>
          </w:p>
        </w:tc>
      </w:tr>
      <w:tr>
        <w:trPr>
          <w:trHeight w:val="144"/>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MONTHS</w:t>
            </w: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rPr>
              <w:t>MONTHS</w:t>
            </w: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9"/>
              </w:rPr>
              <w:t>MONTHS</w:t>
            </w:r>
          </w:p>
        </w:tc>
        <w:tc>
          <w:tcPr>
            <w:tcW w:w="10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MONTHS</w:t>
            </w: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rPr>
              <w:t>MONTHS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MONTHS</w:t>
            </w:r>
          </w:p>
        </w:tc>
      </w:tr>
      <w:tr>
        <w:trPr>
          <w:trHeight w:val="144"/>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rPr>
              <w:t>ENDED</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80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rPr>
              <w:t>ENDED</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rPr>
              <w:t>ENDED</w:t>
            </w:r>
          </w:p>
        </w:tc>
      </w:tr>
      <w:tr>
        <w:trPr>
          <w:trHeight w:val="144"/>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2"/>
                <w:szCs w:val="12"/>
                <w:color w:val="auto"/>
              </w:rPr>
            </w:pPr>
          </w:p>
        </w:tc>
        <w:tc>
          <w:tcPr>
            <w:tcW w:w="9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MARCH 31,</w:t>
            </w:r>
          </w:p>
        </w:tc>
        <w:tc>
          <w:tcPr>
            <w:tcW w:w="12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DECEMBER 31,</w:t>
            </w:r>
          </w:p>
        </w:tc>
        <w:tc>
          <w:tcPr>
            <w:tcW w:w="11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JUNE 30,</w:t>
            </w:r>
          </w:p>
        </w:tc>
        <w:tc>
          <w:tcPr>
            <w:tcW w:w="8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2"/>
                <w:szCs w:val="12"/>
                <w:color w:val="auto"/>
              </w:rPr>
            </w:pPr>
          </w:p>
        </w:tc>
        <w:tc>
          <w:tcPr>
            <w:tcW w:w="12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DECEMBER 31,</w:t>
            </w:r>
          </w:p>
        </w:tc>
        <w:tc>
          <w:tcPr>
            <w:tcW w:w="1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SEPTEMBER 30,</w:t>
            </w:r>
          </w:p>
        </w:tc>
      </w:tr>
      <w:tr>
        <w:trPr>
          <w:trHeight w:val="161"/>
        </w:trPr>
        <w:tc>
          <w:tcPr>
            <w:tcW w:w="31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 thousands, except per share data)</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96"/>
              </w:rPr>
              <w:t>2015</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2015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rPr>
              <w:t>2014</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3"/>
                <w:szCs w:val="13"/>
                <w:color w:val="auto"/>
              </w:rPr>
            </w:pPr>
          </w:p>
        </w:tc>
      </w:tr>
      <w:tr>
        <w:trPr>
          <w:trHeight w:val="124"/>
        </w:trPr>
        <w:tc>
          <w:tcPr>
            <w:tcW w:w="3100" w:type="dxa"/>
            <w:vAlign w:val="bottom"/>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EBITDA and Adjusted EBITDA:</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Net income (loss) as reported</w:t>
            </w:r>
          </w:p>
        </w:tc>
        <w:tc>
          <w:tcPr>
            <w:tcW w:w="2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4,962</w:t>
            </w:r>
          </w:p>
        </w:tc>
        <w:tc>
          <w:tcPr>
            <w:tcW w:w="2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3,448</w:t>
            </w:r>
          </w:p>
        </w:tc>
        <w:tc>
          <w:tcPr>
            <w:tcW w:w="1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(8,576)</w:t>
            </w:r>
          </w:p>
        </w:tc>
        <w:tc>
          <w:tcPr>
            <w:tcW w:w="16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(133)</w:t>
            </w:r>
          </w:p>
        </w:tc>
        <w:tc>
          <w:tcPr>
            <w:tcW w:w="2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95</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(59)</w:t>
            </w:r>
          </w:p>
        </w:tc>
        <w:tc>
          <w:tcPr>
            <w:tcW w:w="22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(1,713)</w:t>
            </w:r>
          </w:p>
        </w:tc>
        <w:tc>
          <w:tcPr>
            <w:tcW w:w="16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(7,341)</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Interest expense, net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5,921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5,973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6,547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6,902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7,073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7,184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7,766</w:t>
            </w: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Income tax provision (benefit)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3,225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2,513</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935</w:t>
            </w:r>
          </w:p>
        </w:tc>
        <w:tc>
          <w:tcPr>
            <w:tcW w:w="160" w:type="dxa"/>
            <w:vAlign w:val="bottom"/>
          </w:tcPr>
          <w:p>
            <w:pPr>
              <w:spacing w:after="0"/>
              <w:rPr>
                <w:sz w:val="12"/>
                <w:szCs w:val="12"/>
                <w:color w:val="auto"/>
              </w:rPr>
            </w:pPr>
          </w:p>
        </w:tc>
        <w:tc>
          <w:tcPr>
            <w:tcW w:w="10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868</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(1,601)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(1,218)</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(3,277)</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Depreciation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1,793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1,773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1,658</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1,537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1,753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1,395</w:t>
            </w: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Amortization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12,668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12,668</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13,125</w:t>
            </w:r>
          </w:p>
        </w:tc>
        <w:tc>
          <w:tcPr>
            <w:tcW w:w="16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15,774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17,042</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17,201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18,879</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18,771</w:t>
            </w:r>
          </w:p>
        </w:tc>
      </w:tr>
      <w:tr>
        <w:trPr>
          <w:trHeight w:val="26"/>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EBITDA</w:t>
            </w:r>
          </w:p>
        </w:tc>
        <w:tc>
          <w:tcPr>
            <w:tcW w:w="2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28,569</w:t>
            </w:r>
          </w:p>
        </w:tc>
        <w:tc>
          <w:tcPr>
            <w:tcW w:w="2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26,375</w:t>
            </w:r>
          </w:p>
        </w:tc>
        <w:tc>
          <w:tcPr>
            <w:tcW w:w="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13,689</w:t>
            </w:r>
          </w:p>
        </w:tc>
        <w:tc>
          <w:tcPr>
            <w:tcW w:w="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24,630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26,444</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24,187</w:t>
            </w:r>
          </w:p>
        </w:tc>
        <w:tc>
          <w:tcPr>
            <w:tcW w:w="22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24,885</w:t>
            </w:r>
          </w:p>
        </w:tc>
        <w:tc>
          <w:tcPr>
            <w:tcW w:w="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17,314</w:t>
            </w:r>
          </w:p>
        </w:tc>
      </w:tr>
      <w:tr>
        <w:trPr>
          <w:trHeight w:val="150"/>
        </w:trPr>
        <w:tc>
          <w:tcPr>
            <w:tcW w:w="3100" w:type="dxa"/>
            <w:vAlign w:val="bottom"/>
          </w:tcPr>
          <w:p>
            <w:pPr>
              <w:spacing w:after="0"/>
              <w:rPr>
                <w:sz w:val="20"/>
                <w:szCs w:val="20"/>
                <w:color w:val="auto"/>
              </w:rPr>
            </w:pPr>
            <w:r>
              <w:rPr>
                <w:rFonts w:ascii="Arial" w:cs="Arial" w:eastAsia="Arial" w:hAnsi="Arial"/>
                <w:sz w:val="13"/>
                <w:szCs w:val="13"/>
                <w:color w:val="auto"/>
              </w:rPr>
              <w:t>Stock compensation expense: liability awards mark-</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3100" w:type="dxa"/>
            <w:vAlign w:val="bottom"/>
          </w:tcPr>
          <w:p>
            <w:pPr>
              <w:ind w:left="240"/>
              <w:spacing w:after="0" w:line="145" w:lineRule="exact"/>
              <w:rPr>
                <w:sz w:val="20"/>
                <w:szCs w:val="20"/>
                <w:color w:val="auto"/>
              </w:rPr>
            </w:pPr>
            <w:r>
              <w:rPr>
                <w:rFonts w:ascii="Arial" w:cs="Arial" w:eastAsia="Arial" w:hAnsi="Arial"/>
                <w:sz w:val="13"/>
                <w:szCs w:val="13"/>
                <w:color w:val="auto"/>
              </w:rPr>
              <w:t>to-market and CEO award</w:t>
            </w:r>
            <w:r>
              <w:rPr>
                <w:rFonts w:ascii="Arial" w:cs="Arial" w:eastAsia="Arial" w:hAnsi="Arial"/>
                <w:sz w:val="11"/>
                <w:szCs w:val="11"/>
                <w:color w:val="auto"/>
              </w:rPr>
              <w: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2,576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4,681</w:t>
            </w:r>
          </w:p>
        </w:tc>
        <w:tc>
          <w:tcPr>
            <w:tcW w:w="16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3"/>
                <w:szCs w:val="13"/>
                <w:color w:val="auto"/>
              </w:rPr>
              <w:t>5,111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(185)</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Private equity transaction related cost</w:t>
            </w:r>
            <w:r>
              <w:rPr>
                <w:rFonts w:ascii="Arial" w:cs="Arial" w:eastAsia="Arial" w:hAnsi="Arial"/>
                <w:sz w:val="11"/>
                <w:szCs w:val="11"/>
                <w:color w:val="auto"/>
              </w:rPr>
              <w:t>(b)</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(160)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50</w:t>
            </w: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Corporate campus lease payments</w:t>
            </w:r>
            <w:r>
              <w:rPr>
                <w:rFonts w:ascii="Arial" w:cs="Arial" w:eastAsia="Arial" w:hAnsi="Arial"/>
                <w:sz w:val="11"/>
                <w:szCs w:val="11"/>
                <w:color w:val="auto"/>
              </w:rPr>
              <w:t>(c)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(930)</w:t>
            </w: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(930)</w:t>
            </w:r>
          </w:p>
        </w:tc>
        <w:tc>
          <w:tcPr>
            <w:tcW w:w="160" w:type="dxa"/>
            <w:vAlign w:val="bottom"/>
          </w:tcPr>
          <w:p>
            <w:pPr>
              <w:spacing w:after="0"/>
              <w:rPr>
                <w:sz w:val="12"/>
                <w:szCs w:val="12"/>
                <w:color w:val="auto"/>
              </w:rPr>
            </w:pPr>
          </w:p>
        </w:tc>
        <w:tc>
          <w:tcPr>
            <w:tcW w:w="10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(930)</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(930)</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(925)</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Litigation matters</w:t>
            </w:r>
            <w:r>
              <w:rPr>
                <w:rFonts w:ascii="Arial" w:cs="Arial" w:eastAsia="Arial" w:hAnsi="Arial"/>
                <w:sz w:val="11"/>
                <w:szCs w:val="11"/>
                <w:color w:val="auto"/>
              </w:rPr>
              <w:t>(d)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(391)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410</w:t>
            </w: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Impairment of goodwill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9,313</w:t>
            </w:r>
          </w:p>
        </w:tc>
        <w:tc>
          <w:tcPr>
            <w:tcW w:w="160" w:type="dxa"/>
            <w:vAlign w:val="bottom"/>
          </w:tcPr>
          <w:p>
            <w:pPr>
              <w:spacing w:after="0"/>
              <w:rPr>
                <w:sz w:val="12"/>
                <w:szCs w:val="12"/>
                <w:color w:val="auto"/>
              </w:rPr>
            </w:pPr>
          </w:p>
        </w:tc>
        <w:tc>
          <w:tcPr>
            <w:tcW w:w="10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transaction expenses</w:t>
            </w:r>
            <w:r>
              <w:rPr>
                <w:rFonts w:ascii="Arial" w:cs="Arial" w:eastAsia="Arial" w:hAnsi="Arial"/>
                <w:sz w:val="11"/>
                <w:szCs w:val="11"/>
                <w:color w:val="auto"/>
              </w:rPr>
              <w:t>(f)</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314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100" w:type="dxa"/>
            <w:vAlign w:val="bottom"/>
          </w:tcPr>
          <w:p>
            <w:pPr>
              <w:spacing w:after="0"/>
              <w:rPr>
                <w:sz w:val="20"/>
                <w:szCs w:val="20"/>
                <w:color w:val="auto"/>
              </w:rPr>
            </w:pPr>
            <w:r>
              <w:rPr>
                <w:rFonts w:ascii="Arial" w:cs="Arial" w:eastAsia="Arial" w:hAnsi="Arial"/>
                <w:sz w:val="13"/>
                <w:szCs w:val="13"/>
                <w:color w:val="auto"/>
              </w:rPr>
              <w:t>Adjusted EBITDA</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30,668</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25,759</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26,781</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26,050</w:t>
            </w:r>
          </w:p>
        </w:tc>
        <w:tc>
          <w:tcPr>
            <w:tcW w:w="12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24,938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23,447</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24,002</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16,849</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6"/>
        </w:trPr>
        <w:tc>
          <w:tcPr>
            <w:tcW w:w="310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Adjusted Net Income:</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Net income (loss) as reported</w:t>
            </w:r>
          </w:p>
        </w:tc>
        <w:tc>
          <w:tcPr>
            <w:tcW w:w="2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4,962</w:t>
            </w:r>
          </w:p>
        </w:tc>
        <w:tc>
          <w:tcPr>
            <w:tcW w:w="2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3,448</w:t>
            </w:r>
          </w:p>
        </w:tc>
        <w:tc>
          <w:tcPr>
            <w:tcW w:w="1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(8,576)</w:t>
            </w:r>
          </w:p>
        </w:tc>
        <w:tc>
          <w:tcPr>
            <w:tcW w:w="16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(133)</w:t>
            </w:r>
          </w:p>
        </w:tc>
        <w:tc>
          <w:tcPr>
            <w:tcW w:w="2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95</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(59)</w:t>
            </w:r>
          </w:p>
        </w:tc>
        <w:tc>
          <w:tcPr>
            <w:tcW w:w="22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(1,713)</w:t>
            </w:r>
          </w:p>
        </w:tc>
        <w:tc>
          <w:tcPr>
            <w:tcW w:w="16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(7,341)</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Amortization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12,668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12,668</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13,125</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15,774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17,042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17,201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18,879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18,771</w:t>
            </w:r>
          </w:p>
        </w:tc>
      </w:tr>
      <w:tr>
        <w:trPr>
          <w:trHeight w:val="143"/>
        </w:trPr>
        <w:tc>
          <w:tcPr>
            <w:tcW w:w="3100" w:type="dxa"/>
            <w:vAlign w:val="bottom"/>
          </w:tcPr>
          <w:p>
            <w:pPr>
              <w:spacing w:after="0" w:line="144" w:lineRule="exact"/>
              <w:rPr>
                <w:sz w:val="20"/>
                <w:szCs w:val="20"/>
                <w:color w:val="auto"/>
              </w:rPr>
            </w:pPr>
            <w:r>
              <w:rPr>
                <w:rFonts w:ascii="Arial" w:cs="Arial" w:eastAsia="Arial" w:hAnsi="Arial"/>
                <w:sz w:val="13"/>
                <w:szCs w:val="13"/>
                <w:color w:val="auto"/>
              </w:rPr>
              <w:t>Stock compensation expense: liability awards mark-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3100" w:type="dxa"/>
            <w:vAlign w:val="bottom"/>
          </w:tcPr>
          <w:p>
            <w:pPr>
              <w:ind w:left="240"/>
              <w:spacing w:after="0" w:line="145" w:lineRule="exact"/>
              <w:rPr>
                <w:sz w:val="20"/>
                <w:szCs w:val="20"/>
                <w:color w:val="auto"/>
              </w:rPr>
            </w:pPr>
            <w:r>
              <w:rPr>
                <w:rFonts w:ascii="Arial" w:cs="Arial" w:eastAsia="Arial" w:hAnsi="Arial"/>
                <w:sz w:val="13"/>
                <w:szCs w:val="13"/>
                <w:color w:val="auto"/>
              </w:rPr>
              <w:t>to-market and CEO award</w:t>
            </w:r>
            <w:r>
              <w:rPr>
                <w:rFonts w:ascii="Arial" w:cs="Arial" w:eastAsia="Arial" w:hAnsi="Arial"/>
                <w:sz w:val="11"/>
                <w:szCs w:val="11"/>
                <w:color w:val="auto"/>
              </w:rPr>
              <w: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2,576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4,681</w:t>
            </w:r>
          </w:p>
        </w:tc>
        <w:tc>
          <w:tcPr>
            <w:tcW w:w="16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3"/>
                <w:szCs w:val="13"/>
                <w:color w:val="auto"/>
              </w:rPr>
              <w:t>5,111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(185)</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Private equity transaction related cost</w:t>
            </w:r>
            <w:r>
              <w:rPr>
                <w:rFonts w:ascii="Arial" w:cs="Arial" w:eastAsia="Arial" w:hAnsi="Arial"/>
                <w:sz w:val="11"/>
                <w:szCs w:val="11"/>
                <w:color w:val="auto"/>
              </w:rPr>
              <w:t>(b)</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(160)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50</w:t>
            </w:r>
          </w:p>
        </w:tc>
      </w:tr>
      <w:tr>
        <w:trPr>
          <w:trHeight w:val="143"/>
        </w:trPr>
        <w:tc>
          <w:tcPr>
            <w:tcW w:w="3100" w:type="dxa"/>
            <w:vAlign w:val="bottom"/>
          </w:tcPr>
          <w:p>
            <w:pPr>
              <w:spacing w:after="0" w:line="144" w:lineRule="exact"/>
              <w:rPr>
                <w:sz w:val="20"/>
                <w:szCs w:val="20"/>
                <w:color w:val="auto"/>
              </w:rPr>
            </w:pPr>
            <w:r>
              <w:rPr>
                <w:rFonts w:ascii="Arial" w:cs="Arial" w:eastAsia="Arial" w:hAnsi="Arial"/>
                <w:sz w:val="13"/>
                <w:szCs w:val="13"/>
                <w:color w:val="auto"/>
              </w:rPr>
              <w:t>Corporate campus lease payments—principal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3100" w:type="dxa"/>
            <w:vAlign w:val="bottom"/>
          </w:tcPr>
          <w:p>
            <w:pPr>
              <w:ind w:left="240"/>
              <w:spacing w:after="0" w:line="145" w:lineRule="exact"/>
              <w:rPr>
                <w:sz w:val="20"/>
                <w:szCs w:val="20"/>
                <w:color w:val="auto"/>
              </w:rPr>
            </w:pPr>
            <w:r>
              <w:rPr>
                <w:rFonts w:ascii="Arial" w:cs="Arial" w:eastAsia="Arial" w:hAnsi="Arial"/>
                <w:sz w:val="13"/>
                <w:szCs w:val="13"/>
                <w:color w:val="auto"/>
              </w:rPr>
              <w:t>portion</w:t>
            </w:r>
            <w:r>
              <w:rPr>
                <w:rFonts w:ascii="Arial" w:cs="Arial" w:eastAsia="Arial" w:hAnsi="Arial"/>
                <w:sz w:val="11"/>
                <w:szCs w:val="11"/>
                <w:color w:val="auto"/>
              </w:rPr>
              <w:t>(c)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(369)</w:t>
            </w: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(362)</w:t>
            </w:r>
          </w:p>
        </w:tc>
        <w:tc>
          <w:tcPr>
            <w:tcW w:w="160" w:type="dxa"/>
            <w:vAlign w:val="bottom"/>
          </w:tcPr>
          <w:p>
            <w:pPr>
              <w:spacing w:after="0"/>
              <w:rPr>
                <w:sz w:val="12"/>
                <w:szCs w:val="12"/>
                <w:color w:val="auto"/>
              </w:rPr>
            </w:pPr>
          </w:p>
        </w:tc>
        <w:tc>
          <w:tcPr>
            <w:tcW w:w="10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(347)</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(930)</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(201)</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Litigation matters</w:t>
            </w:r>
            <w:r>
              <w:rPr>
                <w:rFonts w:ascii="Arial" w:cs="Arial" w:eastAsia="Arial" w:hAnsi="Arial"/>
                <w:sz w:val="11"/>
                <w:szCs w:val="11"/>
                <w:color w:val="auto"/>
              </w:rPr>
              <w:t>(d)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(391)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410</w:t>
            </w: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Impairment of goodwill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9,313</w:t>
            </w:r>
          </w:p>
        </w:tc>
        <w:tc>
          <w:tcPr>
            <w:tcW w:w="160" w:type="dxa"/>
            <w:vAlign w:val="bottom"/>
          </w:tcPr>
          <w:p>
            <w:pPr>
              <w:spacing w:after="0"/>
              <w:rPr>
                <w:sz w:val="12"/>
                <w:szCs w:val="12"/>
                <w:color w:val="auto"/>
              </w:rPr>
            </w:pPr>
          </w:p>
        </w:tc>
        <w:tc>
          <w:tcPr>
            <w:tcW w:w="10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Deferred financing fees</w:t>
            </w:r>
            <w:r>
              <w:rPr>
                <w:rFonts w:ascii="Arial" w:cs="Arial" w:eastAsia="Arial" w:hAnsi="Arial"/>
                <w:sz w:val="11"/>
                <w:szCs w:val="11"/>
                <w:color w:val="auto"/>
              </w:rPr>
              <w:t>(e)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672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679</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673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681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710</w:t>
            </w: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3"/>
                <w:szCs w:val="13"/>
                <w:color w:val="auto"/>
              </w:rPr>
              <w:t>Other transaction expenses</w:t>
            </w:r>
            <w:r>
              <w:rPr>
                <w:rFonts w:ascii="Arial" w:cs="Arial" w:eastAsia="Arial" w:hAnsi="Arial"/>
                <w:sz w:val="11"/>
                <w:szCs w:val="11"/>
                <w:color w:val="auto"/>
              </w:rPr>
              <w:t>(f)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314</w:t>
            </w: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Income tax effect of adjustments (39.0%)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(6,238)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(5,181)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(10,711)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(7,196)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(6,549)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(6,949)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(7,284)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(7,699)</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100" w:type="dxa"/>
            <w:vAlign w:val="bottom"/>
          </w:tcPr>
          <w:p>
            <w:pPr>
              <w:spacing w:after="0"/>
              <w:rPr>
                <w:sz w:val="20"/>
                <w:szCs w:val="20"/>
                <w:color w:val="auto"/>
              </w:rPr>
            </w:pPr>
            <w:r>
              <w:rPr>
                <w:rFonts w:ascii="Arial" w:cs="Arial" w:eastAsia="Arial" w:hAnsi="Arial"/>
                <w:sz w:val="13"/>
                <w:szCs w:val="13"/>
                <w:color w:val="auto"/>
              </w:rPr>
              <w:t>Adjusted Net Income</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14,719</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11,552</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8,177</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11,121</w:t>
            </w:r>
          </w:p>
        </w:tc>
        <w:tc>
          <w:tcPr>
            <w:tcW w:w="12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10,338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10,809</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9,680</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4,700</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6"/>
        </w:trPr>
        <w:tc>
          <w:tcPr>
            <w:tcW w:w="31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Diluted Adjusted Net Income per share</w:t>
            </w:r>
          </w:p>
        </w:tc>
        <w:tc>
          <w:tcPr>
            <w:tcW w:w="2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0.45</w:t>
            </w:r>
          </w:p>
        </w:tc>
        <w:tc>
          <w:tcPr>
            <w:tcW w:w="2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color w:val="auto"/>
              </w:rPr>
              <w:t>0.35</w:t>
            </w:r>
          </w:p>
        </w:tc>
        <w:tc>
          <w:tcPr>
            <w:tcW w:w="1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color w:val="auto"/>
              </w:rPr>
              <w:t>0.26</w:t>
            </w:r>
          </w:p>
        </w:tc>
        <w:tc>
          <w:tcPr>
            <w:tcW w:w="1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0.35</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color w:val="auto"/>
              </w:rPr>
              <w:t>0.33</w:t>
            </w:r>
          </w:p>
        </w:tc>
        <w:tc>
          <w:tcPr>
            <w:tcW w:w="1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color w:val="auto"/>
              </w:rPr>
              <w:t>0.35</w:t>
            </w:r>
          </w:p>
        </w:tc>
        <w:tc>
          <w:tcPr>
            <w:tcW w:w="220" w:type="dxa"/>
            <w:vAlign w:val="bottom"/>
            <w:gridSpan w:val="2"/>
            <w:shd w:val="clear" w:color="auto" w:fill="CCEEFF"/>
          </w:tcPr>
          <w:p>
            <w:pPr>
              <w:ind w:left="80"/>
              <w:spacing w:after="0" w:line="137"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color w:val="auto"/>
              </w:rPr>
              <w:t>0.31</w:t>
            </w:r>
          </w:p>
        </w:tc>
        <w:tc>
          <w:tcPr>
            <w:tcW w:w="16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color w:val="auto"/>
              </w:rPr>
              <w:t>0.15</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Diluted average common shares outstanding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32,828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32,625</w:t>
            </w: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31,604</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31,430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31,770</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30,969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30,950</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30,941</w:t>
            </w:r>
          </w:p>
        </w:tc>
      </w:tr>
      <w:tr>
        <w:trPr>
          <w:trHeight w:val="197"/>
        </w:trPr>
        <w:tc>
          <w:tcPr>
            <w:tcW w:w="3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bl>
    <w:p>
      <w:pPr>
        <w:spacing w:after="0" w:line="240" w:lineRule="exact"/>
        <w:rPr>
          <w:sz w:val="20"/>
          <w:szCs w:val="20"/>
          <w:color w:val="auto"/>
        </w:rPr>
      </w:pPr>
    </w:p>
    <w:p>
      <w:pPr>
        <w:ind w:left="800" w:right="60" w:hanging="298"/>
        <w:spacing w:after="0" w:line="193" w:lineRule="auto"/>
        <w:tabs>
          <w:tab w:leader="none" w:pos="80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are expected to be classified as equity for accounting purposes and will not be subject to period ending fair value adjustments.</w:t>
      </w:r>
    </w:p>
    <w:p>
      <w:pPr>
        <w:spacing w:after="0" w:line="1" w:lineRule="exact"/>
        <w:rPr>
          <w:rFonts w:ascii="Arial" w:cs="Arial" w:eastAsia="Arial" w:hAnsi="Arial"/>
          <w:sz w:val="24"/>
          <w:szCs w:val="24"/>
          <w:color w:val="auto"/>
          <w:vertAlign w:val="superscript"/>
        </w:rPr>
      </w:pPr>
    </w:p>
    <w:p>
      <w:pPr>
        <w:ind w:left="800" w:hanging="298"/>
        <w:spacing w:after="0" w:line="186" w:lineRule="auto"/>
        <w:tabs>
          <w:tab w:leader="none" w:pos="800" w:val="left"/>
        </w:tabs>
        <w:numPr>
          <w:ilvl w:val="0"/>
          <w:numId w:val="47"/>
        </w:numPr>
        <w:rPr>
          <w:rFonts w:ascii="Arial" w:cs="Arial" w:eastAsia="Arial" w:hAnsi="Arial"/>
          <w:sz w:val="22"/>
          <w:szCs w:val="22"/>
          <w:color w:val="auto"/>
          <w:vertAlign w:val="superscript"/>
        </w:rPr>
      </w:pPr>
      <w:r>
        <w:rPr>
          <w:rFonts w:ascii="Arial" w:cs="Arial" w:eastAsia="Arial" w:hAnsi="Arial"/>
          <w:sz w:val="13"/>
          <w:szCs w:val="13"/>
          <w:color w:val="auto"/>
        </w:rPr>
        <w:t>Represents attorney fees, advisory fees and other professional service fees incurred in connection with the Transaction.</w:t>
      </w:r>
    </w:p>
    <w:p>
      <w:pPr>
        <w:spacing w:after="0" w:line="28" w:lineRule="exact"/>
        <w:rPr>
          <w:rFonts w:ascii="Arial" w:cs="Arial" w:eastAsia="Arial" w:hAnsi="Arial"/>
          <w:sz w:val="22"/>
          <w:szCs w:val="22"/>
          <w:color w:val="auto"/>
          <w:vertAlign w:val="superscript"/>
        </w:rPr>
      </w:pPr>
    </w:p>
    <w:p>
      <w:pPr>
        <w:ind w:left="800" w:right="60" w:hanging="291"/>
        <w:spacing w:after="0" w:line="207" w:lineRule="auto"/>
        <w:tabs>
          <w:tab w:leader="none" w:pos="80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spacing w:after="0" w:line="3" w:lineRule="exact"/>
        <w:rPr>
          <w:rFonts w:ascii="Arial" w:cs="Arial" w:eastAsia="Arial" w:hAnsi="Arial"/>
          <w:sz w:val="24"/>
          <w:szCs w:val="24"/>
          <w:color w:val="auto"/>
          <w:vertAlign w:val="superscript"/>
        </w:rPr>
      </w:pPr>
    </w:p>
    <w:p>
      <w:pPr>
        <w:ind w:left="800" w:hanging="298"/>
        <w:spacing w:after="0" w:line="186" w:lineRule="auto"/>
        <w:tabs>
          <w:tab w:leader="none" w:pos="800" w:val="left"/>
        </w:tabs>
        <w:numPr>
          <w:ilvl w:val="0"/>
          <w:numId w:val="47"/>
        </w:numPr>
        <w:rPr>
          <w:rFonts w:ascii="Arial" w:cs="Arial" w:eastAsia="Arial" w:hAnsi="Arial"/>
          <w:sz w:val="22"/>
          <w:szCs w:val="22"/>
          <w:color w:val="auto"/>
          <w:vertAlign w:val="superscript"/>
        </w:rPr>
      </w:pPr>
      <w:r>
        <w:rPr>
          <w:rFonts w:ascii="Arial" w:cs="Arial" w:eastAsia="Arial" w:hAnsi="Arial"/>
          <w:sz w:val="13"/>
          <w:szCs w:val="13"/>
          <w:color w:val="auto"/>
        </w:rPr>
        <w:t>Represents non-recurring costs and recovery related to a customer bad debt and non-recurring expenses related to the settlement of an employment related matter.</w:t>
      </w:r>
    </w:p>
    <w:p>
      <w:pPr>
        <w:spacing w:after="0" w:line="28" w:lineRule="exact"/>
        <w:rPr>
          <w:rFonts w:ascii="Arial" w:cs="Arial" w:eastAsia="Arial" w:hAnsi="Arial"/>
          <w:sz w:val="22"/>
          <w:szCs w:val="22"/>
          <w:color w:val="auto"/>
          <w:vertAlign w:val="superscript"/>
        </w:rPr>
      </w:pPr>
    </w:p>
    <w:p>
      <w:pPr>
        <w:ind w:left="800" w:hanging="259"/>
        <w:spacing w:after="0" w:line="184" w:lineRule="auto"/>
        <w:tabs>
          <w:tab w:leader="none" w:pos="800" w:val="left"/>
        </w:tabs>
        <w:numPr>
          <w:ilvl w:val="1"/>
          <w:numId w:val="47"/>
        </w:numPr>
        <w:rPr>
          <w:rFonts w:ascii="Arial" w:cs="Arial" w:eastAsia="Arial" w:hAnsi="Arial"/>
          <w:sz w:val="19"/>
          <w:szCs w:val="19"/>
          <w:color w:val="auto"/>
          <w:vertAlign w:val="superscript"/>
        </w:rPr>
      </w:pPr>
      <w:r>
        <w:rPr>
          <w:rFonts w:ascii="Arial" w:cs="Arial" w:eastAsia="Arial" w:hAnsi="Arial"/>
          <w:sz w:val="12"/>
          <w:szCs w:val="12"/>
          <w:color w:val="auto"/>
        </w:rPr>
        <w:t>Represents amortization of the discount and issuance costs deferred on the consolidated balance sheet associated with the issuance of the Senior Secured Credit Facility.</w:t>
      </w:r>
    </w:p>
    <w:p>
      <w:pPr>
        <w:spacing w:after="0" w:line="28" w:lineRule="exact"/>
        <w:rPr>
          <w:rFonts w:ascii="Arial" w:cs="Arial" w:eastAsia="Arial" w:hAnsi="Arial"/>
          <w:sz w:val="19"/>
          <w:szCs w:val="19"/>
          <w:color w:val="auto"/>
          <w:vertAlign w:val="superscript"/>
        </w:rPr>
      </w:pPr>
    </w:p>
    <w:p>
      <w:pPr>
        <w:ind w:left="800" w:hanging="265"/>
        <w:spacing w:after="0" w:line="184" w:lineRule="auto"/>
        <w:tabs>
          <w:tab w:leader="none" w:pos="800" w:val="left"/>
        </w:tabs>
        <w:numPr>
          <w:ilvl w:val="1"/>
          <w:numId w:val="47"/>
        </w:numPr>
        <w:rPr>
          <w:rFonts w:ascii="Arial" w:cs="Arial" w:eastAsia="Arial" w:hAnsi="Arial"/>
          <w:sz w:val="19"/>
          <w:szCs w:val="19"/>
          <w:color w:val="auto"/>
          <w:vertAlign w:val="superscript"/>
        </w:rPr>
      </w:pPr>
      <w:r>
        <w:rPr>
          <w:rFonts w:ascii="Arial" w:cs="Arial" w:eastAsia="Arial" w:hAnsi="Arial"/>
          <w:sz w:val="12"/>
          <w:szCs w:val="12"/>
          <w:color w:val="auto"/>
        </w:rPr>
        <w:t>Represents advisory costs and other fees related to this offering.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49"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June 30, 2016, we had cash and cash equivalents of $17.0 million, including approximately $3.4 million of restricted cash, primarily related to advanced payments received pursuant to certain sponsor contracts. Approximately $5.8 million of our cash and cash equivalents, none of which was restricted, was held by our foreign subsidiaries as of June 30, 2016. Additionally, as of June 30, 2016, we had $60.0 million available for borrowing under our Senior Secured Revolving Credit Facility.</w:t>
      </w:r>
    </w:p>
    <w:p>
      <w:pPr>
        <w:spacing w:after="0" w:line="143"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Our expected primary cash needs on both a short and long-term basis are for investment in operational growth, capital expenditures, payment of debt and other general corporate purposes. We have historically funded our operations and growth, including acquisitions, with cash flow from operations and borrowings under our credit facilities. We expect to continue expanding our operations through organic growth and selective strategic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w:t>
      </w:r>
    </w:p>
    <w:p>
      <w:pPr>
        <w:spacing w:after="0" w:line="14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believe that our sources of liquidity and capital will be sufficient to finance our investment in operational growth, capital expenditures, payment of debt, selective strategic bolt-on acquisitions, other investments, additional expenses we expect to incur as a public company and other general corporate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80"/>
          </w:cols>
          <w:pgMar w:left="240" w:top="449" w:right="2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SUCCESSOR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THREE</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MONTH</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rPr>
              <w:t>NINE MONTH</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6"/>
              </w:rPr>
              <w:t>FROM</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SIX</w:t>
            </w:r>
          </w:p>
        </w:tc>
        <w:tc>
          <w:tcPr>
            <w:tcW w:w="980" w:type="dxa"/>
            <w:vAlign w:val="bottom"/>
            <w:gridSpan w:val="2"/>
          </w:tcPr>
          <w:p>
            <w:pPr>
              <w:jc w:val="center"/>
              <w:ind w:right="250"/>
              <w:spacing w:after="0" w:line="157" w:lineRule="exact"/>
              <w:rPr>
                <w:sz w:val="20"/>
                <w:szCs w:val="20"/>
                <w:color w:val="auto"/>
              </w:rPr>
            </w:pPr>
            <w:r>
              <w:rPr>
                <w:rFonts w:ascii="Arial" w:cs="Arial" w:eastAsia="Arial" w:hAnsi="Arial"/>
                <w:sz w:val="14"/>
                <w:szCs w:val="14"/>
                <w:b w:val="1"/>
                <w:bCs w:val="1"/>
                <w:color w:val="auto"/>
                <w:w w:val="97"/>
              </w:rPr>
              <w:t>SIX</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PERIOD FROM</w:t>
            </w:r>
          </w:p>
        </w:tc>
        <w:tc>
          <w:tcPr>
            <w:tcW w:w="18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JANUARY 1,</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MONTHS</w:t>
            </w:r>
          </w:p>
        </w:tc>
        <w:tc>
          <w:tcPr>
            <w:tcW w:w="980" w:type="dxa"/>
            <w:vAlign w:val="bottom"/>
            <w:gridSpan w:val="2"/>
          </w:tcPr>
          <w:p>
            <w:pPr>
              <w:jc w:val="center"/>
              <w:ind w:right="250"/>
              <w:spacing w:after="0" w:line="157" w:lineRule="exact"/>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APRIL 1, 2014</w:t>
            </w:r>
          </w:p>
        </w:tc>
        <w:tc>
          <w:tcPr>
            <w:tcW w:w="18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250"/>
              <w:spacing w:after="0" w:line="157" w:lineRule="exact"/>
              <w:rPr>
                <w:sz w:val="20"/>
                <w:szCs w:val="20"/>
                <w:color w:val="auto"/>
              </w:rPr>
            </w:pPr>
            <w:r>
              <w:rPr>
                <w:rFonts w:ascii="Arial" w:cs="Arial" w:eastAsia="Arial" w:hAnsi="Arial"/>
                <w:sz w:val="14"/>
                <w:szCs w:val="14"/>
                <w:b w:val="1"/>
                <w:bCs w:val="1"/>
                <w:color w:val="auto"/>
              </w:rPr>
              <w:t>ENDED</w:t>
            </w:r>
          </w:p>
        </w:tc>
        <w:tc>
          <w:tcPr>
            <w:tcW w:w="12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8"/>
              </w:rPr>
              <w:t>THROUGH</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THROUGH</w:t>
            </w:r>
          </w:p>
        </w:tc>
        <w:tc>
          <w:tcPr>
            <w:tcW w:w="11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center"/>
              <w:ind w:right="250"/>
              <w:spacing w:after="0" w:line="157" w:lineRule="exact"/>
              <w:rPr>
                <w:sz w:val="20"/>
                <w:szCs w:val="20"/>
                <w:color w:val="auto"/>
              </w:rPr>
            </w:pPr>
            <w:r>
              <w:rPr>
                <w:rFonts w:ascii="Arial" w:cs="Arial" w:eastAsia="Arial" w:hAnsi="Arial"/>
                <w:sz w:val="14"/>
                <w:szCs w:val="14"/>
                <w:b w:val="1"/>
                <w:bCs w:val="1"/>
                <w:color w:val="auto"/>
              </w:rPr>
              <w:t>JUNE 30,</w:t>
            </w:r>
          </w:p>
        </w:tc>
        <w:tc>
          <w:tcPr>
            <w:tcW w:w="12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DECEMBER 31,</w:t>
            </w:r>
          </w:p>
        </w:tc>
        <w:tc>
          <w:tcPr>
            <w:tcW w:w="1260" w:type="dxa"/>
            <w:vAlign w:val="bottom"/>
            <w:tcBorders>
              <w:right w:val="single" w:sz="8" w:color="auto"/>
            </w:tcBorders>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280" w:type="dxa"/>
            <w:vAlign w:val="bottom"/>
          </w:tcPr>
          <w:p>
            <w:pPr>
              <w:spacing w:after="0"/>
              <w:rPr>
                <w:sz w:val="20"/>
                <w:szCs w:val="20"/>
                <w:color w:val="auto"/>
              </w:rPr>
            </w:pPr>
            <w:r>
              <w:rPr>
                <w:rFonts w:ascii="Arial" w:cs="Arial" w:eastAsia="Arial" w:hAnsi="Arial"/>
                <w:sz w:val="14"/>
                <w:szCs w:val="14"/>
                <w:b w:val="1"/>
                <w:bCs w:val="1"/>
                <w:color w:val="auto"/>
              </w:rPr>
              <w:t>Cash Flows (In thousands)</w:t>
            </w:r>
          </w:p>
        </w:tc>
        <w:tc>
          <w:tcPr>
            <w:tcW w:w="92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76"/>
        </w:trPr>
        <w:tc>
          <w:tcPr>
            <w:tcW w:w="42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6"/>
              </w:rPr>
              <w:t>$ 19,982</w:t>
            </w: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6"/>
              </w:rPr>
              <w:t>$ 26,271</w:t>
            </w: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6"/>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84,117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62,539</w:t>
            </w: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rPr>
              <w:t>$   12,807</w:t>
            </w: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6"/>
              <w:spacing w:after="0" w:line="17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98,142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4280" w:type="dxa"/>
            <w:vAlign w:val="bottom"/>
          </w:tcPr>
          <w:p>
            <w:pPr>
              <w:spacing w:after="0" w:line="184" w:lineRule="exact"/>
              <w:rPr>
                <w:sz w:val="20"/>
                <w:szCs w:val="20"/>
                <w:color w:val="auto"/>
              </w:rPr>
            </w:pPr>
            <w:r>
              <w:rPr>
                <w:rFonts w:ascii="Arial" w:cs="Arial" w:eastAsia="Arial" w:hAnsi="Arial"/>
                <w:sz w:val="17"/>
                <w:szCs w:val="17"/>
                <w:color w:val="auto"/>
              </w:rPr>
              <w:t>Net cash used in investing activities</w:t>
            </w:r>
          </w:p>
        </w:tc>
        <w:tc>
          <w:tcPr>
            <w:tcW w:w="1240" w:type="dxa"/>
            <w:vAlign w:val="bottom"/>
            <w:gridSpan w:val="3"/>
          </w:tcPr>
          <w:p>
            <w:pPr>
              <w:jc w:val="right"/>
              <w:ind w:right="260"/>
              <w:spacing w:after="0" w:line="184" w:lineRule="exact"/>
              <w:rPr>
                <w:sz w:val="20"/>
                <w:szCs w:val="20"/>
                <w:color w:val="auto"/>
              </w:rPr>
            </w:pPr>
            <w:r>
              <w:rPr>
                <w:rFonts w:ascii="Arial" w:cs="Arial" w:eastAsia="Arial" w:hAnsi="Arial"/>
                <w:sz w:val="17"/>
                <w:szCs w:val="17"/>
                <w:color w:val="auto"/>
              </w:rPr>
              <w:t>(5,653)</w:t>
            </w:r>
          </w:p>
        </w:tc>
        <w:tc>
          <w:tcPr>
            <w:tcW w:w="980" w:type="dxa"/>
            <w:vAlign w:val="bottom"/>
            <w:gridSpan w:val="2"/>
          </w:tcPr>
          <w:p>
            <w:pPr>
              <w:jc w:val="right"/>
              <w:ind w:right="190"/>
              <w:spacing w:after="0" w:line="184" w:lineRule="exact"/>
              <w:rPr>
                <w:sz w:val="20"/>
                <w:szCs w:val="20"/>
                <w:color w:val="auto"/>
              </w:rPr>
            </w:pPr>
            <w:r>
              <w:rPr>
                <w:rFonts w:ascii="Arial" w:cs="Arial" w:eastAsia="Arial" w:hAnsi="Arial"/>
                <w:sz w:val="17"/>
                <w:szCs w:val="17"/>
                <w:color w:val="auto"/>
              </w:rPr>
              <w:t>(2,658)</w:t>
            </w:r>
          </w:p>
        </w:tc>
        <w:tc>
          <w:tcPr>
            <w:tcW w:w="220" w:type="dxa"/>
            <w:vAlign w:val="bottom"/>
          </w:tcPr>
          <w:p>
            <w:pPr>
              <w:spacing w:after="0"/>
              <w:rPr>
                <w:sz w:val="15"/>
                <w:szCs w:val="15"/>
                <w:color w:val="auto"/>
              </w:rPr>
            </w:pPr>
          </w:p>
        </w:tc>
        <w:tc>
          <w:tcPr>
            <w:tcW w:w="98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(6,432)</w:t>
            </w: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180"/>
              <w:spacing w:after="0" w:line="184" w:lineRule="exact"/>
              <w:rPr>
                <w:sz w:val="20"/>
                <w:szCs w:val="20"/>
                <w:color w:val="auto"/>
              </w:rPr>
            </w:pPr>
            <w:r>
              <w:rPr>
                <w:rFonts w:ascii="Arial" w:cs="Arial" w:eastAsia="Arial" w:hAnsi="Arial"/>
                <w:sz w:val="17"/>
                <w:szCs w:val="17"/>
                <w:color w:val="auto"/>
              </w:rPr>
              <w:t>(907,640)</w:t>
            </w:r>
          </w:p>
        </w:tc>
        <w:tc>
          <w:tcPr>
            <w:tcW w:w="18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(827)</w:t>
            </w:r>
          </w:p>
        </w:tc>
        <w:tc>
          <w:tcPr>
            <w:tcW w:w="240" w:type="dxa"/>
            <w:vAlign w:val="bottom"/>
          </w:tcPr>
          <w:p>
            <w:pPr>
              <w:spacing w:after="0"/>
              <w:rPr>
                <w:sz w:val="15"/>
                <w:szCs w:val="15"/>
                <w:color w:val="auto"/>
              </w:rPr>
            </w:pPr>
          </w:p>
        </w:tc>
        <w:tc>
          <w:tcPr>
            <w:tcW w:w="9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(4,472)</w:t>
            </w:r>
          </w:p>
        </w:tc>
      </w:tr>
      <w:tr>
        <w:trPr>
          <w:trHeight w:val="183"/>
        </w:trPr>
        <w:tc>
          <w:tcPr>
            <w:tcW w:w="42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Net cash (used in) provided by financing activities</w:t>
            </w:r>
          </w:p>
        </w:tc>
        <w:tc>
          <w:tcPr>
            <w:tcW w:w="1240" w:type="dxa"/>
            <w:vAlign w:val="bottom"/>
            <w:gridSpan w:val="3"/>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(15,678)</w:t>
            </w:r>
          </w:p>
        </w:tc>
        <w:tc>
          <w:tcPr>
            <w:tcW w:w="980" w:type="dxa"/>
            <w:vAlign w:val="bottom"/>
            <w:gridSpan w:val="2"/>
            <w:shd w:val="clear" w:color="auto" w:fill="CCEEFF"/>
          </w:tcPr>
          <w:p>
            <w:pPr>
              <w:jc w:val="right"/>
              <w:ind w:right="190"/>
              <w:spacing w:after="0" w:line="184" w:lineRule="exact"/>
              <w:rPr>
                <w:sz w:val="20"/>
                <w:szCs w:val="20"/>
                <w:color w:val="auto"/>
              </w:rPr>
            </w:pPr>
            <w:r>
              <w:rPr>
                <w:rFonts w:ascii="Arial" w:cs="Arial" w:eastAsia="Arial" w:hAnsi="Arial"/>
                <w:sz w:val="17"/>
                <w:szCs w:val="17"/>
                <w:color w:val="auto"/>
              </w:rPr>
              <w:t>(65,702)</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(116,489)</w:t>
            </w: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900,171</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(17,968)</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(95,851)</w:t>
            </w:r>
          </w:p>
        </w:tc>
      </w:tr>
      <w:tr>
        <w:trPr>
          <w:trHeight w:val="183"/>
        </w:trPr>
        <w:tc>
          <w:tcPr>
            <w:tcW w:w="4280" w:type="dxa"/>
            <w:vAlign w:val="bottom"/>
          </w:tcPr>
          <w:p>
            <w:pPr>
              <w:spacing w:after="0" w:line="184" w:lineRule="exact"/>
              <w:rPr>
                <w:sz w:val="20"/>
                <w:szCs w:val="20"/>
                <w:color w:val="auto"/>
              </w:rPr>
            </w:pPr>
            <w:r>
              <w:rPr>
                <w:rFonts w:ascii="Arial" w:cs="Arial" w:eastAsia="Arial" w:hAnsi="Arial"/>
                <w:sz w:val="17"/>
                <w:szCs w:val="17"/>
                <w:color w:val="auto"/>
              </w:rPr>
              <w:t>Effect of exchange rates on cash and cash equivalents</w:t>
            </w:r>
          </w:p>
        </w:tc>
        <w:tc>
          <w:tcPr>
            <w:tcW w:w="1240" w:type="dxa"/>
            <w:vAlign w:val="bottom"/>
            <w:gridSpan w:val="3"/>
          </w:tcPr>
          <w:p>
            <w:pPr>
              <w:jc w:val="right"/>
              <w:ind w:right="320"/>
              <w:spacing w:after="0" w:line="184" w:lineRule="exact"/>
              <w:rPr>
                <w:sz w:val="20"/>
                <w:szCs w:val="20"/>
                <w:color w:val="auto"/>
              </w:rPr>
            </w:pPr>
            <w:r>
              <w:rPr>
                <w:rFonts w:ascii="Arial" w:cs="Arial" w:eastAsia="Arial" w:hAnsi="Arial"/>
                <w:sz w:val="17"/>
                <w:szCs w:val="17"/>
                <w:color w:val="auto"/>
              </w:rPr>
              <w:t>143</w:t>
            </w:r>
          </w:p>
        </w:tc>
        <w:tc>
          <w:tcPr>
            <w:tcW w:w="980" w:type="dxa"/>
            <w:vAlign w:val="bottom"/>
            <w:gridSpan w:val="2"/>
          </w:tcPr>
          <w:p>
            <w:pPr>
              <w:jc w:val="right"/>
              <w:ind w:right="190"/>
              <w:spacing w:after="0" w:line="184" w:lineRule="exact"/>
              <w:rPr>
                <w:sz w:val="20"/>
                <w:szCs w:val="20"/>
                <w:color w:val="auto"/>
              </w:rPr>
            </w:pPr>
            <w:r>
              <w:rPr>
                <w:rFonts w:ascii="Arial" w:cs="Arial" w:eastAsia="Arial" w:hAnsi="Arial"/>
                <w:sz w:val="17"/>
                <w:szCs w:val="17"/>
                <w:color w:val="auto"/>
              </w:rPr>
              <w:t>(95)</w:t>
            </w:r>
          </w:p>
        </w:tc>
        <w:tc>
          <w:tcPr>
            <w:tcW w:w="220" w:type="dxa"/>
            <w:vAlign w:val="bottom"/>
          </w:tcPr>
          <w:p>
            <w:pPr>
              <w:spacing w:after="0"/>
              <w:rPr>
                <w:sz w:val="15"/>
                <w:szCs w:val="15"/>
                <w:color w:val="auto"/>
              </w:rPr>
            </w:pPr>
          </w:p>
        </w:tc>
        <w:tc>
          <w:tcPr>
            <w:tcW w:w="98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(601)</w:t>
            </w: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right"/>
              <w:ind w:right="180"/>
              <w:spacing w:after="0" w:line="184" w:lineRule="exact"/>
              <w:rPr>
                <w:sz w:val="20"/>
                <w:szCs w:val="20"/>
                <w:color w:val="auto"/>
              </w:rPr>
            </w:pPr>
            <w:r>
              <w:rPr>
                <w:rFonts w:ascii="Arial" w:cs="Arial" w:eastAsia="Arial" w:hAnsi="Arial"/>
                <w:sz w:val="17"/>
                <w:szCs w:val="17"/>
                <w:color w:val="auto"/>
              </w:rPr>
              <w:t>(785)</w:t>
            </w:r>
          </w:p>
        </w:tc>
        <w:tc>
          <w:tcPr>
            <w:tcW w:w="180" w:type="dxa"/>
            <w:vAlign w:val="bottom"/>
          </w:tcPr>
          <w:p>
            <w:pPr>
              <w:spacing w:after="0"/>
              <w:rPr>
                <w:sz w:val="15"/>
                <w:szCs w:val="15"/>
                <w:color w:val="auto"/>
              </w:rPr>
            </w:pPr>
          </w:p>
        </w:tc>
        <w:tc>
          <w:tcPr>
            <w:tcW w:w="11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159</w:t>
            </w:r>
          </w:p>
        </w:tc>
      </w:tr>
      <w:tr>
        <w:trPr>
          <w:trHeight w:val="183"/>
        </w:trPr>
        <w:tc>
          <w:tcPr>
            <w:tcW w:w="42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Increase (decrease) in cash and cash equivalents</w:t>
            </w:r>
          </w:p>
        </w:tc>
        <w:tc>
          <w:tcPr>
            <w:tcW w:w="1240" w:type="dxa"/>
            <w:vAlign w:val="bottom"/>
            <w:gridSpan w:val="3"/>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(1,206)</w:t>
            </w:r>
          </w:p>
        </w:tc>
        <w:tc>
          <w:tcPr>
            <w:tcW w:w="980" w:type="dxa"/>
            <w:vAlign w:val="bottom"/>
            <w:gridSpan w:val="2"/>
            <w:shd w:val="clear" w:color="auto" w:fill="CCEEFF"/>
          </w:tcPr>
          <w:p>
            <w:pPr>
              <w:jc w:val="right"/>
              <w:ind w:right="190"/>
              <w:spacing w:after="0" w:line="184" w:lineRule="exact"/>
              <w:rPr>
                <w:sz w:val="20"/>
                <w:szCs w:val="20"/>
                <w:color w:val="auto"/>
              </w:rPr>
            </w:pPr>
            <w:r>
              <w:rPr>
                <w:rFonts w:ascii="Arial" w:cs="Arial" w:eastAsia="Arial" w:hAnsi="Arial"/>
                <w:sz w:val="17"/>
                <w:szCs w:val="17"/>
                <w:color w:val="auto"/>
              </w:rPr>
              <w:t>(42,184)</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(39,405)</w:t>
            </w:r>
          </w:p>
        </w:tc>
        <w:tc>
          <w:tcPr>
            <w:tcW w:w="120" w:type="dxa"/>
            <w:vAlign w:val="bottom"/>
            <w:shd w:val="clear" w:color="auto" w:fill="CCEEFF"/>
          </w:tcPr>
          <w:p>
            <w:pPr>
              <w:spacing w:after="0"/>
              <w:rPr>
                <w:sz w:val="15"/>
                <w:szCs w:val="15"/>
                <w:color w:val="auto"/>
              </w:rPr>
            </w:pPr>
          </w:p>
        </w:tc>
        <w:tc>
          <w:tcPr>
            <w:tcW w:w="1140" w:type="dxa"/>
            <w:vAlign w:val="bottom"/>
            <w:tcBorders>
              <w:right w:val="single" w:sz="8" w:color="auto"/>
            </w:tcBorders>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54,285</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(6,013)</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4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Cash flows from operations are driven mainly by net income and net movement in accounts receivable and unbilled, net, advanced billings, pre-funded liabilities, accounts payable and accrued expenses.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36"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Net cash provided by operating activities was $20.0 million for the six months ended June 30, 2016 consisting of net income of $8.4 million. Adjustments to reconcile net income to net cash provided by operating activities were $33.8 million, primarily related to amortization of intangibles of $25.3 million, depreciation of $3.6 million and stock based compensation expense of $4.3 million. Changes in operating assets and liabilities used $22.3 million in operating cash flows and were primarily driven by increased accounts receivable and unbilled, net of $24.8 million, increased prepaid expenses and other assets of $8.5 million primarily related to federal tax payments and decreased accounts payable of $2.1 million, offset by increased pre funded study costs of $2.4 million and advanced billings of $15.0 million.</w:t>
      </w:r>
    </w:p>
    <w:p>
      <w:pPr>
        <w:spacing w:after="0" w:line="14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Net cash provided by operating activities was $26.3 million for the six months ended June 30, 2015 consisting of net income of less than $0.1 million. Adjustments to reconcile net income to net cash provided by operating activities were $37.3 million, primarily related to amortization of intangibles of $34.2 million, depreciation of $3.1 million and stock based compensation expense of $4.9 million, offset by $6.5 million of benefit from deferred taxes. Changes in operating assets and liabilities used $11.0 million in operating cash flows and were primarily driven by lower accrued expenses of $2.8 million related to incentive compensation payments and $6.5 million from a decrease in advanced billings offset by a decrease in accounts receivable and unbilled, net of $6.7 million.</w:t>
      </w:r>
    </w:p>
    <w:p>
      <w:pPr>
        <w:spacing w:after="0" w:line="143"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Net cash provided by operating activities was $84.1 million for the Successor year ended December 31, 2015, consisting of a net loss of $(8.7) million. Adjustments to reconcile net loss to net cash provided by operating activities were $90.9 million, primarily related to amortization of intangibles of $63.1 million, depreciation of $6.4 million, impairment of goodwill of $9.3 million and stock based compensation expense of $22.3 million, offset by a tax benefit of $12.7 million. Changes in operating assets and liabilities provided $1.9 million in operating cash flows and were driven primarily by an increase in pre-funded cash and a decrease in prepaid assets while being offset by a decrease in advanced billings and an increase in restricted cash.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49"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60"/>
        <w:spacing w:after="0" w:line="229" w:lineRule="auto"/>
        <w:rPr>
          <w:sz w:val="20"/>
          <w:szCs w:val="20"/>
          <w:color w:val="auto"/>
        </w:rPr>
      </w:pPr>
      <w:r>
        <w:rPr>
          <w:rFonts w:ascii="Arial" w:cs="Arial" w:eastAsia="Arial" w:hAnsi="Arial"/>
          <w:sz w:val="17"/>
          <w:szCs w:val="17"/>
          <w:color w:val="auto"/>
        </w:rPr>
        <w:t>Net cash provided by operating activities was $62.5 million for the Successor nine month period ended December 31, 2014, consisting of a net loss of $(14.3) million. Adjustments to reconcile net loss to net cash provided by operating activities were $58.7 million, primarily related to amortization of intangibles of $56.4 million. Changes in operating assets and liabilities over the period provided $18.1 million in operating cash flows and were driven primarily by an increase in accrued expenses related to employee incentive compensation of $11.0 million and an increase in advanced billings of $6.0 million.</w:t>
      </w:r>
    </w:p>
    <w:p>
      <w:pPr>
        <w:spacing w:after="0" w:line="14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Net cash provided by operating activities was $12.8 million for the Predecessor three month period ended March 31, 2014, consisting of a net loss of $(1.2) million. Adjustments to reconcile net loss to net cash provided by operating activities were $14.3 million, primarily related to stock based compensation expense of $7.3 as a result of accelerated vesting of stock awards during this period, along with amortization of $1.8 million and depreciation of $5.2 million in the period. Changes in operating assets and liabilities over the period used $0.3 million in operating cash flows and were driven primarily by increases in accounts receivable and prepaid expense balances and decreases in accrued expenses as a result of incentive compensation payments in the period offset by an increase in accounts payable.</w:t>
      </w:r>
    </w:p>
    <w:p>
      <w:pPr>
        <w:spacing w:after="0" w:line="143"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Net cash provided by operations was $98.1 million for the Predecessor year ended December 31, 2013, consisting of net income of $24.8 million. Adjustments to reconcile net income to net cash provided by operating activities were $44.4 million, primarily related amortization of intangibles of $23.9 million, depreciation of $6.7 million, loss on the sale of an equity investment of $2.3 million and provision for taxes of $6.0 million. Changes in operating assets and liabilities over the Predecessor year ended December 31, 2013 provided $28.9 million in operating cash flows and were driven primarily by increases in advanced billings of $10.7 million, increases of accrued expenses of $8.3 million and decreases to prepaid expense balances of $4.8 million.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34"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Net cash used in investing activities was $5.7 million for the Successor six months ended June 30, 2016, primarily consisting of property and equipment expenditures.</w:t>
      </w:r>
    </w:p>
    <w:p>
      <w:pPr>
        <w:spacing w:after="0" w:line="14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Net cash used in investing activities was $2.7 million for the Successor six months ended June 30, 2015, primarily consisting of property and equipment expenditures.</w:t>
      </w:r>
    </w:p>
    <w:p>
      <w:pPr>
        <w:spacing w:after="0" w:line="14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Net cash used in investing activities was $6.4 million for the Successor year ended December 31, 2015 primarily consisting of capital expenditures relating to property and equipment purchases.</w:t>
      </w: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Net cash used in investing activities was $907.6 million in the Successor nine month period ended December 31, 2014. The cash used in investing activities was primarily related to the Transaction, which we completed for $903.5 million net of cash received in the Successor nine month period ended December 31, 2014. Cash used in the period for property and equipment purchases was $4.2 million.</w:t>
      </w:r>
    </w:p>
    <w:p>
      <w:pPr>
        <w:spacing w:after="0" w:line="143"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Net cash used in investing activities was $0.8 million in the Predecessor three month period ended March 31, 2014 consisting of property and equipment expenditures.</w:t>
      </w:r>
    </w:p>
    <w:p>
      <w:pPr>
        <w:spacing w:after="0" w:line="141" w:lineRule="exact"/>
        <w:rPr>
          <w:sz w:val="20"/>
          <w:szCs w:val="20"/>
          <w:color w:val="auto"/>
        </w:rPr>
      </w:pPr>
    </w:p>
    <w:p>
      <w:pPr>
        <w:ind w:right="1000"/>
        <w:spacing w:after="0" w:line="235" w:lineRule="auto"/>
        <w:rPr>
          <w:sz w:val="20"/>
          <w:szCs w:val="20"/>
          <w:color w:val="auto"/>
        </w:rPr>
      </w:pPr>
      <w:r>
        <w:rPr>
          <w:rFonts w:ascii="Arial" w:cs="Arial" w:eastAsia="Arial" w:hAnsi="Arial"/>
          <w:sz w:val="17"/>
          <w:szCs w:val="17"/>
          <w:color w:val="auto"/>
        </w:rPr>
        <w:t>Net cash used in investing activities was $4.5 million in the Predecessor year ended December 31, 2013 consisting of property and equipment expenditures.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3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Net cash used in financing activities was $15.7 million for the Successor six months ended June 30, 2016, primarily consisting of a $15.0 million principal payment on our Senior Secured Term Loan Facility.</w:t>
      </w:r>
    </w:p>
    <w:p>
      <w:pPr>
        <w:spacing w:after="0" w:line="1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Net cash used in financing activities was $65.7 million for the Successor six month period ended June 30, 2015, primarily related to $65.0 million in principal payments on our Senior Secured Term Loan Facility.</w:t>
      </w:r>
    </w:p>
    <w:p>
      <w:pPr>
        <w:spacing w:after="0" w:line="141"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Net cash used in financing activities was $116.5 million in the Successor year ended December 31, 2015, primarily related to $116.1 million in principal payments on our Senior Secured Term Loan Facility.</w:t>
      </w:r>
    </w:p>
    <w:p>
      <w:pPr>
        <w:spacing w:after="0" w:line="14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Net cash provided in financing activities was $900.2 million for the Successor nine month period ended December 31, 2014. The cash provided was primarily related to $414.0 million from the issuance of common stock and $511.8 million, net of debt issuance costs, from the issuance of debt under our Senior Secured Term Loan Facility on April 1, 2014 as part of the Transaction. Debt payments under the Senior Secured Term Loan Facility offset total cash provided by $25.2 million in the period.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49"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40"/>
        <w:spacing w:after="0" w:line="231" w:lineRule="auto"/>
        <w:rPr>
          <w:sz w:val="20"/>
          <w:szCs w:val="20"/>
          <w:color w:val="auto"/>
        </w:rPr>
      </w:pPr>
      <w:r>
        <w:rPr>
          <w:rFonts w:ascii="Arial" w:cs="Arial" w:eastAsia="Arial" w:hAnsi="Arial"/>
          <w:sz w:val="17"/>
          <w:szCs w:val="17"/>
          <w:color w:val="auto"/>
        </w:rPr>
        <w:t>Net cash used in financing activities was $18.0 million in the Predecessor three month period ended March 31, 2014, primarily related to $23.1 million utilized to repay our then outstanding credit facility as of March 31, 2014. This amount was offset by $5.3 million of excess tax benefit received from the acceleration of vesting related to outstanding stock based compensation awards in conjunction with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$95.9 million in the Predecessor year ended December 31, 2013, primarily related to the pay down of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Indebtedness</w:t>
      </w:r>
    </w:p>
    <w:p>
      <w:pPr>
        <w:spacing w:after="0" w:line="12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In conjunction with the Transaction, on April 1, 2014, we entered into a new credit agreement, or the Senior Secured Credit Agreement, which provided for a $530.0 million term loan, or the Senior Secured Term Loan Facility, and a $60.0 million revolving credit facility, or the Senior Secured Revolving Credit Facility, and, together with the Senior Secured Term Loan Facility, the Senior Secured Credit Facilities. The Senior Secured Term Loan Facility expires in April 2021 and the Senior Secured Revolving Credit Facility expires in April 2019. The Senior Secured Credit Facilities proceeds were utilized to finance a portion of the Transaction, which upon consummation resulted in the extinguishment of our previously existing $335.0 million credit agreement that consisted of a $285.0 million term loan and a $50.0 million revolving credit agreement, of which $143.7 million was outstanding at the time of extinguishment. The Senior Secured Credit Facilities are guaranteed by the Company and certain of its subsidiaries.</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 xml:space="preserve">From April 1, 2014 to the date on which the first compliance certificate accompanying financials was delivered under the Senior Secured Credit Facilities, borrowings under the Senior Secured Credit Facilities bore interest at our option, equal to a Eurocurrency rate plus a margin of 4.00% and 3.75%, or a base rate plus a margin of 3.00% and 2.75% for the Senior Secured Term Loan Facility and Senior Secured Revolving Credit Facility, respectively. The Eurocurrency rate is based on LIBOR for U.S. dollar deposits for loans denominated in dollars, EURIBOR for Euros deposits for loans denominated in Euros and the offer rate for any other currencies for loans denominated in such other currencies and, in each case, is subject to a 1.00% floor. The base rate is defined as the highest of (a) the Federal Funds Rate on such day plus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1.00%, (b) the Prime Lending Rate on such day, (c) the Adjusted Eurocurrency Rate for Loans denominated in U.S. dollars published on such day for an Interest Period of one month plus 1.00% and (d) 2.00%. At our discretion, we may choose interest periods of one, two, three or six months, or the Eurocurrency term, which determines the interest rate to be applied. Interest on the Eurocurrency rate loan continues to be payable at the end of the selected Eurocurrency term and interest on the base rate tranche of the Senior Secured Term Loan Facility is payable quarterly in conjunction with any required principal payments.</w:t>
      </w:r>
    </w:p>
    <w:p>
      <w:pPr>
        <w:spacing w:after="0" w:line="14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Since the delivery of the first compliance certificate accompanying financials under the Senior Secured Credit Facilities, the borrowings under the Senior Secured Credit Facilities bear interest at a rate per annum equal to an applicable spread, within two pricing tiers that are determined upon achievement towards a defined total net debt to consolidated EBITDA leverage ratio, plus a Eurocurrency or base rate. The first pricing tier lowers the Eurocurrency and base rate margin spreads to 3.75% and 2.75% and 3.50% and 2.50% for the Senior Secured Term Loan Facility and Senior Secured Revolving Credit Facility, respectively, while the second pricing tier retains the spreads applicable to the initial interest periods described in the previous paragraph. The Eurocurrency rate is subject to a minimum floor of 1.00% and the base rate is subject to a floor of 2.00%. As of June 30, 2016, we were subject to an interest rate of 4.75% for the Senior Secured Term Loan Facility, which represents the minimum 1.00% Eurocurrency floor plus the first tier pricing spread of 3.75%.</w:t>
      </w:r>
    </w:p>
    <w:p>
      <w:pPr>
        <w:spacing w:after="0" w:line="14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We also pay commitment fees on a quarterly basis at an annual rate of 0.50% of the unused borrowings under the Senior Secured Revolving Credit Facility, which is recorded as a component of interest expense, net in the consolidated statements of operations. The commitment fee is subject to a pricing level reduction to 0.375% when we achieve a funded first lien debt to consolidated EBITDA (as defined under the Senior Secured Credit Facilities) ratio of equal to or less than 4.25:1.00 on any given date. As of June 30, 2016, we achieved the targeted requirement.</w:t>
      </w:r>
    </w:p>
    <w:p>
      <w:pPr>
        <w:spacing w:after="0" w:line="141"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The Senior Secured Term Loan Facility is subject to quarterly amortization equal to 0.25% of the initial aggregate principal amount, with the balance due at final maturity. The following amounts are required to be prepaid in addition to quarterly installment payments and will be applied to repay the Senior Secured Term Loan Facility, subject to certain thresholds, carve-outs, exceptions and reinvestment rights: (a) 50% of our annual Excess Cash</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449" w:right="2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Flow (as defined under the Senior Secured Credit Facilities) commencing with the fiscal year ended December 31, 2015 (or 25% or 0% of our annual Excess Cash Flow thereafter if we achieve a funded first lien debt to consolidated EBITDA ratio of equal to or less than 4.25:1.00 or 3.75:1.00, respectively); (b) 100% of the net cash proceeds of insurance proceeds of a condemnation award in respect of any equipment, fixed assets or real property subject to certain reinvestment rights; (c) 100% of the net cash proceeds of any occurrence of indebtedness by us or certain of our subsidiaries; and</w:t>
      </w:r>
    </w:p>
    <w:p>
      <w:pPr>
        <w:ind w:right="20" w:firstLine="5"/>
        <w:spacing w:after="0" w:line="229" w:lineRule="auto"/>
        <w:tabs>
          <w:tab w:leader="none" w:pos="2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100% of the net cash proceeds of certain non-ordinary course asset sales or dispositions of property by us or certain subsidiaries subject to certain reinvestment rights. In addition to the mandatory payments above, we may voluntarily repay the outstanding Senior Secured Term Loan Facility without premium or penalty, subject to certain restrictions. As of June 30, 2016, we had made principal payments of $155.0 million, which was $144.4 million ahead of originally scheduled requirements. This amount has satisfied all required quarterly principal installment payments over the term of the Senior Secured Term Loan Facility.</w:t>
      </w:r>
    </w:p>
    <w:p>
      <w:pPr>
        <w:spacing w:after="0" w:line="1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Senior Secured Credit Agreement details various covenants with which we are required to comply. These covenants, as defined in the Senior Secured Credit Agreement, among other things, limit our ability and the ability of our restricted subsidiaries to, with certain exceptions:</w:t>
      </w:r>
    </w:p>
    <w:p>
      <w:pPr>
        <w:spacing w:after="0" w:line="104" w:lineRule="exact"/>
        <w:rPr>
          <w:sz w:val="20"/>
          <w:szCs w:val="20"/>
          <w:color w:val="auto"/>
        </w:rPr>
      </w:pPr>
    </w:p>
    <w:p>
      <w:pPr>
        <w:ind w:left="800" w:hanging="455"/>
        <w:spacing w:after="0"/>
        <w:tabs>
          <w:tab w:leader="none" w:pos="80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create, incur or assume any lien upon any of our property, assets or revenue;</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make or hold certain investments;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incur or assume any indebtedness;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merge, dissolve, liquidate or consolidate with or into another person;</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make certain dispositions of property or other assets (including sale leaseback transactions);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declare or make certain restricted payments, including dividends;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enter into certain transactions with affiliates;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prepay subordinated debt;</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enter into burdensome agreements;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engage in any material line of business substantially different from our currently conducted business; or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change our fiscal year.</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8.00:1.00 for any fiscal quarter ending on or prior to March 31, 2016 and 7.50:1.00, thereafter. As of June 30, 2016, we maintained a net debt to consolidated EBITDA leverage ratio, as defined under the Senior Secured Credit Facilities, of :1.00. As of June 30, 2016, we were in compliance with all covenants under our Senior Secured Credit Agreement.</w:t>
      </w:r>
    </w:p>
    <w:p>
      <w:pPr>
        <w:spacing w:after="0" w:line="138"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A breach of these covenants, or the occurrence of other Events of Default (as defined in the Senior Secured Credit Agreement) could result in an event of default, which would permit or require the principal outstanding under the Senior Secured Credit Facilities to become or to be declared due and payable. Occurrences other than the breach of covenants that are considered Events of Default include, but are not limited to, (a) non-payment of principal or interest, (b) certain bankruptcy related events, (c) cross defaults with certain other indebtedness, (d) defaults on monetary judgement orders, (e) certain ERISA events, (f) actual or asserted invalidity of any guarantee or security document and (g) change in control. Our ability to satisfy these covenant requirements or prevent Events of Default in future periods will depend on occurrences or events that may be beyond our control, and therefore, there is no guarantee that we will be able to prevent these occurrences.</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All of our obligations under the Senior Secured Credit Facilities are guaranteed by us and our material, wholly owned subsidiaries, with certain exceptions, including where providing such guarantees is not permitted by law, regulation or contract or would result in adverse tax consequences. All of our obligations under the Senior Secured Credit Facilities are secured, subject to certain permitted liens and other exceptions, by substantially all of the assets of the borrower and each guarantor, included, but not limited to, a perfected pledge of all of the capital stock issued by us and each guarantor and, subject to certain exceptions, perfected security interests in substantially all other tangible and intangible assets of us and each guarantor.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80"/>
          </w:cols>
          <w:pgMar w:left="240" w:top="449" w:right="2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As of June 30, 2016, we had total indebtedness of $364.0 million, substantially all of which was attributed to outstanding borrowings on the Senior Secured Term Loan Facility. There were no outstanding borrowings under the Senior Secured Revolving Credit Facility as of June 30, 2016. In addition, as of June 30, 2016, we had less than $0.1 million in letters of credit outstanding related to certain operating lease obligations, which are secured by the Senior Secured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Commercial Commitments</w:t>
      </w:r>
    </w:p>
    <w:p>
      <w:pPr>
        <w:spacing w:after="0" w:line="123"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have various contractual obligations, which are recorded as liabilities in our consolidated financial statements. Other items, such as operating lease obligations, are not recognized as liabilities in our consolidated financial statements but are required to be disclosed. The following table summarizes our future payments for all contractual obligations and commercial commitments for the years subsequent to the Successor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5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39"/>
              <w:spacing w:after="0" w:line="139" w:lineRule="exact"/>
              <w:rPr>
                <w:sz w:val="20"/>
                <w:szCs w:val="20"/>
                <w:color w:val="auto"/>
              </w:rPr>
            </w:pPr>
            <w:r>
              <w:rPr>
                <w:rFonts w:ascii="Arial" w:cs="Arial" w:eastAsia="Arial" w:hAnsi="Arial"/>
                <w:sz w:val="14"/>
                <w:szCs w:val="14"/>
                <w:b w:val="1"/>
                <w:bCs w:val="1"/>
                <w:color w:val="auto"/>
              </w:rPr>
              <w:t>3-5</w:t>
            </w:r>
          </w:p>
        </w:tc>
        <w:tc>
          <w:tcPr>
            <w:tcW w:w="420" w:type="dxa"/>
            <w:vAlign w:val="bottom"/>
          </w:tcPr>
          <w:p>
            <w:pPr>
              <w:spacing w:after="0"/>
              <w:rPr>
                <w:sz w:val="12"/>
                <w:szCs w:val="12"/>
                <w:color w:val="auto"/>
              </w:rPr>
            </w:pPr>
          </w:p>
        </w:tc>
        <w:tc>
          <w:tcPr>
            <w:tcW w:w="8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6"/>
              </w:rPr>
              <w:t>MORE THAN</w:t>
            </w:r>
          </w:p>
        </w:tc>
        <w:tc>
          <w:tcPr>
            <w:tcW w:w="100" w:type="dxa"/>
            <w:vAlign w:val="bottom"/>
          </w:tcPr>
          <w:p>
            <w:pPr>
              <w:spacing w:after="0"/>
              <w:rPr>
                <w:sz w:val="12"/>
                <w:szCs w:val="12"/>
                <w:color w:val="auto"/>
              </w:rPr>
            </w:pPr>
          </w:p>
        </w:tc>
      </w:tr>
      <w:tr>
        <w:trPr>
          <w:trHeight w:val="169"/>
        </w:trPr>
        <w:tc>
          <w:tcPr>
            <w:tcW w:w="5900" w:type="dxa"/>
            <w:vAlign w:val="bottom"/>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76"/>
        </w:trPr>
        <w:tc>
          <w:tcPr>
            <w:tcW w:w="5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Long-term debt obligations</w:t>
            </w: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5"/>
              </w:rPr>
              <w:t>$390,000</w:t>
            </w: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ind w:left="400"/>
              <w:spacing w:after="0" w:line="176" w:lineRule="exact"/>
              <w:rPr>
                <w:sz w:val="20"/>
                <w:szCs w:val="20"/>
                <w:color w:val="auto"/>
              </w:rPr>
            </w:pPr>
            <w:r>
              <w:rPr>
                <w:rFonts w:ascii="Arial" w:cs="Arial" w:eastAsia="Arial" w:hAnsi="Arial"/>
                <w:sz w:val="17"/>
                <w:szCs w:val="17"/>
                <w:color w:val="auto"/>
                <w:w w:val="82"/>
              </w:rPr>
              <w:t>—</w:t>
            </w: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390,000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5900" w:type="dxa"/>
            <w:vAlign w:val="bottom"/>
          </w:tcPr>
          <w:p>
            <w:pPr>
              <w:spacing w:after="0" w:line="184" w:lineRule="exact"/>
              <w:rPr>
                <w:sz w:val="20"/>
                <w:szCs w:val="20"/>
                <w:color w:val="auto"/>
              </w:rPr>
            </w:pPr>
            <w:r>
              <w:rPr>
                <w:rFonts w:ascii="Arial" w:cs="Arial" w:eastAsia="Arial" w:hAnsi="Arial"/>
                <w:sz w:val="17"/>
                <w:szCs w:val="17"/>
                <w:color w:val="auto"/>
              </w:rPr>
              <w:t>Interest on long-term debt</w:t>
            </w:r>
          </w:p>
        </w:tc>
        <w:tc>
          <w:tcPr>
            <w:tcW w:w="11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100,045</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19,206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38,023</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w w:val="96"/>
              </w:rPr>
              <w:t>38,076</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4,740</w:t>
            </w:r>
          </w:p>
        </w:tc>
      </w:tr>
      <w:tr>
        <w:trPr>
          <w:trHeight w:val="183"/>
        </w:trPr>
        <w:tc>
          <w:tcPr>
            <w:tcW w:w="59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Capital lease obligations</w:t>
            </w:r>
          </w:p>
        </w:tc>
        <w:tc>
          <w:tcPr>
            <w:tcW w:w="11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183"/>
        </w:trPr>
        <w:tc>
          <w:tcPr>
            <w:tcW w:w="5900" w:type="dxa"/>
            <w:vAlign w:val="bottom"/>
          </w:tcPr>
          <w:p>
            <w:pPr>
              <w:spacing w:after="0" w:line="184" w:lineRule="exact"/>
              <w:rPr>
                <w:sz w:val="20"/>
                <w:szCs w:val="20"/>
                <w:color w:val="auto"/>
              </w:rPr>
            </w:pPr>
            <w:r>
              <w:rPr>
                <w:rFonts w:ascii="Arial" w:cs="Arial" w:eastAsia="Arial" w:hAnsi="Arial"/>
                <w:sz w:val="17"/>
                <w:szCs w:val="17"/>
                <w:color w:val="auto"/>
              </w:rPr>
              <w:t>Operating lease obligations</w:t>
            </w:r>
          </w:p>
        </w:tc>
        <w:tc>
          <w:tcPr>
            <w:tcW w:w="11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30,291</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6,160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9,660</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6,840</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7,631</w:t>
            </w:r>
          </w:p>
        </w:tc>
      </w:tr>
      <w:tr>
        <w:trPr>
          <w:trHeight w:val="183"/>
        </w:trPr>
        <w:tc>
          <w:tcPr>
            <w:tcW w:w="59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Deemed landlord liabilities</w:t>
            </w:r>
          </w:p>
        </w:tc>
        <w:tc>
          <w:tcPr>
            <w:tcW w:w="11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47,378</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3,757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7,723</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7,925</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27,973</w:t>
            </w:r>
          </w:p>
        </w:tc>
      </w:tr>
      <w:tr>
        <w:trPr>
          <w:trHeight w:val="183"/>
        </w:trPr>
        <w:tc>
          <w:tcPr>
            <w:tcW w:w="5900" w:type="dxa"/>
            <w:vAlign w:val="bottom"/>
          </w:tcPr>
          <w:p>
            <w:pPr>
              <w:spacing w:after="0" w:line="184" w:lineRule="exact"/>
              <w:rPr>
                <w:sz w:val="20"/>
                <w:szCs w:val="20"/>
                <w:color w:val="auto"/>
              </w:rPr>
            </w:pPr>
            <w:r>
              <w:rPr>
                <w:rFonts w:ascii="Arial" w:cs="Arial" w:eastAsia="Arial" w:hAnsi="Arial"/>
                <w:sz w:val="17"/>
                <w:szCs w:val="17"/>
                <w:color w:val="auto"/>
              </w:rPr>
              <w:t>Management fees</w:t>
            </w:r>
          </w:p>
        </w:tc>
        <w:tc>
          <w:tcPr>
            <w:tcW w:w="114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250</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250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26"/>
        </w:trPr>
        <w:tc>
          <w:tcPr>
            <w:tcW w:w="59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59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w:t>
            </w:r>
          </w:p>
        </w:tc>
        <w:tc>
          <w:tcPr>
            <w:tcW w:w="11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568,026</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29,435</w:t>
            </w:r>
          </w:p>
        </w:tc>
        <w:tc>
          <w:tcPr>
            <w:tcW w:w="360" w:type="dxa"/>
            <w:vAlign w:val="bottom"/>
            <w:gridSpan w:val="2"/>
            <w:shd w:val="clear" w:color="auto" w:fill="CCEEFF"/>
          </w:tcPr>
          <w:p>
            <w:pPr>
              <w:ind w:left="200"/>
              <w:spacing w:after="0" w:line="18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55,406</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u w:val="single" w:color="auto"/>
                <w:color w:val="auto"/>
                <w:w w:val="84"/>
              </w:rPr>
              <w:t>$</w:t>
            </w:r>
          </w:p>
        </w:tc>
        <w:tc>
          <w:tcPr>
            <w:tcW w:w="940" w:type="dxa"/>
            <w:vAlign w:val="bottom"/>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w w:val="96"/>
              </w:rPr>
              <w:t>52,841</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430,344</w:t>
            </w:r>
          </w:p>
        </w:tc>
      </w:tr>
      <w:tr>
        <w:trPr>
          <w:trHeight w:val="20"/>
        </w:trPr>
        <w:tc>
          <w:tcPr>
            <w:tcW w:w="5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59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interest payments on long-term debt in the above table are based on interest rates in effect as of December 31, 2015.</w:t>
      </w:r>
    </w:p>
    <w:p>
      <w:pPr>
        <w:spacing w:after="0" w:line="145"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The management fee represents fees paid to Cinven. This fee is paid annually in equal quarterly installments. The management fee remains in effect through 2024, unless amended or terminated by mutual agreement. However, this agreement will terminate upon the consummation of this offering. Due to the uncertainty of the term, we have only included one year of management fees in the above table.</w:t>
      </w:r>
    </w:p>
    <w:p>
      <w:pPr>
        <w:spacing w:after="0" w:line="14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have recorded a tax liability for unrecognized benefits for uncertain tax positions of $2.6 million, which has not been included in the above table due to the uncertainties in the timing of settlement of the income tax positions.</w:t>
      </w:r>
    </w:p>
    <w:p>
      <w:pPr>
        <w:spacing w:after="0" w:line="141"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We are party to certain vendor contracts related to clinical services that if cancelled may require payment for services performed and potentially additional services required to protect safety of subjects. The value of these potential wind-down provisions is generally borne by our customers and is not practical to estimate.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jc w:val="both"/>
        <w:ind w:right="640"/>
        <w:spacing w:after="0" w:line="231"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49"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Service Revenue Recognition</w:t>
      </w:r>
    </w:p>
    <w:p>
      <w:pPr>
        <w:spacing w:after="0" w:line="34"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We generally enter into contracts with customers to provide services ranging in duration from a few months to several years. The contract terms generally provide for payments based on a fixed-fee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4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 majority of our contracts provide for services based on a fixed-fee arrangement, in which revenue is recognized based on the proportional performance methodology. Under this methodology, revenue recognition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We believe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is updated and any revisions to the existing hours budget result in cumulative adjustments to the amount of revenue recognized in the period in which the revisions are identified. Because of the uncertainties inherent in estimating the hours necessary to fulfill contractual obligations, it is possible that estimates may change in the near term, resulting in a material change in revenue reported.</w:t>
      </w:r>
    </w:p>
    <w:p>
      <w:pPr>
        <w:spacing w:after="0" w:line="147"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Fixed-fee contracts provide for pricing modifications upon scope of work changes. We recognize revenue related to work performed in connection with scope changes when the underlying services are performed, a binding contractual commitment has been executed with the customer and collectability is reasonably assured. If our customers do not agree to price renegotiation upon changes in our scope of work, we could be exposed to cost overruns and reduced contract profitability. Costs are not deferred in anticipation of contracts being awarded or amendments being finalized, but are expensed as incurred.</w:t>
      </w:r>
    </w:p>
    <w:p>
      <w:pPr>
        <w:spacing w:after="0" w:line="1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For unit-of–service arrangements, we recognize revenue in the period in which the unit is delivered. Service unit elements largely consist of various project management, consulting and analytical testing services.</w:t>
      </w:r>
    </w:p>
    <w:p>
      <w:pPr>
        <w:spacing w:after="0" w:line="141"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Many contractual arrangements combine multiple service elements. For these contracts, arrangement consideration is allocated to identified units of accounting based on the relative selling price of each unit of account. The best evidence of selling price of a unit of accounting is vendor specific objective evidence, or VSOE, which is the price charged when the deliverable is sold separately. When VSOE is not available to determine selling price, management uses relative third party evidence, if available. When neither VSOE nor third party evidence of selling price exists, we use the best estimate of selling price considering all relevant information that is available without undue cost and effort.</w:t>
      </w:r>
    </w:p>
    <w:p>
      <w:pPr>
        <w:spacing w:after="0" w:line="141"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Most contracts are terminable by the customer, either immediately or according to advance notice terms specified within the contracts. These contracts require payment of fees to us for services rendered through the date of termination and may require payment for subsequent services necessary to conclude the study or close out the contract. Final settlement amounts are typically subject to negotiation with the customer. These amounts are included in net service revenue when realization is reasonably assured.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49"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60"/>
        <w:spacing w:after="0" w:line="231" w:lineRule="auto"/>
        <w:rPr>
          <w:sz w:val="20"/>
          <w:szCs w:val="20"/>
          <w:color w:val="auto"/>
        </w:rPr>
      </w:pPr>
      <w:r>
        <w:rPr>
          <w:rFonts w:ascii="Arial" w:cs="Arial" w:eastAsia="Arial" w:hAnsi="Arial"/>
          <w:sz w:val="17"/>
          <w:szCs w:val="17"/>
          <w:color w:val="auto"/>
        </w:rPr>
        <w:t>We occasionally enter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 xml:space="preserve">We record revenue net of any tax assessments by governmental authorities that are imposed and concurrent with specific revenue generating transactions. </w:t>
      </w:r>
      <w:r>
        <w:rPr>
          <w:rFonts w:ascii="Arial" w:cs="Arial" w:eastAsia="Arial" w:hAnsi="Arial"/>
          <w:sz w:val="17"/>
          <w:szCs w:val="17"/>
          <w:b w:val="1"/>
          <w:bCs w:val="1"/>
          <w:i w:val="1"/>
          <w:iCs w:val="1"/>
          <w:color w:val="auto"/>
        </w:rPr>
        <w:t>Allowance for Doubtful Accounts</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We grant credit terms to our customers prior to signing a service contract and monitor creditworthiness on an ongoing basis. We assess ongoing collectability by customer through a variety of performance indicators including age of billed receivable, billing type, knowledge of available funding and other information available through internal research. A large percentage of our customers are small biopharmaceutical companies that rely on funding from investors to finance their operations. This creates a heightened risk related to their creditworthiness. The Company maintains an allowance for doubtful accounts for accounts receivable specifically identified that are at risk of not being collected.</w:t>
      </w:r>
    </w:p>
    <w:p>
      <w:pPr>
        <w:spacing w:after="0" w:line="141"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Uncollectible accounts receivable are written off only after all reasonable collection efforts have been exhausted. Moreover, in many cases the Company requires advance payment from its customers for a portion of the study contract price upon the signing of a service contract. These advance payments are deferred and recognized as revenue as services are performed.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 Goodwill and Indefinite Lived Intangible Assets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Tangible Assets</w:t>
      </w:r>
    </w:p>
    <w:p>
      <w:pPr>
        <w:spacing w:after="0" w:line="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45" w:lineRule="exact"/>
        <w:rPr>
          <w:sz w:val="20"/>
          <w:szCs w:val="20"/>
          <w:color w:val="auto"/>
        </w:rPr>
      </w:pPr>
    </w:p>
    <w:p>
      <w:pPr>
        <w:ind w:right="320"/>
        <w:spacing w:after="0" w:line="231"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As a result of the Transaction, we recognized $670.3 million of goodwill that was allocated to and recorded at the reporting unit level. Our reporting units are Phase II-IV clinical research services, or Phase II-IV, Laboratories and Clinics.</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carrying value of goodwill is reviewed at least annually for impairment, or as indicators of potential impairment are identified, at the reporting unit level. We perform our annual goodwill impairment test during the fourth quarter each year, utilizing the quantitative two step model defined by accounting guidance which governs such assessments. The first step involves the comparison of each of our reporting unit carrying values, inclusive of assigned goodwill, to their respective estimated fair values. If a reporting unit carrying value exceeds estimated fair value, a second step requiring us to calculate the implied reporting unit goodwill fair value is performed. The implied fair value of goodwill is determined by performing a hypothetical purchase price allocation of reporting unit fair value to the reporting units identified assets and liabilities. The resulting implied goodwill fair value is compared to carrying value to determine the extent of impairment, if any exists. Reporting unit fair value is estimated using a combination of the income approach, a discounted cash flow analysis, and the market approach, utilizing the guideline company method. The reporting unit’s discounted cash flow analysis requires significant management judgment with respect to net service revenue, direct costs, excluding depreciation and amortization,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49"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In conjunction with the 2015 fourth quarter annual assessment of goodwill, we determined that goodwill related to our Clinics reporting unit was impaired and we recognized an impairment charge of $9.3 million, which represents 100% of the goodwill that had been allocated to this reporting unit. This impairment was identified during the annual impairment assessment in the fourth quarter of 2015 when we updated our forecasted discounted cash flows related to the reporting unit to reflect operating results that lagged prior forecasted results. For our Phase II-IV and Laboratories reporting units, the reporting units’ fair values significantly exceeded their respective carrying values including allocated goodwill.</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This process is inherently subjective and dependent upon estimates and assumptions we make. In determining our expected future cash flows, we assume that we will continue to acquire and convert new business to contract, execute on these contracts with reasonable profit, collect customer receivables and thus generate positive cash flows. However, future declines in the operating results of these reporting units could indicate a need to reevaluate the fair value of these components under accounting guidance governing goodwill and may ultimately result in future impairment. We continue to monitor for any potential indicators of impairment.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32"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The Company has an indefinite lived intangible asset related to its trade name valued at $31.6 million.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 relief from royalty method requires management judgment with respect to projected net service revenue, profitability and growth and the selection and use of an appropriate discount rate. There was no indication of impairment related to the trade name asset based on the fourth quarter 2015 assessment.</w:t>
      </w:r>
    </w:p>
    <w:p>
      <w:pPr>
        <w:spacing w:after="0" w:line="143" w:lineRule="exact"/>
        <w:rPr>
          <w:sz w:val="20"/>
          <w:szCs w:val="20"/>
          <w:color w:val="auto"/>
        </w:rPr>
      </w:pPr>
    </w:p>
    <w:p>
      <w:pPr>
        <w:jc w:val="both"/>
        <w:ind w:right="100"/>
        <w:spacing w:after="0" w:line="230" w:lineRule="auto"/>
        <w:rPr>
          <w:sz w:val="20"/>
          <w:szCs w:val="20"/>
          <w:color w:val="auto"/>
        </w:rPr>
      </w:pPr>
      <w:r>
        <w:rPr>
          <w:rFonts w:ascii="Arial" w:cs="Arial" w:eastAsia="Arial" w:hAnsi="Arial"/>
          <w:sz w:val="17"/>
          <w:szCs w:val="17"/>
          <w:color w:val="auto"/>
        </w:rPr>
        <w:t>Our assessment of impairment charges on any assets classified currently as having indefinite lives could change in future periods if certain events were to occur, including, but not limited to, the following: a significant change in business results, an increase in our discount rates due to a change in our weighted average cost of capital, a decrease in growth rates, economic deterioration that is more severe or longer in duration than anticipated or another significant economic event.</w:t>
      </w:r>
    </w:p>
    <w:p>
      <w:pPr>
        <w:spacing w:after="0" w:line="141"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17 months to 15 years. Amortization expense recognized related to finite lived intangible assets was $25.3 million for the Successor six months ended June 30, 2016, $34.2 million for the Successor six months ended June 30, 2015, $63.1 million for the Successor year ended 2015, $56.4 million for Successor nine month period ended December 31, 2014, $5.2 million for the Predecessor three month period ended March 31, 2014 and $23.9 million for the Predecessor year ended December 31, 2013.</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34" w:lineRule="exact"/>
        <w:rPr>
          <w:sz w:val="20"/>
          <w:szCs w:val="20"/>
          <w:color w:val="auto"/>
        </w:rPr>
      </w:pPr>
    </w:p>
    <w:p>
      <w:pPr>
        <w:jc w:val="both"/>
        <w:ind w:right="480"/>
        <w:spacing w:after="0" w:line="231" w:lineRule="auto"/>
        <w:rPr>
          <w:sz w:val="20"/>
          <w:szCs w:val="20"/>
          <w:color w:val="auto"/>
        </w:rPr>
      </w:pPr>
      <w:r>
        <w:rPr>
          <w:rFonts w:ascii="Arial" w:cs="Arial" w:eastAsia="Arial" w:hAnsi="Arial"/>
          <w:sz w:val="17"/>
          <w:szCs w:val="17"/>
          <w:color w:val="auto"/>
        </w:rPr>
        <w:t>We are subject to income taxes in the United States and numerous foreign jurisdictions. Significant judgement is required in the forecasting of taxable income using historical and projected future operating results in determining our provision for income taxes and the related assets and liabilities. The provision for income taxes includes income taxes paid, currently payable and receivable, and deferred taxes.</w:t>
      </w:r>
    </w:p>
    <w:p>
      <w:pPr>
        <w:spacing w:after="0" w:line="143"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We record deferred tax assets and liabilities based on temporary differences between the financial statement bases and tax bases of assets and liabilities. Deferred tax assets are recorded for tax benefit carryforwards using tax rates anticipated to be in effect in the year in which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w:t>
      </w:r>
    </w:p>
    <w:p>
      <w:pPr>
        <w:spacing w:after="0" w:line="14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recoverability of our deferred tax assets is estimated based on consideration of all available positive and negative evidence, including, but not limited to, our ability to generate a sufficient level of future taxable income, reversals of deferred tax liabilities (other than those with an indefinite reversal period), tax planning strategies and recent financial performance. The assessment of recoverability is performed on a jurisdiction by jurisdiction basis. Based on the analysis of the above factors, we determined that as of June 30, 2016 and December 31, 2015 a valuation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49"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allowance in the amount of $1.0 million was required relating to certain foreign operating loss carryforwards, a U.S. capital loss carryforward and U.S. state and local tax credits and carryforwards. Differences in actual results compared to our estimates and changes in our assumptions could result in an adjustment to the valuation allowance in the future and would generally impact earnings or other comprehensive income depending on the nature of the respective deferred asset for which the valuation allowance exists.</w:t>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We have recognized certain liabilities, including penalties and interest in the amount of $2.6 million for the Successor year ended December 31, 2015, within other long-term liabilities on the consolidated balance sheets. These relate to uncertain tax positions that are subject to various assumptions and judgement. Liabilities for these uncertain tax positions are assessed on a position by position basis. The calculation of these liabilities involves dealing with uncertainties in the application of complex tax regulations in both domestic and foreign jurisdictions. These positions may be subject to audit and review by tax authorities, and may result in future taxes, interest and penalties if we are unsuccessful in defending our positions. If the calculation of liability related to uncertain tax positions proves to be more or less than the ultimate assessment, a tax expense or benefit to expense, respectively would result.</w:t>
      </w:r>
    </w:p>
    <w:p>
      <w:pPr>
        <w:spacing w:after="0" w:line="139"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As of June 30, 2016 and December 31, 2015, as a result of an updated analysis of future cash needs in the United States and opportunities for investment outside the United States, we assert that all foreign earnings will be indefinitely reinvested and therefore we have not provided taxes on these earnings. These undistributed earnings of foreign subsidiaries will support future growth in foreign markets and maintain current operating needs of foreign locations. We will continue to monitor our assertion related to investment of foreign earnings.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Based Compensation</w:t>
      </w:r>
    </w:p>
    <w:p>
      <w:pPr>
        <w:spacing w:after="0" w:line="34"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We have stock based compensation plans in which we issue stock based awards to employees and directors in the form of vested common shares, stock options and restricted stock awards (RSAs and RSUs). Certain of our awards are subject to equity classification, while others are subject to liability classification pursuant to the terms of the award grants and based on accounting guidance which governs such transactions. Accounting guidance applicable to equity classified awards require all stock based compensation, including vested shares, grants of employee stock options and restricted stock to be recognized in the consolidated statements of operations based on their grant date fair values. Awards subject to liability classification are initially measured and recognized in the consolidated statements of operations at the grant date fair value, but are adjusted to fair value each period during the requisite service period, with changes in fair value recognized as compensation cost over the vesting period or in the period in which the change occurs for awards that have vested but have not yet settled.</w:t>
      </w:r>
    </w:p>
    <w:p>
      <w:pPr>
        <w:spacing w:after="0" w:line="14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fair value of our common stock for vested common shares, restricted stock awards and underlying stock option grants is determined in accordance with guidelines outlined in the American Institute of Certified Public Accountants Practice Aid, Valuation of Privately-Held-Company Equity Securities Issued as Compensation, or AICPA Practice Aid. In the absence of a public market, we considered all relevant facts and circumstances known at the time of valuation, made certain assumptions based on future expectations and exercised significant judgment to determine the fair value of our common stock. The factors considered in determining fair value include, but are not limited to the following:</w:t>
      </w:r>
    </w:p>
    <w:p>
      <w:pPr>
        <w:ind w:left="800" w:hanging="455"/>
        <w:spacing w:after="0" w:line="194" w:lineRule="auto"/>
        <w:tabs>
          <w:tab w:leader="none" w:pos="80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Valuations of our common stock performed by an unrelated third-party specialist on a bi-annual basis;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Our results of operations and financial position and estimated trends and projections of our future operating and financial performance;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The market performance of publically traded companies in the clinical research industry;</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The common shares underlying the awards involved illiquid securities in a private company;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External market conditions affecting the pharmaceutical and biotechnology industries.</w:t>
      </w:r>
    </w:p>
    <w:p>
      <w:pPr>
        <w:spacing w:after="0" w:line="141"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An unrelated third-party specialist performs a common share valuation, under the guidelines outlined in the AICPA Practice Aid, each year as of April 1 and October 1 (in conjunction with our annual assessment of goodwill). These valuations are estimated using a combination of the income approach, a discounted cash flow analysis and the market approach, utilizing the guideline company method. The discounted cash flow method involves cash flow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449" w:right="2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projections that are discounted at an appropriate rate while the guideline company method employs market multiples derived from market prices of stocks of companies that are engaged in the same or similar lines of business and that are actively traded on a free and open market and applies these selected multiples to our corresponding measures of financial performance. The estimates utilized in these fair value methodologies are highly complex and subjective. Management considers whether any events or circumstances have occurred between the date of valuation and the date of a grant or a period end fair value re-measurement that would indicate a significant change in the fair value of common shares during that period. Following the consummation of an initial public offering, vested common share awards, restricted stock awards and stock option awards fair value will be determined based on the quoted market price of our common stock.</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32"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We estimate the fair value of our stock options utilizing the Black-Scholes-Merton option pricing model, which requires the input of highly subjective assumptions including: the expected stock price volatility, the calculation of the expected holding period of the award, the risk free interest rate and expected dividends on the underlying common stock. Due to the lack of a public market for the trading of our common stock and the lack of Company specific historical and implied volatility data, we have based our estimate of expected volatility on the historical volatility of a group of peer companies that are most representative of our company. The historical volatility is calculated based on a period of time commensurate with the expected holding period assumption. The holding period represents the period that our option awards are expected to be outstanding. We use the simplified method as prescribed by accounting guidance governing such awards, to calculate the expected term for options granted to employees as we do not have sufficient historical evidence data to provide a reasonable basis upon which to estimate the expected holding period. This simplified method utilizes the mid-point between the vesting date and the date of the contractual term. The risk free rate is based on extrapolated rates of U.S. Treasury bonds whose terms are consistent with the expected holding period of the stock options. We have assumed a dividend yield of zero as we have not historically paid any dividends on our common stock.</w:t>
      </w:r>
    </w:p>
    <w:p>
      <w:pPr>
        <w:spacing w:after="0" w:line="149"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All our stock based option awards are subject to service based vesting conditions. Compensation expense related to stock option awards to employees is recognized on a straight line basis based on the grant date fair value over the associated service period of the award, which is equal to the vesting term. We are also required to estimate forfeitures at the time of grant and revise those estimates in subsequent periods if actual forfeitures differ from our estimates.</w:t>
      </w:r>
    </w:p>
    <w:p>
      <w:pPr>
        <w:spacing w:after="0" w:line="14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Stock based option awards granted subsequent to the Transaction, which represent all outstanding and unexercised options as of June 30, 2016 and December 31, 2015, are subject to a Contribution and Subscription Agreement that provides that upon exercise, the shares received must be exchanged for incentive units in MPI. The incentive units are tied directly to ownership in Medpace Holdings, Inc. and entitle the incentive unit holder to participate in the risks and rewards of owning our common shares through ownership in MPI. As the shares received in the settlement of stock options exercised are settled in assets other than our common shares, accounting guidance governing stock based compensation require the awards to be classified as liabilities. This classification requires that we measure and record the stock compensation awards to fair value each period utilizing the same methodology for measuring stock options fair value at the grant date as described above. This re-measurement of period end fair value often results in a cumulative catch up recorded for the portion of the award already vested but unsettled with the unvested portion of the option fair value recognized on a straight line basis over the remaining service period of the award. Per the option award terms, the Contribution and Subscription Agreement is not required following an initial public offering. As such, this offering will trigger an award provision that will be accounted for as an award modification and will require an option fair value re-measurement that could potentially result in additional non-cash expense or income as of the initial public offering date. Stock option awards granted prior to the Transaction, all of which vested prior to or as of the Transaction date, qualified for equity classification and were not subject to fair value re-measurement on a period by period basis.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49"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following table summarizes the key weighted average assumptions used in the Black-Scholes-Merton option pricing model to calculate the fair value of options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SUCCESSOR</w:t>
            </w:r>
          </w:p>
        </w:tc>
        <w:tc>
          <w:tcPr>
            <w:tcW w:w="10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780" w:type="dxa"/>
            <w:vAlign w:val="bottom"/>
            <w:gridSpan w:val="4"/>
          </w:tcPr>
          <w:p>
            <w:pPr>
              <w:ind w:left="76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3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Borders>
              <w:top w:val="single" w:sz="8" w:color="auto"/>
            </w:tcBorders>
            <w:gridSpan w:val="2"/>
          </w:tcPr>
          <w:p>
            <w:pPr>
              <w:jc w:val="center"/>
              <w:ind w:right="720"/>
              <w:spacing w:after="0" w:line="139" w:lineRule="exact"/>
              <w:rPr>
                <w:sz w:val="20"/>
                <w:szCs w:val="20"/>
                <w:color w:val="auto"/>
              </w:rPr>
            </w:pPr>
            <w:r>
              <w:rPr>
                <w:rFonts w:ascii="Arial" w:cs="Arial" w:eastAsia="Arial" w:hAnsi="Arial"/>
                <w:sz w:val="14"/>
                <w:szCs w:val="14"/>
                <w:b w:val="1"/>
                <w:bCs w:val="1"/>
                <w:color w:val="auto"/>
              </w:rPr>
              <w:t>THREE</w:t>
            </w: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57"/>
        </w:trPr>
        <w:tc>
          <w:tcPr>
            <w:tcW w:w="3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6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rPr>
              <w:t>MONTH</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7"/>
        </w:trPr>
        <w:tc>
          <w:tcPr>
            <w:tcW w:w="3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9"/>
              </w:rPr>
              <w:t>NINE MONTH</w:t>
            </w:r>
          </w:p>
        </w:tc>
        <w:tc>
          <w:tcPr>
            <w:tcW w:w="600" w:type="dxa"/>
            <w:vAlign w:val="bottom"/>
          </w:tcPr>
          <w:p>
            <w:pPr>
              <w:spacing w:after="0"/>
              <w:rPr>
                <w:sz w:val="13"/>
                <w:szCs w:val="13"/>
                <w:color w:val="auto"/>
              </w:rPr>
            </w:pPr>
          </w:p>
        </w:tc>
        <w:tc>
          <w:tcPr>
            <w:tcW w:w="156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w w:val="96"/>
              </w:rPr>
              <w:t>PERIOD</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7"/>
        </w:trPr>
        <w:tc>
          <w:tcPr>
            <w:tcW w:w="3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rPr>
              <w:t>PERIOD</w:t>
            </w:r>
          </w:p>
        </w:tc>
        <w:tc>
          <w:tcPr>
            <w:tcW w:w="600" w:type="dxa"/>
            <w:vAlign w:val="bottom"/>
          </w:tcPr>
          <w:p>
            <w:pPr>
              <w:spacing w:after="0"/>
              <w:rPr>
                <w:sz w:val="13"/>
                <w:szCs w:val="13"/>
                <w:color w:val="auto"/>
              </w:rPr>
            </w:pPr>
          </w:p>
        </w:tc>
        <w:tc>
          <w:tcPr>
            <w:tcW w:w="156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w w:val="96"/>
              </w:rPr>
              <w:t>FROM</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7"/>
        </w:trPr>
        <w:tc>
          <w:tcPr>
            <w:tcW w:w="3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9"/>
              </w:rPr>
              <w:t>FROM APRIL 1,</w:t>
            </w:r>
          </w:p>
        </w:tc>
        <w:tc>
          <w:tcPr>
            <w:tcW w:w="600" w:type="dxa"/>
            <w:vAlign w:val="bottom"/>
          </w:tcPr>
          <w:p>
            <w:pPr>
              <w:spacing w:after="0"/>
              <w:rPr>
                <w:sz w:val="13"/>
                <w:szCs w:val="13"/>
                <w:color w:val="auto"/>
              </w:rPr>
            </w:pPr>
          </w:p>
        </w:tc>
        <w:tc>
          <w:tcPr>
            <w:tcW w:w="156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rPr>
              <w:t>JANUARY 1,</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7"/>
        </w:trPr>
        <w:tc>
          <w:tcPr>
            <w:tcW w:w="3400" w:type="dxa"/>
            <w:vAlign w:val="bottom"/>
          </w:tcPr>
          <w:p>
            <w:pPr>
              <w:spacing w:after="0"/>
              <w:rPr>
                <w:sz w:val="13"/>
                <w:szCs w:val="13"/>
                <w:color w:val="auto"/>
              </w:rPr>
            </w:pPr>
          </w:p>
        </w:tc>
        <w:tc>
          <w:tcPr>
            <w:tcW w:w="136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8"/>
              </w:rPr>
              <w:t>SIX MONTHS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7"/>
        </w:trPr>
        <w:tc>
          <w:tcPr>
            <w:tcW w:w="3400" w:type="dxa"/>
            <w:vAlign w:val="bottom"/>
          </w:tcPr>
          <w:p>
            <w:pPr>
              <w:spacing w:after="0"/>
              <w:rPr>
                <w:sz w:val="13"/>
                <w:szCs w:val="13"/>
                <w:color w:val="auto"/>
              </w:rPr>
            </w:pPr>
          </w:p>
        </w:tc>
        <w:tc>
          <w:tcPr>
            <w:tcW w:w="136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3"/>
                <w:szCs w:val="13"/>
                <w:color w:val="auto"/>
              </w:rPr>
            </w:pPr>
          </w:p>
        </w:tc>
        <w:tc>
          <w:tcPr>
            <w:tcW w:w="15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8"/>
              </w:rPr>
              <w:t>YEAR ENDED</w:t>
            </w:r>
          </w:p>
        </w:tc>
        <w:tc>
          <w:tcPr>
            <w:tcW w:w="1460" w:type="dxa"/>
            <w:vAlign w:val="bottom"/>
            <w:tcBorders>
              <w:right w:val="single" w:sz="8" w:color="auto"/>
            </w:tcBorders>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THROUGH</w:t>
            </w:r>
          </w:p>
        </w:tc>
        <w:tc>
          <w:tcPr>
            <w:tcW w:w="600" w:type="dxa"/>
            <w:vAlign w:val="bottom"/>
          </w:tcPr>
          <w:p>
            <w:pPr>
              <w:spacing w:after="0"/>
              <w:rPr>
                <w:sz w:val="13"/>
                <w:szCs w:val="13"/>
                <w:color w:val="auto"/>
              </w:rPr>
            </w:pPr>
          </w:p>
        </w:tc>
        <w:tc>
          <w:tcPr>
            <w:tcW w:w="156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rPr>
              <w:t>THROUGH</w:t>
            </w:r>
          </w:p>
        </w:tc>
        <w:tc>
          <w:tcPr>
            <w:tcW w:w="12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8"/>
              </w:rPr>
              <w:t>YEAR ENDED</w:t>
            </w:r>
          </w:p>
        </w:tc>
      </w:tr>
      <w:tr>
        <w:trPr>
          <w:trHeight w:val="157"/>
        </w:trPr>
        <w:tc>
          <w:tcPr>
            <w:tcW w:w="3400" w:type="dxa"/>
            <w:vAlign w:val="bottom"/>
          </w:tcPr>
          <w:p>
            <w:pPr>
              <w:spacing w:after="0"/>
              <w:rPr>
                <w:sz w:val="13"/>
                <w:szCs w:val="13"/>
                <w:color w:val="auto"/>
              </w:rPr>
            </w:pPr>
          </w:p>
        </w:tc>
        <w:tc>
          <w:tcPr>
            <w:tcW w:w="136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5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460" w:type="dxa"/>
            <w:vAlign w:val="bottom"/>
            <w:tcBorders>
              <w:right w:val="single" w:sz="8" w:color="auto"/>
            </w:tcBorders>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3"/>
                <w:szCs w:val="13"/>
                <w:color w:val="auto"/>
              </w:rPr>
            </w:pPr>
          </w:p>
        </w:tc>
        <w:tc>
          <w:tcPr>
            <w:tcW w:w="156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8"/>
              </w:rPr>
              <w:t>DECEMBER 31,</w:t>
            </w:r>
          </w:p>
        </w:tc>
      </w:tr>
      <w:tr>
        <w:trPr>
          <w:trHeight w:val="169"/>
        </w:trPr>
        <w:tc>
          <w:tcPr>
            <w:tcW w:w="3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80" w:type="dxa"/>
            <w:vAlign w:val="bottom"/>
          </w:tcPr>
          <w:p>
            <w:pPr>
              <w:spacing w:after="0"/>
              <w:rPr>
                <w:sz w:val="14"/>
                <w:szCs w:val="14"/>
                <w:color w:val="auto"/>
              </w:rPr>
            </w:pPr>
          </w:p>
        </w:tc>
        <w:tc>
          <w:tcPr>
            <w:tcW w:w="134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96"/>
              </w:rPr>
              <w:t>2015</w:t>
            </w:r>
          </w:p>
        </w:tc>
        <w:tc>
          <w:tcPr>
            <w:tcW w:w="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4"/>
                <w:szCs w:val="14"/>
                <w:color w:val="auto"/>
              </w:rPr>
            </w:pPr>
          </w:p>
        </w:tc>
      </w:tr>
      <w:tr>
        <w:trPr>
          <w:trHeight w:val="176"/>
        </w:trPr>
        <w:tc>
          <w:tcPr>
            <w:tcW w:w="34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Expected holding period—years</w:t>
            </w: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w:t>
            </w:r>
          </w:p>
        </w:tc>
        <w:tc>
          <w:tcPr>
            <w:tcW w:w="4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w:t>
            </w:r>
          </w:p>
        </w:tc>
        <w:tc>
          <w:tcPr>
            <w:tcW w:w="4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w:t>
            </w:r>
          </w:p>
        </w:tc>
        <w:tc>
          <w:tcPr>
            <w:tcW w:w="420" w:type="dxa"/>
            <w:vAlign w:val="bottom"/>
            <w:tcBorders>
              <w:top w:val="single" w:sz="8" w:color="CCEEFF"/>
              <w:right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60"/>
              <w:spacing w:after="0" w:line="176" w:lineRule="exact"/>
              <w:rPr>
                <w:sz w:val="20"/>
                <w:szCs w:val="20"/>
                <w:color w:val="auto"/>
              </w:rPr>
            </w:pPr>
            <w:r>
              <w:rPr>
                <w:rFonts w:ascii="Arial" w:cs="Arial" w:eastAsia="Arial" w:hAnsi="Arial"/>
                <w:sz w:val="17"/>
                <w:szCs w:val="17"/>
                <w:color w:val="auto"/>
                <w:w w:val="91"/>
              </w:rPr>
              <w:t>N/A</w:t>
            </w:r>
          </w:p>
        </w:tc>
        <w:tc>
          <w:tcPr>
            <w:tcW w:w="7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3.1</w:t>
            </w:r>
          </w:p>
        </w:tc>
        <w:tc>
          <w:tcPr>
            <w:tcW w:w="200" w:type="dxa"/>
            <w:vAlign w:val="bottom"/>
            <w:tcBorders>
              <w:top w:val="single" w:sz="8" w:color="CCEEFF"/>
            </w:tcBorders>
            <w:shd w:val="clear" w:color="auto" w:fill="CCEEFF"/>
          </w:tcPr>
          <w:p>
            <w:pPr>
              <w:spacing w:after="0"/>
              <w:rPr>
                <w:sz w:val="15"/>
                <w:szCs w:val="15"/>
                <w:color w:val="auto"/>
              </w:rPr>
            </w:pPr>
          </w:p>
        </w:tc>
      </w:tr>
      <w:tr>
        <w:trPr>
          <w:trHeight w:val="183"/>
        </w:trPr>
        <w:tc>
          <w:tcPr>
            <w:tcW w:w="3400" w:type="dxa"/>
            <w:vAlign w:val="bottom"/>
          </w:tcPr>
          <w:p>
            <w:pPr>
              <w:spacing w:after="0" w:line="184" w:lineRule="exact"/>
              <w:rPr>
                <w:sz w:val="20"/>
                <w:szCs w:val="20"/>
                <w:color w:val="auto"/>
              </w:rPr>
            </w:pPr>
            <w:r>
              <w:rPr>
                <w:rFonts w:ascii="Arial" w:cs="Arial" w:eastAsia="Arial" w:hAnsi="Arial"/>
                <w:sz w:val="17"/>
                <w:szCs w:val="17"/>
                <w:color w:val="auto"/>
              </w:rPr>
              <w:t>Expected volatility</w:t>
            </w:r>
          </w:p>
        </w:tc>
        <w:tc>
          <w:tcPr>
            <w:tcW w:w="136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36.80%</w:t>
            </w:r>
          </w:p>
        </w:tc>
        <w:tc>
          <w:tcPr>
            <w:tcW w:w="1820" w:type="dxa"/>
            <w:vAlign w:val="bottom"/>
            <w:gridSpan w:val="3"/>
          </w:tcPr>
          <w:p>
            <w:pPr>
              <w:jc w:val="right"/>
              <w:ind w:right="320"/>
              <w:spacing w:after="0" w:line="184" w:lineRule="exact"/>
              <w:rPr>
                <w:sz w:val="20"/>
                <w:szCs w:val="20"/>
                <w:color w:val="auto"/>
              </w:rPr>
            </w:pPr>
            <w:r>
              <w:rPr>
                <w:rFonts w:ascii="Arial" w:cs="Arial" w:eastAsia="Arial" w:hAnsi="Arial"/>
                <w:sz w:val="17"/>
                <w:szCs w:val="17"/>
                <w:color w:val="auto"/>
              </w:rPr>
              <w:t>36.40%</w:t>
            </w:r>
          </w:p>
        </w:tc>
        <w:tc>
          <w:tcPr>
            <w:tcW w:w="1460" w:type="dxa"/>
            <w:vAlign w:val="bottom"/>
            <w:tcBorders>
              <w:right w:val="single" w:sz="8" w:color="auto"/>
            </w:tcBorders>
            <w:gridSpan w:val="2"/>
          </w:tcPr>
          <w:p>
            <w:pPr>
              <w:jc w:val="right"/>
              <w:ind w:right="280"/>
              <w:spacing w:after="0" w:line="184" w:lineRule="exact"/>
              <w:rPr>
                <w:sz w:val="20"/>
                <w:szCs w:val="20"/>
                <w:color w:val="auto"/>
              </w:rPr>
            </w:pPr>
            <w:r>
              <w:rPr>
                <w:rFonts w:ascii="Arial" w:cs="Arial" w:eastAsia="Arial" w:hAnsi="Arial"/>
                <w:sz w:val="17"/>
                <w:szCs w:val="17"/>
                <w:color w:val="auto"/>
              </w:rPr>
              <w:t>41.80%</w:t>
            </w:r>
          </w:p>
        </w:tc>
        <w:tc>
          <w:tcPr>
            <w:tcW w:w="600" w:type="dxa"/>
            <w:vAlign w:val="bottom"/>
          </w:tcPr>
          <w:p>
            <w:pPr>
              <w:spacing w:after="0"/>
              <w:rPr>
                <w:sz w:val="15"/>
                <w:szCs w:val="15"/>
                <w:color w:val="auto"/>
              </w:rPr>
            </w:pPr>
          </w:p>
        </w:tc>
        <w:tc>
          <w:tcPr>
            <w:tcW w:w="1560" w:type="dxa"/>
            <w:vAlign w:val="bottom"/>
            <w:gridSpan w:val="2"/>
          </w:tcPr>
          <w:p>
            <w:pPr>
              <w:ind w:left="560"/>
              <w:spacing w:after="0" w:line="184" w:lineRule="exact"/>
              <w:rPr>
                <w:sz w:val="20"/>
                <w:szCs w:val="20"/>
                <w:color w:val="auto"/>
              </w:rPr>
            </w:pPr>
            <w:r>
              <w:rPr>
                <w:rFonts w:ascii="Arial" w:cs="Arial" w:eastAsia="Arial" w:hAnsi="Arial"/>
                <w:sz w:val="17"/>
                <w:szCs w:val="17"/>
                <w:color w:val="auto"/>
              </w:rPr>
              <w:t>N/A</w:t>
            </w:r>
          </w:p>
        </w:tc>
        <w:tc>
          <w:tcPr>
            <w:tcW w:w="122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37.40%</w:t>
            </w:r>
          </w:p>
        </w:tc>
      </w:tr>
      <w:tr>
        <w:trPr>
          <w:trHeight w:val="183"/>
        </w:trPr>
        <w:tc>
          <w:tcPr>
            <w:tcW w:w="34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Risk-free interest rate</w:t>
            </w:r>
          </w:p>
        </w:tc>
        <w:tc>
          <w:tcPr>
            <w:tcW w:w="1360" w:type="dxa"/>
            <w:vAlign w:val="bottom"/>
            <w:gridSpan w:val="2"/>
            <w:shd w:val="clear" w:color="auto" w:fill="CCEEFF"/>
          </w:tcPr>
          <w:p>
            <w:pPr>
              <w:jc w:val="right"/>
              <w:ind w:right="320"/>
              <w:spacing w:after="0" w:line="184" w:lineRule="exact"/>
              <w:rPr>
                <w:sz w:val="20"/>
                <w:szCs w:val="20"/>
                <w:color w:val="auto"/>
              </w:rPr>
            </w:pPr>
            <w:r>
              <w:rPr>
                <w:rFonts w:ascii="Arial" w:cs="Arial" w:eastAsia="Arial" w:hAnsi="Arial"/>
                <w:sz w:val="17"/>
                <w:szCs w:val="17"/>
                <w:color w:val="auto"/>
              </w:rPr>
              <w:t>1.73%</w:t>
            </w:r>
          </w:p>
        </w:tc>
        <w:tc>
          <w:tcPr>
            <w:tcW w:w="1820" w:type="dxa"/>
            <w:vAlign w:val="bottom"/>
            <w:gridSpan w:val="3"/>
            <w:shd w:val="clear" w:color="auto" w:fill="CCEEFF"/>
          </w:tcPr>
          <w:p>
            <w:pPr>
              <w:jc w:val="right"/>
              <w:ind w:right="320"/>
              <w:spacing w:after="0" w:line="184" w:lineRule="exact"/>
              <w:rPr>
                <w:sz w:val="20"/>
                <w:szCs w:val="20"/>
                <w:color w:val="auto"/>
              </w:rPr>
            </w:pPr>
            <w:r>
              <w:rPr>
                <w:rFonts w:ascii="Arial" w:cs="Arial" w:eastAsia="Arial" w:hAnsi="Arial"/>
                <w:sz w:val="17"/>
                <w:szCs w:val="17"/>
                <w:color w:val="auto"/>
              </w:rPr>
              <w:t>1.20%</w:t>
            </w:r>
          </w:p>
        </w:tc>
        <w:tc>
          <w:tcPr>
            <w:tcW w:w="1460" w:type="dxa"/>
            <w:vAlign w:val="bottom"/>
            <w:tcBorders>
              <w:right w:val="single" w:sz="8" w:color="auto"/>
            </w:tcBorders>
            <w:gridSpan w:val="2"/>
            <w:shd w:val="clear" w:color="auto" w:fill="CCEEFF"/>
          </w:tcPr>
          <w:p>
            <w:pPr>
              <w:jc w:val="right"/>
              <w:ind w:right="280"/>
              <w:spacing w:after="0" w:line="184" w:lineRule="exact"/>
              <w:rPr>
                <w:sz w:val="20"/>
                <w:szCs w:val="20"/>
                <w:color w:val="auto"/>
              </w:rPr>
            </w:pPr>
            <w:r>
              <w:rPr>
                <w:rFonts w:ascii="Arial" w:cs="Arial" w:eastAsia="Arial" w:hAnsi="Arial"/>
                <w:sz w:val="17"/>
                <w:szCs w:val="17"/>
                <w:color w:val="auto"/>
              </w:rPr>
              <w:t>1.70%</w:t>
            </w:r>
          </w:p>
        </w:tc>
        <w:tc>
          <w:tcPr>
            <w:tcW w:w="6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560"/>
              <w:spacing w:after="0" w:line="184" w:lineRule="exact"/>
              <w:rPr>
                <w:sz w:val="20"/>
                <w:szCs w:val="20"/>
                <w:color w:val="auto"/>
              </w:rPr>
            </w:pPr>
            <w:r>
              <w:rPr>
                <w:rFonts w:ascii="Arial" w:cs="Arial" w:eastAsia="Arial" w:hAnsi="Arial"/>
                <w:sz w:val="17"/>
                <w:szCs w:val="17"/>
                <w:color w:val="auto"/>
              </w:rPr>
              <w:t>N/A</w:t>
            </w:r>
          </w:p>
        </w:tc>
        <w:tc>
          <w:tcPr>
            <w:tcW w:w="122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0.30%</w:t>
            </w:r>
          </w:p>
        </w:tc>
      </w:tr>
      <w:tr>
        <w:trPr>
          <w:trHeight w:val="183"/>
        </w:trPr>
        <w:tc>
          <w:tcPr>
            <w:tcW w:w="3400" w:type="dxa"/>
            <w:vAlign w:val="bottom"/>
          </w:tcPr>
          <w:p>
            <w:pPr>
              <w:spacing w:after="0" w:line="184" w:lineRule="exact"/>
              <w:rPr>
                <w:sz w:val="20"/>
                <w:szCs w:val="20"/>
                <w:color w:val="auto"/>
              </w:rPr>
            </w:pPr>
            <w:r>
              <w:rPr>
                <w:rFonts w:ascii="Arial" w:cs="Arial" w:eastAsia="Arial" w:hAnsi="Arial"/>
                <w:sz w:val="17"/>
                <w:szCs w:val="17"/>
                <w:color w:val="auto"/>
              </w:rPr>
              <w:t>Expected dividend yield</w:t>
            </w:r>
          </w:p>
        </w:tc>
        <w:tc>
          <w:tcPr>
            <w:tcW w:w="136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0.00%</w:t>
            </w:r>
          </w:p>
        </w:tc>
        <w:tc>
          <w:tcPr>
            <w:tcW w:w="1820" w:type="dxa"/>
            <w:vAlign w:val="bottom"/>
            <w:gridSpan w:val="3"/>
          </w:tcPr>
          <w:p>
            <w:pPr>
              <w:jc w:val="right"/>
              <w:ind w:right="320"/>
              <w:spacing w:after="0" w:line="184" w:lineRule="exact"/>
              <w:rPr>
                <w:sz w:val="20"/>
                <w:szCs w:val="20"/>
                <w:color w:val="auto"/>
              </w:rPr>
            </w:pPr>
            <w:r>
              <w:rPr>
                <w:rFonts w:ascii="Arial" w:cs="Arial" w:eastAsia="Arial" w:hAnsi="Arial"/>
                <w:sz w:val="17"/>
                <w:szCs w:val="17"/>
                <w:color w:val="auto"/>
              </w:rPr>
              <w:t>0.00%</w:t>
            </w:r>
          </w:p>
        </w:tc>
        <w:tc>
          <w:tcPr>
            <w:tcW w:w="1460" w:type="dxa"/>
            <w:vAlign w:val="bottom"/>
            <w:tcBorders>
              <w:right w:val="single" w:sz="8" w:color="auto"/>
            </w:tcBorders>
            <w:gridSpan w:val="2"/>
          </w:tcPr>
          <w:p>
            <w:pPr>
              <w:jc w:val="right"/>
              <w:ind w:right="280"/>
              <w:spacing w:after="0" w:line="184" w:lineRule="exact"/>
              <w:rPr>
                <w:sz w:val="20"/>
                <w:szCs w:val="20"/>
                <w:color w:val="auto"/>
              </w:rPr>
            </w:pPr>
            <w:r>
              <w:rPr>
                <w:rFonts w:ascii="Arial" w:cs="Arial" w:eastAsia="Arial" w:hAnsi="Arial"/>
                <w:sz w:val="17"/>
                <w:szCs w:val="17"/>
                <w:color w:val="auto"/>
              </w:rPr>
              <w:t>0.00%</w:t>
            </w:r>
          </w:p>
        </w:tc>
        <w:tc>
          <w:tcPr>
            <w:tcW w:w="600" w:type="dxa"/>
            <w:vAlign w:val="bottom"/>
          </w:tcPr>
          <w:p>
            <w:pPr>
              <w:spacing w:after="0"/>
              <w:rPr>
                <w:sz w:val="15"/>
                <w:szCs w:val="15"/>
                <w:color w:val="auto"/>
              </w:rPr>
            </w:pPr>
          </w:p>
        </w:tc>
        <w:tc>
          <w:tcPr>
            <w:tcW w:w="1560" w:type="dxa"/>
            <w:vAlign w:val="bottom"/>
            <w:gridSpan w:val="2"/>
          </w:tcPr>
          <w:p>
            <w:pPr>
              <w:ind w:left="560"/>
              <w:spacing w:after="0" w:line="184" w:lineRule="exact"/>
              <w:rPr>
                <w:sz w:val="20"/>
                <w:szCs w:val="20"/>
                <w:color w:val="auto"/>
              </w:rPr>
            </w:pPr>
            <w:r>
              <w:rPr>
                <w:rFonts w:ascii="Arial" w:cs="Arial" w:eastAsia="Arial" w:hAnsi="Arial"/>
                <w:sz w:val="17"/>
                <w:szCs w:val="17"/>
                <w:color w:val="auto"/>
              </w:rPr>
              <w:t>N/A</w:t>
            </w:r>
          </w:p>
        </w:tc>
        <w:tc>
          <w:tcPr>
            <w:tcW w:w="122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4" w:lineRule="exact"/>
        <w:rPr>
          <w:sz w:val="20"/>
          <w:szCs w:val="20"/>
          <w:color w:val="auto"/>
        </w:rPr>
      </w:pPr>
    </w:p>
    <w:p>
      <w:pPr>
        <w:jc w:val="both"/>
        <w:ind w:right="40"/>
        <w:spacing w:after="0" w:line="230" w:lineRule="auto"/>
        <w:rPr>
          <w:sz w:val="20"/>
          <w:szCs w:val="20"/>
          <w:color w:val="auto"/>
        </w:rPr>
      </w:pPr>
      <w:r>
        <w:rPr>
          <w:rFonts w:ascii="Arial" w:cs="Arial" w:eastAsia="Arial" w:hAnsi="Arial"/>
          <w:sz w:val="17"/>
          <w:szCs w:val="17"/>
          <w:color w:val="auto"/>
        </w:rPr>
        <w:t>The assumptions used in the Successor portion of the table above represent those used for the Successor six months ended June 30, 2016, the Successor year ended December 31, 2015 and the period ended December 31, 2014 fair value calculation of the stock options as required for liability-classified stock compensation accounting. The assumptions used in the Predecessor portion of the table above reflect grant date inputs used to arrive at the grant date fair values as the Predecessor awards are subject to equity-classified stock compensation accounting.</w:t>
      </w:r>
    </w:p>
    <w:p>
      <w:pPr>
        <w:spacing w:after="0" w:line="14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The weighted average grant date fair value of employee stock options granted was $3.18 for the Successor six months ended June 30, 2016, $2.82 for the Successor year ended December 31, 2015, $3.21 for Successor nine month period ended December 31, 2014, not applicable for the Predecessor three month period ended March 31, 2014 and $1.66 for the Predecessor year ended December 31, 2013.</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and Issued Accounting Standards</w:t>
      </w:r>
    </w:p>
    <w:p>
      <w:pPr>
        <w:spacing w:after="0" w:line="29"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2015-05, “</w:t>
      </w:r>
      <w:r>
        <w:rPr>
          <w:rFonts w:ascii="Arial" w:cs="Arial" w:eastAsia="Arial" w:hAnsi="Arial"/>
          <w:sz w:val="17"/>
          <w:szCs w:val="17"/>
          <w:i w:val="1"/>
          <w:iCs w:val="1"/>
          <w:color w:val="auto"/>
        </w:rPr>
        <w:t>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provides guidance for a customer’s accounting for cloud computing costs. Under ASU 2015-05, if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prospectively to all arrangements entered into or materially modified after the effective date, or retrospectively. The Company adopted ASU 2015-05 in the first quarter of 2016. There was no impact to the Company’s condensed consolidated statements of operations, comprehensive (loss) income, shareholders’ equity or cash flows.</w:t>
      </w:r>
    </w:p>
    <w:p>
      <w:pPr>
        <w:spacing w:after="0" w:line="123"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new guidance adds Topic 326 to the FASB Accounting Standards Codification and removes the thresholds that companies apply to measure credit losses on financial instruments measured at amortized cost, such as loans, receivables, and held-to-maturity debt securities. Under current U.S. GAAP, companies generally recognize credit losses when it is probable that the loss has been incurred. The revised guidance will remove all recognition thresholds and will require companies to recognize an allowance for credit losses for the difference between the amortized cost basis of a financial instrument and the amount of amortized cost that the company expects to collect over the instrument’s contractual life. ASU 2016-13 will be applied on a prospective basis for fiscal years and interim periods beginning after December 15, 2019, with early adoption permitted for fiscal years beginning and interim periods beginning after December 15, 2018. The Company is currently evaluating the effect this standard will have on its condensed consolidated financial statements.</w:t>
      </w:r>
    </w:p>
    <w:p>
      <w:pPr>
        <w:spacing w:after="0" w:line="128"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 xml:space="preserve">In May 2016, the FASB issued ASU 2016-12,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In March 2016, the FASB issued ASU 2016-08, </w:t>
      </w:r>
      <w:r>
        <w:rPr>
          <w:rFonts w:ascii="Arial" w:cs="Arial" w:eastAsia="Arial" w:hAnsi="Arial"/>
          <w:sz w:val="17"/>
          <w:szCs w:val="17"/>
          <w:i w:val="1"/>
          <w:iCs w:val="1"/>
          <w:color w:val="auto"/>
        </w:rPr>
        <w:t>Revenue from Contracts with Customers (Topic 606): Principal versus Agent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49"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Considerations (Reporting Revenue Gross versus Net)</w:t>
      </w:r>
      <w:r>
        <w:rPr>
          <w:rFonts w:ascii="Arial" w:cs="Arial" w:eastAsia="Arial" w:hAnsi="Arial"/>
          <w:sz w:val="16"/>
          <w:szCs w:val="16"/>
          <w:color w:val="auto"/>
        </w:rPr>
        <w:t>. In April 2016, the FASB issued ASU 2016-10,</w:t>
      </w:r>
      <w:r>
        <w:rPr>
          <w:rFonts w:ascii="Arial" w:cs="Arial" w:eastAsia="Arial" w:hAnsi="Arial"/>
          <w:sz w:val="16"/>
          <w:szCs w:val="16"/>
          <w:i w:val="1"/>
          <w:iCs w:val="1"/>
          <w:color w:val="auto"/>
        </w:rPr>
        <w:t xml:space="preserve"> Revenue from Contracts with Customers (Topic 606):</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ASUs 2016-12, 2016-10 and 2016-08 all clarify the interpretation guidance in ASU No. 2014-09,</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specifically related to narrowing specific aspects of Topic 606 and adding illustrative examples to assist in the</w:t>
      </w:r>
    </w:p>
    <w:p>
      <w:pPr>
        <w:spacing w:after="0"/>
        <w:rPr>
          <w:sz w:val="20"/>
          <w:szCs w:val="20"/>
          <w:color w:val="auto"/>
        </w:rPr>
      </w:pPr>
      <w:r>
        <w:rPr>
          <w:rFonts w:ascii="Arial" w:cs="Arial" w:eastAsia="Arial" w:hAnsi="Arial"/>
          <w:sz w:val="16"/>
          <w:szCs w:val="16"/>
          <w:color w:val="auto"/>
        </w:rPr>
        <w:t>application of the guidance. The effective date and transition requirements in ASUs 2016-12, 2016-10 and 2016-08 are the same as the effective date and</w:t>
      </w:r>
    </w:p>
    <w:p>
      <w:pPr>
        <w:spacing w:after="0" w:line="225" w:lineRule="auto"/>
        <w:rPr>
          <w:sz w:val="20"/>
          <w:szCs w:val="20"/>
          <w:color w:val="auto"/>
        </w:rPr>
      </w:pPr>
      <w:r>
        <w:rPr>
          <w:rFonts w:ascii="Arial" w:cs="Arial" w:eastAsia="Arial" w:hAnsi="Arial"/>
          <w:sz w:val="17"/>
          <w:szCs w:val="17"/>
          <w:color w:val="auto"/>
        </w:rPr>
        <w:t xml:space="preserve">transition requirements of ASU 2014-09.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defers the</w:t>
      </w:r>
    </w:p>
    <w:p>
      <w:pPr>
        <w:spacing w:after="0"/>
        <w:rPr>
          <w:sz w:val="20"/>
          <w:szCs w:val="20"/>
          <w:color w:val="auto"/>
        </w:rPr>
      </w:pPr>
      <w:r>
        <w:rPr>
          <w:rFonts w:ascii="Arial" w:cs="Arial" w:eastAsia="Arial" w:hAnsi="Arial"/>
          <w:sz w:val="16"/>
          <w:szCs w:val="16"/>
          <w:color w:val="auto"/>
        </w:rPr>
        <w:t>effective date of ASU 2014-09 by one year. The Company will adopt the clarified guidance in ASUs 2016-12, 2016-10 and 2016-08 by January 1, 2018, as</w:t>
      </w:r>
    </w:p>
    <w:p>
      <w:pPr>
        <w:spacing w:after="0"/>
        <w:rPr>
          <w:sz w:val="20"/>
          <w:szCs w:val="20"/>
          <w:color w:val="auto"/>
        </w:rPr>
      </w:pPr>
      <w:r>
        <w:rPr>
          <w:rFonts w:ascii="Arial" w:cs="Arial" w:eastAsia="Arial" w:hAnsi="Arial"/>
          <w:sz w:val="17"/>
          <w:szCs w:val="17"/>
          <w:color w:val="auto"/>
        </w:rPr>
        <w:t>required. The Company is currently evaluating the impact of this new standard on its condensed consolidated financial statements.</w:t>
      </w:r>
    </w:p>
    <w:p>
      <w:pPr>
        <w:spacing w:after="0" w:line="127"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 simplify certain aspects of accounting for share-based payments to 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consolidated financial statements.</w:t>
      </w:r>
    </w:p>
    <w:p>
      <w:pPr>
        <w:spacing w:after="0" w:line="125" w:lineRule="exact"/>
        <w:rPr>
          <w:sz w:val="20"/>
          <w:szCs w:val="20"/>
          <w:color w:val="auto"/>
        </w:rPr>
      </w:pPr>
    </w:p>
    <w:p>
      <w:pPr>
        <w:ind w:right="260"/>
        <w:spacing w:after="0" w:line="23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consolidated financial statements.</w:t>
      </w:r>
    </w:p>
    <w:p>
      <w:pPr>
        <w:spacing w:after="0" w:line="125"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ASU No. 2015-03 requires debt issuance costs to be presented in the balance sheet as a direct deduction from the associated debt liability. ASU No. 2015-03 was to be effective for annual reporting periods beginning after December 15, 2015, and interim periods within those fiscal years. The Company early adopted ASU No. 2015-03 during 2015 and as a result, $12.1 million in debt issuance costs previously reported in other assets were reclassified to long-term debt, net, less current portion, in the consolidated balance sheet as of December 31, 2014. There was no impact to the Company’s consolidated statements of operations, comprehensive (loss) income, shareholders’ equity or cash flows.</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April 2015, the FASB issued ASU No. 2015-05,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which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either prospectively to all arrangements entered into or materially modified after the effective date, or retrospectively. The Company adopted ASU 2015-05 in the first quarter of 2016. There was no impact to the Company’s consolidated statements of operations, comprehensive (loss) income, shareholders’ equity or cash flows.</w:t>
      </w:r>
    </w:p>
    <w:p>
      <w:pPr>
        <w:spacing w:after="0" w:line="116"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No. 2015-17 requires entities to present deferred tax assets and deferred tax liabilities as noncurrent in a classified balance sheet. ASU No. 2015-17 simplifies the current guidance, which requires entities to separately present deferred tax assets and deferred tax liabilities as current and noncurrent in a classified balance sheet. ASU No. 2015-17 was to be effective for annual reporting periods beginning after December 15, 2016, and interim periods within those annual periods. The Company early adopted ASU No. 2015-17 during 2015 and as a result, $3.3 million of current deferred income tax assets were reclassified in the consolidated balance sheet as of December 31, 2014. There was no impact to the Company’s consolidated statements of operations, comprehensive (loss) income, shareholders’ equity or cash flows.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49"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of recognizing revenue and create common revenue recognition guidance between U.S. GAAP and International Financial Reporting Standards. In July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which delayed the effective date of ASU 2014-09 by one year and modified the standard to allow early adoption. For public entities, the standard is now effective for reporting periods beginning after December 15, 2017. Earlier application is permitted only as of annual reporting periods beginning after December 15, 2016, including interim reporting periods within that reporting period. Entities can transition to the standard either retrospectively or as a cumulative effect adjustment as of the date of adoption. We are currently assessing the potential impact of ASU No. 2014-09 on the Company’s consolidated financial statements.</w:t>
      </w:r>
    </w:p>
    <w:p>
      <w:pPr>
        <w:spacing w:after="0" w:line="123"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In April 2014, the FASB issued amendments to ASC 205,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through issuance of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This ASU requires management to assess an entity’s ability to continue as a going concern by incorporating and expanding upon certain principles that are currently in U.S. auditing standards. The new guidance is effective for fiscal years ending after December 15, 2016, and for annual periods and interim periods thereafter, with early adoption permitted. We do not anticipate that this ASU will have any impact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3"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interest rates, credit risk and risk of inflation and we regularly evaluate our exposure to such changes.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34"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We have business operations globally and accordingly, we are exposed to foreign currency fluctuations that can affect our financial results. For the Successor year ended December 31, 2015, approximately 8.4% of our revenue was derived from contracts denominated in currencies other than the U.S. dollar, whereas 24.9% of our operational costs, including, but not limited to, salaries, wages and other employee benefits, were derived in foreign currencies. Of these exposures, 94.9% of revenue denominated in foreign currencies and 46.8% of operational costs denominated in foreign currencies were Euro denominated. If the U.S. dollar were to appreciate against all other currencies by a hypothetical average of 10%, our pre-tax income for the Successor year ended December 31, 2015 would have been positively impacted by approximately $3.2 million, while a hypothetical depreciation of 10% against all other currencies would result in a negative earnings impact of approximately $3.2 million.</w:t>
      </w:r>
    </w:p>
    <w:p>
      <w:pPr>
        <w:spacing w:after="0" w:line="141" w:lineRule="exact"/>
        <w:rPr>
          <w:sz w:val="20"/>
          <w:szCs w:val="20"/>
          <w:color w:val="auto"/>
        </w:rPr>
      </w:pPr>
    </w:p>
    <w:p>
      <w:pPr>
        <w:jc w:val="both"/>
        <w:ind w:right="180"/>
        <w:spacing w:after="0" w:line="249" w:lineRule="auto"/>
        <w:rPr>
          <w:sz w:val="20"/>
          <w:szCs w:val="20"/>
          <w:color w:val="auto"/>
        </w:rPr>
      </w:pPr>
      <w:r>
        <w:rPr>
          <w:rFonts w:ascii="Arial" w:cs="Arial" w:eastAsia="Arial" w:hAnsi="Arial"/>
          <w:sz w:val="16"/>
          <w:szCs w:val="16"/>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this exposure we provide for exchange rate fluctuation adjustments subject to certain thresholds within our foreign currency denominated contracts.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3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Our contracts that provide for services to be performed in excess of a year generally include inflation adjustments for the portion of the services to be performed beyond one year from the contract date. We do not have significant operations in countries where the economy is considered highly inflationary, and do not believe in the near term that inflation will have a material adverse impact on us. However, if actual rates are greater than our contractual inflation rates, inflation could have a material adverse effect on our operations or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34" w:lineRule="exact"/>
        <w:rPr>
          <w:sz w:val="20"/>
          <w:szCs w:val="20"/>
          <w:color w:val="auto"/>
        </w:rPr>
      </w:pPr>
    </w:p>
    <w:p>
      <w:pPr>
        <w:ind w:right="320"/>
        <w:spacing w:after="0" w:line="228" w:lineRule="auto"/>
        <w:rPr>
          <w:sz w:val="20"/>
          <w:szCs w:val="20"/>
          <w:color w:val="auto"/>
        </w:rPr>
      </w:pPr>
      <w:r>
        <w:rPr>
          <w:rFonts w:ascii="Arial" w:cs="Arial" w:eastAsia="Arial" w:hAnsi="Arial"/>
          <w:sz w:val="17"/>
          <w:szCs w:val="17"/>
          <w:color w:val="auto"/>
        </w:rPr>
        <w:t>We are primarily exposed to interest rate risk through our Senior Secured Credit Facilities. As of December 31, 2015 and 2014, we had outstanding amounts related to the Senior Secured Credit Facilities of $377.9 million (net of an unamortized discount of $2.0 million and unamortized debt issuance costs of $10.1 million) and $491.5 million (net of an unamortized discount of $2.4 million and unamortized debt issuance costs of $12.1 million), respectively, subject to variable interest rates. The applicable LIBOR interest rate, our primary interest rate exposure, for the Senior Secured Credit Facilities is subject to a 1.00% floor. As the applicable LIBOR interest rates as of December 31, 2015 and 2014 were less than the floor, the applicable interest rates would have had to rise by 57</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80"/>
          </w:cols>
          <w:pgMar w:left="240" w:top="449" w:right="2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basis points and 83 basis points, respectively, to impact interest expense. Each quarter point increase in the applicable interest rate above the floor as of December 31, 2015 and 2014 would have changed our interest expense by approximately $1.1 million and $1.0 million, for the Successor year ended December 31, 2015 and the Successor nine month period ended December 31, 2014,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34" w:lineRule="exact"/>
        <w:rPr>
          <w:sz w:val="20"/>
          <w:szCs w:val="20"/>
          <w:color w:val="auto"/>
        </w:rPr>
      </w:pPr>
    </w:p>
    <w:p>
      <w:pPr>
        <w:ind w:right="320"/>
        <w:spacing w:after="0" w:line="231" w:lineRule="auto"/>
        <w:rPr>
          <w:sz w:val="20"/>
          <w:szCs w:val="20"/>
          <w:color w:val="auto"/>
        </w:rPr>
      </w:pPr>
      <w:r>
        <w:rPr>
          <w:rFonts w:ascii="Arial" w:cs="Arial" w:eastAsia="Arial" w:hAnsi="Arial"/>
          <w:sz w:val="17"/>
          <w:szCs w:val="17"/>
          <w:color w:val="auto"/>
        </w:rPr>
        <w:t>Financial instruments that subject the Company to credit risk primarily consist of cash and cash equivalents, and accounts receivable and unbilled. The cash and cash equivalent balances are held and maintained with high-quality financial institutions with reputable credit ratings and, consequently, we believe that such funds are subject to minimal credit risk.</w:t>
      </w:r>
    </w:p>
    <w:p>
      <w:pPr>
        <w:spacing w:after="0" w:line="14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We generally do not require collateral or other securities to support customer receivables. In the Successor year ended December 31, 2015, the Successor nine month period ended December 31, 2014, the Predecessor three month period ended March 31, 2014 and the Predecessor year ended December 31, 2013, credit losses have been immaterial and within our expectations. Moreover, in many cases we require advance payment from our customers for a portion of the study contract price upon the signing of a service contract which helps to mitigate credit risk. As of December 31, 2015 and 2014, there were no major customers accounting for more than 10% of our accounts receivable and unbilled.</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60"/>
          </w:cols>
          <w:pgMar w:left="240" w:top="449" w:right="2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4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We were founded in 1992 by Dr. August J. Troendle, an industry pioneer, as a Phase II-IV-focused CRO with a strong, scientifically-driven and disciplined operating model, and we continue today as a founder-led enterprise with Dr. Troendle retaining a significant ownership stake in Medpace. Throughout our 24-year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CNS and AVAI, as well as therapeutic expertise in Medical Devices. Our global platform includes approximately 2,300 employees across 35 countries, providing our customers with broad access to diverse markets and patient populations as well as local regulatory expertise and market knowledge.</w:t>
      </w:r>
    </w:p>
    <w:p>
      <w:pPr>
        <w:spacing w:after="0" w:line="141"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 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14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2015, we generated 55.7%, 29.3% and 15.0% of our net service revenue from small biopharmaceutical companies, mid-sized biopharmaceutical companies and large pharmaceutical companies,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model, focused on full-service delivery, and our attractive customer mix have resulted in robust levels of historical revenue growth,</w:t>
      </w:r>
    </w:p>
    <w:p>
      <w:pPr>
        <w:spacing w:after="0" w:line="225" w:lineRule="auto"/>
        <w:rPr>
          <w:sz w:val="20"/>
          <w:szCs w:val="20"/>
          <w:color w:val="auto"/>
        </w:rPr>
      </w:pPr>
      <w:r>
        <w:rPr>
          <w:rFonts w:ascii="Arial" w:cs="Arial" w:eastAsia="Arial" w:hAnsi="Arial"/>
          <w:sz w:val="17"/>
          <w:szCs w:val="17"/>
          <w:color w:val="auto"/>
        </w:rPr>
        <w:t>Adjusted EBITDA margins and strong Free Cash Flow. For the Successor year ended December 31, 2015, we generated total net service revenue of</w:t>
      </w:r>
    </w:p>
    <w:p>
      <w:pPr>
        <w:spacing w:after="0"/>
        <w:rPr>
          <w:sz w:val="20"/>
          <w:szCs w:val="20"/>
          <w:color w:val="auto"/>
        </w:rPr>
      </w:pPr>
      <w:r>
        <w:rPr>
          <w:rFonts w:ascii="Arial" w:cs="Arial" w:eastAsia="Arial" w:hAnsi="Arial"/>
          <w:sz w:val="16"/>
          <w:szCs w:val="16"/>
          <w:color w:val="auto"/>
        </w:rPr>
        <w:t>$320.1 million and Adjusted EBITDA of $101.2 million, representing net service revenue and Adjusted EBITDA compound annual growth rates, or CAGRs,</w:t>
      </w:r>
    </w:p>
    <w:p>
      <w:pPr>
        <w:spacing w:after="0"/>
        <w:rPr>
          <w:sz w:val="20"/>
          <w:szCs w:val="20"/>
          <w:color w:val="auto"/>
        </w:rPr>
      </w:pPr>
      <w:r>
        <w:rPr>
          <w:rFonts w:ascii="Arial" w:cs="Arial" w:eastAsia="Arial" w:hAnsi="Arial"/>
          <w:sz w:val="17"/>
          <w:szCs w:val="17"/>
          <w:color w:val="auto"/>
        </w:rPr>
        <w:t>of 21.7% and 26.2%, respectively, since 2012. Our net (loss) income for the Successor year ended December 31,</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449" w:right="2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Over the last 15 years, we have maintained average Adjusted EBITDA margins of approximately 34%, while significantly scaling our business organically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“Selected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Process</w:t>
      </w:r>
    </w:p>
    <w:p>
      <w:pPr>
        <w:spacing w:after="0" w:line="47"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Before a new drug can be commercialized, it often must undergo extensive pre-clinical and clinical testing and regulatory review to verify safety and efficacy. CROs provide a comprehensive range of product development services for Phase I-IV clinical trials. These clinical trials are separated into distinct phases in order to thoroughly evaluate the product. Pharmaceutical Research and Manufacturers of America, 2015 Biopharmaceutical Research Industry Profile, a trade group publication, indicates that from drug discovery through approval by the United States Food and Drug Administration, or FDA, developing a new medicine takes at least 10 years and costs approximately $2.6 billion.</w:t>
      </w: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following graphic, based on data presented in the Pharmaceutical Research and Manufacturers of America, 2013 Biopharmaceutical Research Industry Profile and 2015 Biopharmaceutical Research Industry Profile, industry trade group publications, illustrates the various stages and typical timeline of the clinical development process: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Stages of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164465</wp:posOffset>
            </wp:positionV>
            <wp:extent cx="4963795" cy="2444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63795" cy="244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Pharmaceutical and biotechnology companies outsource product development services to CROs in order to efficiently and cost-effectively manage the clinical development process and obtain regulatory approval and reach the market in as timely a manner as possible. Historically, outsourcing was driven primarily by the need for pharmaceutical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49"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biotechnology companies to reduce cost and maintain focus on core competencies, or to provide services or capabilities that these companies did not have internally. In recent years, the role of a CRO has evolved and CROs are now increasingly an integral component of the product development process, providing their customers with regulatory and therapeutic expertise, complex clinical trial design, broader geographic coverage, access to diverse population pools and consistent and reliable data systems and procedures.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 Market Size</w:t>
      </w:r>
    </w:p>
    <w:p>
      <w:pPr>
        <w:spacing w:after="0" w:line="34"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 Market Trends</w:t>
      </w:r>
    </w:p>
    <w:p>
      <w:pPr>
        <w:spacing w:after="0" w:line="55" w:lineRule="exact"/>
        <w:rPr>
          <w:sz w:val="20"/>
          <w:szCs w:val="20"/>
          <w:color w:val="auto"/>
        </w:rPr>
      </w:pPr>
    </w:p>
    <w:p>
      <w:pPr>
        <w:spacing w:after="0" w:line="228" w:lineRule="auto"/>
        <w:rPr>
          <w:sz w:val="20"/>
          <w:szCs w:val="20"/>
          <w:color w:val="auto"/>
        </w:rPr>
      </w:pPr>
      <w:r>
        <w:rPr>
          <w:rFonts w:ascii="Arial" w:cs="Arial" w:eastAsia="Arial" w:hAnsi="Arial"/>
          <w:sz w:val="17"/>
          <w:szCs w:val="17"/>
          <w:i w:val="1"/>
          <w:iCs w:val="1"/>
          <w:color w:val="auto"/>
        </w:rPr>
        <w:t xml:space="preserve">Increasing Development Expenditures. </w:t>
      </w:r>
      <w:r>
        <w:rPr>
          <w:rFonts w:ascii="Arial" w:cs="Arial" w:eastAsia="Arial" w:hAnsi="Arial"/>
          <w:sz w:val="17"/>
          <w:szCs w:val="17"/>
          <w:color w:val="auto"/>
        </w:rPr>
        <w:t>We estimate that biopharmaceutical development expenditures will grow from approximately $100 billion in 2014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There were 13,718 drugs in the development pipeline in January 2016, as identified by Citeline Pharma’s R&amp;D Annual Review 2016, an industry publication, which was an increase of approximately 41% compared to the 9,737 that were in development in 2010.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39" w:lineRule="exact"/>
        <w:rPr>
          <w:sz w:val="20"/>
          <w:szCs w:val="20"/>
          <w:color w:val="auto"/>
        </w:rPr>
      </w:pPr>
    </w:p>
    <w:p>
      <w:pPr>
        <w:jc w:val="both"/>
        <w:ind w:right="340"/>
        <w:spacing w:after="0" w:line="235" w:lineRule="auto"/>
        <w:rPr>
          <w:sz w:val="20"/>
          <w:szCs w:val="20"/>
          <w:color w:val="auto"/>
        </w:rPr>
      </w:pPr>
      <w:r>
        <w:rPr>
          <w:rFonts w:ascii="Arial" w:cs="Arial" w:eastAsia="Arial" w:hAnsi="Arial"/>
          <w:sz w:val="17"/>
          <w:szCs w:val="17"/>
          <w:i w:val="1"/>
          <w:iCs w:val="1"/>
          <w:color w:val="auto"/>
        </w:rPr>
        <w:t xml:space="preserve">Increasing Outsourcing Penetration. </w:t>
      </w:r>
      <w:r>
        <w:rPr>
          <w:rFonts w:ascii="Arial" w:cs="Arial" w:eastAsia="Arial" w:hAnsi="Arial"/>
          <w:sz w:val="17"/>
          <w:szCs w:val="17"/>
          <w:color w:val="auto"/>
        </w:rPr>
        <w:t>Outsourcing penetration is the percentage of biopharmaceutical clinical development costs that are outsourced to</w:t>
      </w:r>
      <w:r>
        <w:rPr>
          <w:rFonts w:ascii="Arial" w:cs="Arial" w:eastAsia="Arial" w:hAnsi="Arial"/>
          <w:sz w:val="17"/>
          <w:szCs w:val="17"/>
          <w:i w:val="1"/>
          <w:iCs w:val="1"/>
          <w:color w:val="auto"/>
        </w:rPr>
        <w:t xml:space="preserve"> </w:t>
      </w:r>
      <w:r>
        <w:rPr>
          <w:rFonts w:ascii="Arial" w:cs="Arial" w:eastAsia="Arial" w:hAnsi="Arial"/>
          <w:sz w:val="17"/>
          <w:szCs w:val="17"/>
          <w:color w:val="auto"/>
        </w:rPr>
        <w:t>CROs. 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25"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i w:val="1"/>
          <w:iCs w:val="1"/>
          <w:color w:val="auto"/>
        </w:rPr>
        <w:t xml:space="preserve">Pressures Facing Biopharmaceutical Industry. </w:t>
      </w:r>
      <w:r>
        <w:rPr>
          <w:rFonts w:ascii="Arial" w:cs="Arial" w:eastAsia="Arial" w:hAnsi="Arial"/>
          <w:sz w:val="17"/>
          <w:szCs w:val="17"/>
          <w:color w:val="auto"/>
        </w:rPr>
        <w:t>The biopharmaceutical industry continues to experience significant challenges, including regulatory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25" w:lineRule="exact"/>
        <w:rPr>
          <w:sz w:val="20"/>
          <w:szCs w:val="20"/>
          <w:color w:val="auto"/>
        </w:rPr>
      </w:pPr>
    </w:p>
    <w:p>
      <w:pPr>
        <w:spacing w:after="0" w:line="229" w:lineRule="auto"/>
        <w:rPr>
          <w:sz w:val="20"/>
          <w:szCs w:val="20"/>
          <w:color w:val="auto"/>
        </w:rPr>
      </w:pPr>
      <w:r>
        <w:rPr>
          <w:rFonts w:ascii="Arial" w:cs="Arial" w:eastAsia="Arial" w:hAnsi="Arial"/>
          <w:sz w:val="17"/>
          <w:szCs w:val="17"/>
          <w:i w:val="1"/>
          <w:iCs w:val="1"/>
          <w:color w:val="auto"/>
        </w:rPr>
        <w:t xml:space="preserve">Increasing Clinical Trial Complexity. </w:t>
      </w:r>
      <w:r>
        <w:rPr>
          <w:rFonts w:ascii="Arial" w:cs="Arial" w:eastAsia="Arial" w:hAnsi="Arial"/>
          <w:sz w:val="17"/>
          <w:szCs w:val="17"/>
          <w:color w:val="auto"/>
        </w:rPr>
        <w:t>Clinical trial design and structure has become increasingly complex based on regulatory agency sophistication, more</w:t>
      </w:r>
      <w:r>
        <w:rPr>
          <w:rFonts w:ascii="Arial" w:cs="Arial" w:eastAsia="Arial" w:hAnsi="Arial"/>
          <w:sz w:val="17"/>
          <w:szCs w:val="17"/>
          <w:i w:val="1"/>
          <w:iCs w:val="1"/>
          <w:color w:val="auto"/>
        </w:rPr>
        <w:t xml:space="preserve"> </w:t>
      </w:r>
      <w:r>
        <w:rPr>
          <w:rFonts w:ascii="Arial" w:cs="Arial" w:eastAsia="Arial" w:hAnsi="Arial"/>
          <w:sz w:val="17"/>
          <w:szCs w:val="17"/>
          <w:color w:val="auto"/>
        </w:rPr>
        <w:t>complicated protocols and a growing focus by biopharmaceutical companies on developing new cutting-edge drug therapies. For example, based on the data available in the FDA’s Orphan Drug Product designation database, the number of orphan drug designations granted has increased by nearly 90% over the past three years from 190 in 2012 to 354 in 2015. This growing complexity brings new challenges in study feasibility, site selection, patient recruitment and retention due to the rarity of orphan diseases, which globally may only have hundreds or thousands of patients. Additionally, measures of clinical trial complexity significantly increased over the last decade, with the mean number of procedures per protocol increasing by 68% as indicated by the Tufts Center for the Study of Drug Development, an independent non-profit research group. We believe full-service CROs with noted therapeutic leadership, full-service clinical operations, a proprietary technology platform, strategic regulatory guidance and integrated laboratories are well suited to successfully support these types of studies.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80"/>
          </w:cols>
          <w:pgMar w:left="240" w:top="449" w:right="2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Small and Mid-Sized Biopharmaceutical Segment</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Biopharmaceutical companies have a variety of options for raising money to support the funding of their drug development, including raising private equity, raising public equity and partnering with large biopharmaceutical companies to jointly develop drug candidates. Many of these companies are well-funded, having raised approximately $232 billion of capital in the aggregate, including funding from investments from corporate partners, in 2014 and 2015, representing a 110% increase over the approximately $110 billion raised in 2012 and 2013, as identified by BioWorld, a biopharmaceutical news source. We believe the level of capital raised for small and mid-sized biopharmaceutical companies over the last few years is sufficient to fund significant clinical trial activity for these companies going forward. We believe that companies that are progressing with good results through a clinical trial will be able to continue to fund those clinical trials with available cash and will have additional avenues to fund these programs as necessary, including partnerships with large biopharmaceutical companies.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believe we are well positioned to capitalize on positive trends in the CRO industry based on our key competitive strengths set forth below:</w:t>
      </w:r>
    </w:p>
    <w:p>
      <w:pPr>
        <w:spacing w:after="0" w:line="125"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b w:val="1"/>
          <w:bCs w:val="1"/>
          <w:i w:val="1"/>
          <w:iCs w:val="1"/>
          <w:color w:val="auto"/>
        </w:rPr>
        <w:t xml:space="preserve">Disciplined and Integrated Full-Service Model. </w:t>
      </w:r>
      <w:r>
        <w:rPr>
          <w:rFonts w:ascii="Arial" w:cs="Arial" w:eastAsia="Arial" w:hAnsi="Arial"/>
          <w:sz w:val="17"/>
          <w:szCs w:val="17"/>
          <w:color w:val="auto"/>
        </w:rPr>
        <w:t>Since our founding in 1992, we have focused on building and executing our disciplined, full-service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believe that a full-service approach delivers greater efficiency, better quality and, ultimately, higher value for our customers.</w:t>
      </w:r>
    </w:p>
    <w:p>
      <w:pPr>
        <w:spacing w:after="0" w:line="143"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In executing our operating model, we have demonstrated durable success across multiple therapeutic areas. We embed therapeutic leads, each of whom holds a Doctor of Philosophy, or Ph.D., a Doctor of Medicine, or M.D., or other doctorate level degrees into every aspect of the project, and our customers rely on this expertise throughout the entire clinical process. By clearly communicating and aligning our expectations with those of our customers at the beginning of an engagement, we tend to develop a close working relationship that is built on a level of trust that results in us being granted greater control over the clinical trial process. We have developed and consistently utilize effective standard operating procedures, or SOPs, that we believe result in high-quality and timely clinical development outcomes for our customers. Our operating model utilizes our proprietary ClinTrak clinical trial management software, or ClinTrak, which is customized and streamlined to our SOPs. We house our key decision-makers, our internally-developed technology and our corporate infrastructure in our corporate headquarters in Cincinnati, Ohio. This centralization allows us to maintain highly integrated, standardized and flexible operations, while preserving our operating philosophy and extending our global reach, resulting in a disciplined business model and attractive EBITDA margins.</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17"/>
          <w:szCs w:val="17"/>
          <w:b w:val="1"/>
          <w:bCs w:val="1"/>
          <w:i w:val="1"/>
          <w:iCs w:val="1"/>
          <w:color w:val="auto"/>
        </w:rPr>
        <w:t xml:space="preserve">High-Science Approach with Deep Therapeutic Expertise. </w:t>
      </w:r>
      <w:r>
        <w:rPr>
          <w:rFonts w:ascii="Arial" w:cs="Arial" w:eastAsia="Arial" w:hAnsi="Arial"/>
          <w:sz w:val="17"/>
          <w:szCs w:val="17"/>
          <w:color w:val="auto"/>
        </w:rPr>
        <w:t>Customers generally seek a CRO with extensive therapeutic expertise in their focus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therapeutic expertise encompasses areas that are among the largest, most complex and fastest growing in pharmaceutical development, including Oncology, Cardiology, Metabolic Disease,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20"/>
          </w:cols>
          <w:pgMar w:left="240" w:top="449" w:right="3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Endocrinology, CNS and AVAI, as well as Medical Devices. Our core therapeutic expertise covers the therapeutic areas where a majority of all drugs are currently in development, as identified by Citeline Pharma R&amp;D Annual Review 2016, an industry publication. Collectively, these areas constituted 81.6% of our backlog as of June 30, 2016.</w:t>
      </w:r>
    </w:p>
    <w:p>
      <w:pPr>
        <w:spacing w:after="0" w:line="14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We leverage the insights of our senior leaders who have specific therapeutic expertise to employ a high-science approach to our projects. Because we believe that therapeutic expertise plays a significant role in CRO selection, we focus heavily on hiring and training our therapeutic leads in order to maximize therapeutic insights to inform clinical trial design and execution.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21" w:lineRule="exact"/>
        <w:rPr>
          <w:sz w:val="20"/>
          <w:szCs w:val="20"/>
          <w:color w:val="auto"/>
        </w:rPr>
      </w:pPr>
    </w:p>
    <w:p>
      <w:pPr>
        <w:spacing w:after="0" w:line="244" w:lineRule="auto"/>
        <w:rPr>
          <w:sz w:val="20"/>
          <w:szCs w:val="20"/>
          <w:color w:val="auto"/>
        </w:rPr>
      </w:pPr>
      <w:r>
        <w:rPr>
          <w:rFonts w:ascii="Arial" w:cs="Arial" w:eastAsia="Arial" w:hAnsi="Arial"/>
          <w:sz w:val="16"/>
          <w:szCs w:val="16"/>
          <w:b w:val="1"/>
          <w:bCs w:val="1"/>
          <w:i w:val="1"/>
          <w:iCs w:val="1"/>
          <w:color w:val="auto"/>
        </w:rPr>
        <w:t xml:space="preserve">Attractive and Diversified Customer Base. </w:t>
      </w:r>
      <w:r>
        <w:rPr>
          <w:rFonts w:ascii="Arial" w:cs="Arial" w:eastAsia="Arial" w:hAnsi="Arial"/>
          <w:sz w:val="16"/>
          <w:szCs w:val="16"/>
          <w:color w:val="auto"/>
        </w:rPr>
        <w:t>We have a strong track record of serving our core customer base of small and mid-sized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 Small and mid-sized biopharmaceutical companies, many of which are now well capitalized, have firmly established themselves at the forefront of medical innovation and the search for new therapies for previously untreatable diseases, which require increasingly complex clinical trials. CROs are integral to the clinical development process for these customers, providing regulatory and therapeutic expertise, complex clinical trial design, broader geographic coverage, access to diverse population pools and consistent and reliable data systems and procedures, since these customers often lack the infrastructure and global breadth required for efficient and high-quality trial execution.</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addition, we have a highly diversified customer base comprising many of the largest global biopharmaceutical companies, as well as high-growth small and mid-sized biopharmaceutical companies. For the Successor year ended December 31, 2015, we generated 55.7%, 29.3% and 15.0% of our net service revenue from small biopharmaceutical companies, mid-sized biopharmaceutical companies and large pharmaceutical companies, respectively. For the Successor six months ended June 30, 2016 and the Successor year ended December 31, 2015, our largest customer accounted for 6.3% and 6.9% of our net service revenue, respectively, and our top 10 customers represented 38.2% and 39.9% of our net service revenue, respectively.</w:t>
      </w:r>
    </w:p>
    <w:p>
      <w:pPr>
        <w:spacing w:after="0" w:line="118"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Partner of Choice for Biopharmaceutical Customers. </w:t>
      </w:r>
      <w:r>
        <w:rPr>
          <w:rFonts w:ascii="Arial" w:cs="Arial" w:eastAsia="Arial" w:hAnsi="Arial"/>
          <w:sz w:val="16"/>
          <w:szCs w:val="16"/>
          <w:color w:val="auto"/>
        </w:rPr>
        <w:t>Based on our extensive operating history and therapeutic experience, we believe that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Many of these drug candidates are being developed for niche and severe indications with relatively small patient populations, which require increasingly complex clinical trials. These biopharmaceutical customers, sometimes new to the clinical development process, seek to partner with us based on our differentiated approach and expertise to execute trials in a timely and efficient manner. The Avoca Group’s 2011 Avoca Survey on Clinical Outsourcing Practices, a survey of over 100 biopharmaceutical companies, indicates that 48% of pharmaceutical companies with annual revenue over $1.5 billion, 51% of biopharmaceutical companies with annual revenue between $100 million and $1.5 billion, and 64% of biopharmaceutical companies with annual revenue under $100 million prefer medium-sized, full-service CROs, defined as the top 15 CROs by revenue excluding the top 5 CROs by revenue, based on service and outsourcing experience. Of this same group, only 40% of large pharmaceutical companies, 24% of mid-sized biopharmaceutical companies and 7% of small biopharmaceutical companies prefer large, full-service CROs, defined as the top 5 CROs by revenue. We do not believe that we are among the top 5 CROs by revenue based on publicly available information. We believe we are viewed as a strategic and trusted partner by these customers given our full-service approach, disciplined operating model and significant therapeutic expertise. As a result, our customers often grant us significant autonomy in executing clinical trials for their most valued assets.</w:t>
      </w:r>
    </w:p>
    <w:p>
      <w:pPr>
        <w:spacing w:after="0" w:line="126"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b w:val="1"/>
          <w:bCs w:val="1"/>
          <w:i w:val="1"/>
          <w:iCs w:val="1"/>
          <w:color w:val="auto"/>
        </w:rPr>
        <w:t xml:space="preserve">Global Platform with Scalable Infrastructure. </w:t>
      </w:r>
      <w:r>
        <w:rPr>
          <w:rFonts w:ascii="Arial" w:cs="Arial" w:eastAsia="Arial" w:hAnsi="Arial"/>
          <w:sz w:val="17"/>
          <w:szCs w:val="17"/>
          <w:color w:val="auto"/>
        </w:rPr>
        <w:t>We believe that we are one of the leading CROs with the scale and therapeutic expertise necessary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conduct global clinical trials. We began our disciplined international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449"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expansion in 2004 and have since increased the breadth and depth of our international footprint significantly, with approximately 45% of our clinical operations employees located outside of North America as of June 30, 2016. We now offer our services through a highly skilled staff of approximately 2,300 employees across 35 countries as of June 30, 2016. As clinical trials become increasingly global, our platform provides our customers with broad access to diverse markets and patient populations, as well as local regulatory expertise and market knowledge, which can reduce the time and cost of these trials, while also helping to optimize the commercialization potential for new therapies.</w:t>
      </w:r>
    </w:p>
    <w:p>
      <w:pPr>
        <w:spacing w:after="0" w:line="121"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b w:val="1"/>
          <w:bCs w:val="1"/>
          <w:i w:val="1"/>
          <w:iCs w:val="1"/>
          <w:color w:val="auto"/>
        </w:rPr>
        <w:t xml:space="preserve">Strong Financial Performance. </w:t>
      </w:r>
      <w:r>
        <w:rPr>
          <w:rFonts w:ascii="Arial" w:cs="Arial" w:eastAsia="Arial" w:hAnsi="Arial"/>
          <w:sz w:val="16"/>
          <w:szCs w:val="16"/>
          <w:color w:val="auto"/>
        </w:rPr>
        <w:t>We have a proven track record of strong organic growth and achieved significant revenue and Adjusted EBITDA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robust Free Cash Flow over the past several years. For the Successor year ended December 31, 2015, we achieved net service revenue of $320.1 million and Adjusted EBITDA of $101.2 million, which represent a CAGR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For the Successor year ended December 31, 2015, our Adjusted EBITDA margin was 31.6%. Our Adjusted EBITDA margins are driven by focusing on a full-service operating model and disciplined approach. We typically avoid functional or partial outsourcing services, which we believe are less efficient and lead to a lower margin profile. Over the last 15 years, we have maintained average Adjusted EBITDA margins of approximately 34%, while significantly scaling our business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“Selected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 We believe our strong financial profile demonstrates the quality and efficiency of the operating model we have built to position ourselves for continued future growth.</w:t>
      </w:r>
    </w:p>
    <w:p>
      <w:pPr>
        <w:spacing w:after="0" w:line="13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b w:val="1"/>
          <w:bCs w:val="1"/>
          <w:i w:val="1"/>
          <w:iCs w:val="1"/>
          <w:color w:val="auto"/>
        </w:rPr>
        <w:t xml:space="preserve">Highly Regarded, Experienced and Committed Management Team. </w:t>
      </w:r>
      <w:r>
        <w:rPr>
          <w:rFonts w:ascii="Arial" w:cs="Arial" w:eastAsia="Arial" w:hAnsi="Arial"/>
          <w:sz w:val="16"/>
          <w:szCs w:val="16"/>
          <w:color w:val="auto"/>
        </w:rPr>
        <w:t>We are led by a dedicated and experienced senior management team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Key elements of our growth strategy include:</w:t>
      </w:r>
    </w:p>
    <w:p>
      <w:pPr>
        <w:spacing w:after="0" w:line="125"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auto"/>
        </w:rPr>
        <w:t xml:space="preserve">Continued Focus on Organic Growth. </w:t>
      </w:r>
      <w:r>
        <w:rPr>
          <w:rFonts w:ascii="Arial" w:cs="Arial" w:eastAsia="Arial" w:hAnsi="Arial"/>
          <w:sz w:val="16"/>
          <w:szCs w:val="16"/>
          <w:color w:val="auto"/>
        </w:rPr>
        <w:t>Our strong organic growth has been the result of consistently reinvesting our positive cash flow to support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 From 2012 through 2015, we successfully organically grew our business from approximately 1,000 employees to over 2,000 and organically grew our net service revenue from $177.4 million to $320.1 million, representing a CAGR of 21.7%. We intend to continue to utilize our disciplined organic growth model and robust cash flows to drive future revenue growth.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449"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 xml:space="preserve">Continue to Sustain Industry-Leading Margins. </w:t>
      </w:r>
      <w:r>
        <w:rPr>
          <w:rFonts w:ascii="Arial" w:cs="Arial" w:eastAsia="Arial" w:hAnsi="Arial"/>
          <w:sz w:val="17"/>
          <w:szCs w:val="17"/>
          <w:color w:val="auto"/>
        </w:rPr>
        <w:t>Over the last 15 years, we have maintained average Adjusted EBITDA margins of approximately 34%.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continue to maintain industry-leading margins (compared to our public competitors) while 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 We have a proven track record of achieving strong margins while significantly scaling our business and expanding globally.</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7"/>
          <w:szCs w:val="17"/>
          <w:b w:val="1"/>
          <w:bCs w:val="1"/>
          <w:i w:val="1"/>
          <w:iCs w:val="1"/>
          <w:color w:val="auto"/>
        </w:rPr>
        <w:t xml:space="preserve">Leverage our Experience and Reputation in the Attractive, High-Growth Clinical Development Market. </w:t>
      </w:r>
      <w:r>
        <w:rPr>
          <w:rFonts w:ascii="Arial" w:cs="Arial" w:eastAsia="Arial" w:hAnsi="Arial"/>
          <w:sz w:val="17"/>
          <w:szCs w:val="17"/>
          <w:color w:val="auto"/>
        </w:rPr>
        <w:t>Our customers value the knowledge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expertise we have developed from a long history of successfully executing clinical trials. Given the rapid emergence of new therapies and resulting evolution of commercial priorities among many biopharmaceutical companies, we believe consistently maintaining the necessary infrastructure and human capital required to retain clinical and therapeutic expertise internally is not the most cost-effective solution for these companies.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We estimate, based on industry sources, including analyst reports and management’s knowledge that Phase I-IV clinical development outsourcing penetration for biopharmaceutical companies will increase from 52% in 2014 to 62% in 2019.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122"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Deepen Existing and Develop New Relationships with Our Core Customer Segment. </w:t>
      </w:r>
      <w:r>
        <w:rPr>
          <w:rFonts w:ascii="Arial" w:cs="Arial" w:eastAsia="Arial" w:hAnsi="Arial"/>
          <w:sz w:val="17"/>
          <w:szCs w:val="17"/>
          <w:color w:val="auto"/>
        </w:rPr>
        <w:t>We look to continue to deepen our long-standing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w:t>
      </w:r>
    </w:p>
    <w:p>
      <w:pPr>
        <w:spacing w:after="0" w:line="143"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 In 2015, we worked with approximately 350 small and mid-sized biopharmaceutical companies. 85.0% of our net service revenue for the Successor year ended December 31, 2015 was generated from small and mid-sized biopharmaceutical companies. In addition, our sales team actively manages a database which currently includes over 4,400 companies that represent potential customers. We regularly assess this database for opportunities that align with our growth strategies and develop plans to target and engage these potential customers. Based on this, we estimate that we have captured approximately 4% of the approximately $7 billion small and mid-sized biopharmaceutical CRO market, leaving us with significant opportunity for market share growth and new customer penetration expansion.</w:t>
      </w:r>
    </w:p>
    <w:p>
      <w:pPr>
        <w:spacing w:after="0" w:line="12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b w:val="1"/>
          <w:bCs w:val="1"/>
          <w:i w:val="1"/>
          <w:iCs w:val="1"/>
          <w:color w:val="auto"/>
        </w:rPr>
        <w:t xml:space="preserve">Pursue Selective and Complementary Bolt-On Acquisitions. </w:t>
      </w:r>
      <w:r>
        <w:rPr>
          <w:rFonts w:ascii="Arial" w:cs="Arial" w:eastAsia="Arial" w:hAnsi="Arial"/>
          <w:sz w:val="17"/>
          <w:szCs w:val="17"/>
          <w:color w:val="auto"/>
        </w:rPr>
        <w:t>We intend to augment our organic growth with targeted acquisitions to expand our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and service offerings that are complementary to our full-service model.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21" w:lineRule="exact"/>
        <w:rPr>
          <w:sz w:val="20"/>
          <w:szCs w:val="20"/>
          <w:color w:val="auto"/>
        </w:rPr>
      </w:pPr>
    </w:p>
    <w:p>
      <w:pPr>
        <w:ind w:right="400"/>
        <w:spacing w:after="0"/>
        <w:rPr>
          <w:sz w:val="20"/>
          <w:szCs w:val="20"/>
          <w:color w:val="auto"/>
        </w:rPr>
      </w:pPr>
      <w:r>
        <w:rPr>
          <w:rFonts w:ascii="Arial" w:cs="Arial" w:eastAsia="Arial" w:hAnsi="Arial"/>
          <w:sz w:val="17"/>
          <w:szCs w:val="17"/>
          <w:b w:val="1"/>
          <w:bCs w:val="1"/>
          <w:i w:val="1"/>
          <w:iCs w:val="1"/>
          <w:color w:val="auto"/>
        </w:rPr>
        <w:t xml:space="preserve">Position Ourselves to Increase Our Presence Among Large Pharmaceutical Companies as These Customers Adopt and Appreciate the Full-Service Approach. </w:t>
      </w:r>
      <w:r>
        <w:rPr>
          <w:rFonts w:ascii="Arial" w:cs="Arial" w:eastAsia="Arial" w:hAnsi="Arial"/>
          <w:sz w:val="17"/>
          <w:szCs w:val="17"/>
          <w:color w:val="auto"/>
        </w:rPr>
        <w:t>Given the growing pressures large pharmaceutical companies are facing, including complex clinical development and regulatory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processes, these companies seek solutions beyond simply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449" w:right="2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Services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provide a full suite of services supporting the entire clinical development process from Phase I to Phase IV. We offer these services across a wide range of therapeutic areas.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Our comprehensive suite of clinical development services includes, but is not limited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Affairs</w:t>
      </w:r>
    </w:p>
    <w:p>
      <w:pPr>
        <w:spacing w:after="0" w:line="34"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The medical affairs group consists of therapeutic leads who provide strategic direction for study design and planning, train operational staff, work with primary investigators, provide medical monitoring and meet with regulatory agencies. Our customers rely on our expertise throughout the entire clinical trial process with therapeutically-focused physicians fully engaged throughout the study. We believe this depth of therapeutic leadership and engagement on each project results in a close working relationship with customers built on a level of trust that results in us being granted greater control over the clinical trial process.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 Management</w:t>
      </w:r>
    </w:p>
    <w:p>
      <w:pPr>
        <w:spacing w:after="0" w:line="3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Our team of clinical trial managers are responsible for leading all aspects of study execution. The clinical trial manager, or CTM, drives accountability across the functional team members and is responsible for successful operational execution. The CTM serves as the primary contact for the customer. Experience and therapeutic expertise are main factors when assigning CTMs to projects.</w:t>
      </w:r>
    </w:p>
    <w:p>
      <w:pPr>
        <w:spacing w:after="0" w:line="143" w:lineRule="exact"/>
        <w:rPr>
          <w:sz w:val="20"/>
          <w:szCs w:val="20"/>
          <w:color w:val="auto"/>
        </w:rPr>
      </w:pPr>
    </w:p>
    <w:p>
      <w:pPr>
        <w:ind w:right="680"/>
        <w:spacing w:after="0" w:line="235" w:lineRule="auto"/>
        <w:rPr>
          <w:sz w:val="20"/>
          <w:szCs w:val="20"/>
          <w:color w:val="auto"/>
        </w:rPr>
      </w:pPr>
      <w:r>
        <w:rPr>
          <w:rFonts w:ascii="Arial" w:cs="Arial" w:eastAsia="Arial" w:hAnsi="Arial"/>
          <w:sz w:val="17"/>
          <w:szCs w:val="17"/>
          <w:color w:val="auto"/>
        </w:rPr>
        <w:t>ClinTrak is integrated with our SOPs, allowing the CTMs to access real-time study metrics. ClinTrak is constantly evaluated and enhanced with our processes.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Study Feasibility</w:t>
      </w:r>
    </w:p>
    <w:p>
      <w:pPr>
        <w:spacing w:after="0" w:line="3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We have a dedicated feasibility team consisting of clinical experts who are an integrated part of the project team. Our feasibility team is able to analyze a specific protocol, using many data sources to determine countries and sites that are most appropriate for the study.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Study Start-Up</w:t>
      </w:r>
    </w:p>
    <w:p>
      <w:pPr>
        <w:spacing w:after="0" w:line="34"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Our global Study Start-Up staff is well-versed in all aspects of clinical trial start up activities, including study documentation submission processes to independent Institutional Review Boards, or IRBs, ethics committees and to ex-US competent authorities. Our study start-up team includes fully dedicated budget and legal associates to ensure focused negotiations and execution of site contracts.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Monitoring</w:t>
      </w:r>
    </w:p>
    <w:p>
      <w:pPr>
        <w:spacing w:after="0" w:line="34"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Our clinical monitoring group consists of highly experienced clinical research associates, or CRAs, who are based in 35 countries. With their experience and training, our CRAs are able to provide unparalleled site management services that includes both in-house and onsite monitoring. Their knowledge of local regulations and laws, in addition to Good Clinical Practice, or GCP, and International Council on Harmonisation of Technical Requirements for Registration of Pharmaceuticals for Human Use, or ICH, guidelines ensure compliance and data quality. Our CRAs report into a global matrix structure to ensure consistent training, oversight and management. Each CRA receives comprehensive, hands-on training in an individualized curriculum consisting of in-house and field-based training, supplemented with clinical research department core rotations and ongoing study-specific training.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Regulatory Affairs</w:t>
      </w:r>
    </w:p>
    <w:p>
      <w:pPr>
        <w:spacing w:after="0" w:line="3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Global Regulatory Affairs department has a strong track record of providing expert strategic, operational, and tactical regulatory guidance, as well as creating thorough, scientifically-grounded regulatory compliant documentation to regulatory agencies around the globe. Members of this team bring a long tenure of regulatory experience and scientific knowledge to each project. The group, led by former government officials and experienced drug development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49"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subject matter experts, provides comprehensive international support at each stage of the drug and biologics development processes. They have particular expertise within the areas of advanced therapeutics, accelerated development pathways, pediatrics, and rare diseases. The group also has a dedicated publishing function that has full electronic and paper publishing capabilities to support all types of international regulatory submissions.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Writing</w:t>
      </w:r>
    </w:p>
    <w:p>
      <w:pPr>
        <w:spacing w:after="0" w:line="3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Medical writers work closely with Medpace’s medical experts, biostatisticians, and other members of the study team to develop study protocols, clinical and statistical study reports, and integrated submission documents according to regulatory guidelines. Members of Medpace’s medical writing group possess substantial scientific knowledge and experience as well as strong communication skills. This skill set and collaborative approach coupled with a thorough quality control document review process, allow Medpace to produce high-quality, submission-ready documents for each contracted project.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Biometrics</w:t>
      </w:r>
    </w:p>
    <w:p>
      <w:pPr>
        <w:spacing w:after="0" w:line="34"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We provide customers with high-quality data collected during clinical trials that is the foundation of a successful clinical trial and forms the backbone of regulatory submissions, including New Drug Applications. We use global GCP-compliant SOPs, combined with continuous quality control, to ensure that data is consistent, efficient, and comprehensive.</w:t>
      </w:r>
    </w:p>
    <w:p>
      <w:pPr>
        <w:spacing w:after="0" w:line="125"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i w:val="1"/>
          <w:iCs w:val="1"/>
          <w:color w:val="auto"/>
        </w:rPr>
        <w:t>Data Management</w:t>
      </w:r>
      <w:r>
        <w:rPr>
          <w:rFonts w:ascii="Arial" w:cs="Arial" w:eastAsia="Arial" w:hAnsi="Arial"/>
          <w:sz w:val="17"/>
          <w:szCs w:val="17"/>
          <w:color w:val="auto"/>
        </w:rPr>
        <w:t>: Our data management team develops detailed specifications for the collection, organization, validation, analysis and quality control of</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data ensuring the most cost-effective, secure and regulatory compliant process.</w:t>
      </w:r>
    </w:p>
    <w:p>
      <w:pPr>
        <w:spacing w:after="0" w:line="113"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i w:val="1"/>
          <w:iCs w:val="1"/>
          <w:color w:val="auto"/>
        </w:rPr>
        <w:t>Biostatistics</w:t>
      </w:r>
      <w:r>
        <w:rPr>
          <w:rFonts w:ascii="Arial" w:cs="Arial" w:eastAsia="Arial" w:hAnsi="Arial"/>
          <w:sz w:val="17"/>
          <w:szCs w:val="17"/>
          <w:color w:val="auto"/>
        </w:rPr>
        <w:t>: Our experienced team of biostatisticians provides trial design consulting, statistical methodology recommendations, programming expertise</w:t>
      </w:r>
      <w:r>
        <w:rPr>
          <w:rFonts w:ascii="Arial" w:cs="Arial" w:eastAsia="Arial" w:hAnsi="Arial"/>
          <w:sz w:val="17"/>
          <w:szCs w:val="17"/>
          <w:i w:val="1"/>
          <w:iCs w:val="1"/>
          <w:color w:val="auto"/>
        </w:rPr>
        <w:t xml:space="preserve"> </w:t>
      </w:r>
      <w:r>
        <w:rPr>
          <w:rFonts w:ascii="Arial" w:cs="Arial" w:eastAsia="Arial" w:hAnsi="Arial"/>
          <w:sz w:val="17"/>
          <w:szCs w:val="17"/>
          <w:color w:val="auto"/>
        </w:rPr>
        <w:t>and reporting accuracy necessary to deliver clinical trials efficiently and on time. We offer comprehensive data analysis plans, thoroughly tested and validated customized programs, interpretation of study results, integrated efficacy and safety analysis for regulatory submissions, adaptive design and statistical support throughout the clinical trial.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Pharmacovigilance</w:t>
      </w:r>
    </w:p>
    <w:p>
      <w:pPr>
        <w:spacing w:after="0" w:line="34"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Our safety and pharmacovigilance group collects, evaluates, analyzes and reports safety information. We provide global adverse event management, physician reviewed safety narrative writing and custom safety surveillance. Monitored by licensed physicians who are trained to provide oversight and to analyze and evaluate the emerging safety profile of the compound, we have designed our process to ensure safety and expedite approvals.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Core Laboratory</w:t>
      </w:r>
    </w:p>
    <w:p>
      <w:pPr>
        <w:spacing w:after="0" w:line="34"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Our core laboratory services include both imaging services and cardiovascular core laboratory services. We partner with imaging experts from major academic and clinical institutions involved in research to provide image reading in a secure environment utilizing identical software and workstations integrated into ClinTrak allowing for prompt turnaround and oversight. Our imaging experts have clinical trial experience utilizing imaging modalities such as CT, MRI, PET/CT, 3D volumetric analysis, ultrasound, DEXA, angiography, endoscopy and photography. Our cardiovascular core laboratory provides state-of-the-art standardized electrocardiogram services and data analysis to support clinical trials.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Quality Assurance</w:t>
      </w:r>
    </w:p>
    <w:p>
      <w:pPr>
        <w:spacing w:after="0" w:line="34"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Our quality assurance team works closely with study teams to ensure compliance with protocols, SOPs, and regulatory guidelines to ultimately protect research subject safety as well as the integrity and validity of study data. Our quality assurance team also provides services including regulatory training, internal system audits, SOP oversight, hosting of audits and regulatory inspections, as well as performs third party audits of critical vendors and investigative sites on behalf of our customers.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Laboratories</w:t>
      </w:r>
    </w:p>
    <w:p>
      <w:pPr>
        <w:spacing w:after="0" w:line="25" w:lineRule="exact"/>
        <w:rPr>
          <w:sz w:val="20"/>
          <w:szCs w:val="20"/>
          <w:color w:val="auto"/>
        </w:rPr>
      </w:pPr>
    </w:p>
    <w:p>
      <w:pPr>
        <w:spacing w:after="0" w:line="233" w:lineRule="auto"/>
        <w:rPr>
          <w:sz w:val="20"/>
          <w:szCs w:val="20"/>
          <w:color w:val="auto"/>
        </w:rPr>
      </w:pPr>
      <w:r>
        <w:rPr>
          <w:rFonts w:ascii="Arial" w:cs="Arial" w:eastAsia="Arial" w:hAnsi="Arial"/>
          <w:sz w:val="17"/>
          <w:szCs w:val="17"/>
          <w:i w:val="1"/>
          <w:iCs w:val="1"/>
          <w:color w:val="auto"/>
        </w:rPr>
        <w:t>Central Laboratory</w:t>
      </w:r>
      <w:r>
        <w:rPr>
          <w:rFonts w:ascii="Arial" w:cs="Arial" w:eastAsia="Arial" w:hAnsi="Arial"/>
          <w:sz w:val="17"/>
          <w:szCs w:val="17"/>
          <w:color w:val="auto"/>
        </w:rPr>
        <w:t>. Through our Central Laboratory, we provide comprehensive, full-service capabilities globally in four locations, including Cincinnati, Ohio;</w:t>
      </w:r>
      <w:r>
        <w:rPr>
          <w:rFonts w:ascii="Arial" w:cs="Arial" w:eastAsia="Arial" w:hAnsi="Arial"/>
          <w:sz w:val="17"/>
          <w:szCs w:val="17"/>
          <w:i w:val="1"/>
          <w:iCs w:val="1"/>
          <w:color w:val="auto"/>
        </w:rPr>
        <w:t xml:space="preserve"> </w:t>
      </w:r>
      <w:r>
        <w:rPr>
          <w:rFonts w:ascii="Arial" w:cs="Arial" w:eastAsia="Arial" w:hAnsi="Arial"/>
          <w:sz w:val="17"/>
          <w:szCs w:val="17"/>
          <w:color w:val="auto"/>
        </w:rPr>
        <w:t>Leuven, Belgium; Beijing, China; and Singapore. The Central Laboratory has longstanding core competency in specialized esoteric testing, including biomarkers for efficacy (approximately 60% of central lab revenue for the Successor year ended December 31, 2015) in addition to standard assay offerings. Data consistency and harmonization are maintained utilizing global SOPs and reference ranges, identical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49"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analytic platforms, methodologies, reagent systems, calibrator and quality control programs, within a strict framework compliant with GCP requirements and regulatory guidelines to ensure laboratory data reflect the impact of the investigational compound and not differences in testing practices.</w:t>
      </w:r>
    </w:p>
    <w:p>
      <w:pPr>
        <w:spacing w:after="0" w:line="123"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i w:val="1"/>
          <w:iCs w:val="1"/>
          <w:color w:val="auto"/>
        </w:rPr>
        <w:t>Bioanalytical Laboratory</w:t>
      </w:r>
      <w:r>
        <w:rPr>
          <w:rFonts w:ascii="Arial" w:cs="Arial" w:eastAsia="Arial" w:hAnsi="Arial"/>
          <w:sz w:val="17"/>
          <w:szCs w:val="17"/>
          <w:color w:val="auto"/>
        </w:rPr>
        <w:t>. Through our Bioanalytical Laboratory we provide highly scientific and value-added testing of biological samples using proprietary</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Working in a Good Laboratory Practice compliant setting following FDA and European Medicines Agency, or EMA, guidelines, the Bioanalytical Laboratory delivers method transfer, development, validation, sample analysis and metabolite screening and identification of pre-clinical and clinical biological samples with expertise in developing proprietary, highly scientific, esoteric and sensitive tests. Areas of specific bioanalytical expertise include advanced mass spectrometry and immunoassay technologies for bioanalytical analysis and all bioanalytical aspects for small and large molecules. Our Bioanalytical Laboratory is located on our clinical research campus in Cincinnati, Ohio.</w:t>
      </w:r>
    </w:p>
    <w:p>
      <w:pPr>
        <w:spacing w:after="0" w:line="14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majority of our laboratory services are performed as a component of a full-service clinical development arrangement with our customers. We also offer our laboratory services on a stand-alone basis, although this has historically represented an immaterial amount of our net service revenue. Regardless of the nature of the arrangement, our laboratory services are delivered consistently to our customers as a component of their clinical development activities.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Clinics</w:t>
      </w:r>
    </w:p>
    <w:p>
      <w:pPr>
        <w:spacing w:after="0" w:line="3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Our Clinics offering conducts studies in normal healthy volunteers, special populations, and patient populations over a spectrum of diseases including endocrine, cardiovascular and metabolic. Experience includes, but is not limited to: first-in-human, bioavailability/bioequivalence, single and multiple ascending dose, drug to drug interaction, food effect and device studies. Our 60,000 square-foot, 84 bed facility is centrally located on our clinical research campus in Cincinnati, Ohio.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34" w:lineRule="exact"/>
        <w:rPr>
          <w:sz w:val="20"/>
          <w:szCs w:val="20"/>
          <w:color w:val="auto"/>
        </w:rPr>
      </w:pPr>
    </w:p>
    <w:p>
      <w:pPr>
        <w:ind w:right="400"/>
        <w:spacing w:after="0" w:line="231" w:lineRule="auto"/>
        <w:rPr>
          <w:sz w:val="20"/>
          <w:szCs w:val="20"/>
          <w:color w:val="auto"/>
        </w:rPr>
      </w:pPr>
      <w:r>
        <w:rPr>
          <w:rFonts w:ascii="Arial" w:cs="Arial" w:eastAsia="Arial" w:hAnsi="Arial"/>
          <w:sz w:val="17"/>
          <w:szCs w:val="17"/>
          <w:color w:val="auto"/>
        </w:rPr>
        <w:t>We have a well-diversified, attractively-positioned customer base that includes small biopharmaceutical companies, mid-sized biopharmaceutical companies and large pharmaceutical companies. We have conducted trials for many of the world’s leading pharmaceutical, biotechnology and medical device companies.</w:t>
      </w:r>
    </w:p>
    <w:p>
      <w:pPr>
        <w:spacing w:after="0" w:line="14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For the Successor year ended December 31, 2015, we generated 55.7%, 29.3% and 15.0% of our net service revenue from small biopharmaceutical companies, mid-sized biopharmaceutical companies and large pharmaceutical companies, respectively. Additionally, we serve customers in a variety of locations throughout the world, with approximately 55% of our clinical operations headcount based in North America, 39% in Europe, 4% in Asia/Pacific and 2% in South America and Africa as of June 30, 2016.</w:t>
      </w: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For the Successor six months ended June 30, 2016 and the Successor year ended December 31, 2015, our largest customer accounted for 6.3% and 6.9% of our net service revenue, respectively, and our top 10 customers represented 38.2% and 39.9% of our net service revenue, respectively. For more information about our largest customer see “Certain Relationships and Related Person Transactions—Service Agreements.”</w:t>
      </w:r>
    </w:p>
    <w:p>
      <w:pPr>
        <w:spacing w:after="0" w:line="143"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Our net service revenue from our top 10 customers for the Successor year ended December 31, 2015 was diversified across approximately 57 compounds in 49 indications across 146 active projects. Our top 10 customers have worked with us for an average of 6.3 years as of December 31, 2015. Further, among the majority of our customers, net service revenue is diversified by multiple projects for a variety of compounds. For example, 54 of our customers have active projects in more than one therapeutic area, making up 56.8% of our total net service revenue for the Successor year ended December 31, 2015. We believe this ability to penetrate across multiple therapeutic areas demonstrates our strong relationships with our customers and the attractiveness of our full-service, disciplined operating model.</w:t>
      </w:r>
    </w:p>
    <w:p>
      <w:pPr>
        <w:spacing w:after="0" w:line="14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We expect that the use of such arrangements will be very limited, and they are not a part of our core growth strategy.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449"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Business Awards, Cancellations and Backlog</w:t>
      </w:r>
    </w:p>
    <w:p>
      <w:pPr>
        <w:spacing w:after="0" w:line="123"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timeline.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4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w:t>
      </w:r>
    </w:p>
    <w:p>
      <w:pPr>
        <w:spacing w:after="0" w:line="141"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Net new business awards were $218.1 million and $162.6 million for the Successor six months ended June 30, 2016 and June 30, 2015, respectively. Net new business awards were $359.5 million, $329.1 million (of which $231.9 million related to the Successor nine month period ended December 31, 2014 and $97.2 million related to the Predecessor three month period ended March 31, 2014) and $291.6 million for the Successor year ended December 31, 2015, the combined Successor nine month period ended December 31, 2014 and Predecessor three month period ended March 31, 2014, and the Predecessor year ended December 31, 2013, respectively. Our net new business awards for the Successor year ended December 31, 2015 grew at a CAGR of 18% since 2012.</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scope to existing contracts, cancellations, net service revenue recognition on existing contracts and foreign exchange adjustments from non-U.S. dollar denominated backlog. As of June 30, 2016, our backlog increased by $65.1 million, or 16.3%, to $465.7 million compared to $400.6 million as of June 30, 2015. Our backlog as of December 31, 2015, December 31, 2014 and December 31, 2013 was approximately $429.7 million, $394.0 million and $359.3 million, respectively. Included within backlog as of June 30, 2016 is approximately $170.1 million to $175.1 million that we expect to convert to net service revenue in 2016, with the remainder expected to convert to net service revenue in years after 2016. Our backlog as of December 31, 2015 grew at a CAGR of 11% since 2012.</w:t>
      </w:r>
    </w:p>
    <w:p>
      <w:pPr>
        <w:spacing w:after="0" w:line="141"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Backlog and net new business award metrics may not be reliable indicators of our future period net service revenue as they are subject to a variety of factors that may cause material fluctuations from period to period. These factors include, but are not limited to, changes in the scope of projects, cancellations and duration and timing of services provided. No assurance can be given that we will be able to realize the net service revenue that is included in backlog. See “Risk Factors—Risks Relating to Our Business—Our backlog may not convert to net service revenue at our historical conversion rates,” and “Management’s Discussion and Analysis of Financial Condition and Results of Operations—New Business Awards, Cancellations and Backlog”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employ an integrated sales and marketing team to sell our services to biotechnology, pharmaceutical and medical device companies.</w:t>
      </w:r>
    </w:p>
    <w:p>
      <w:pPr>
        <w:spacing w:after="0" w:line="145"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We have an experienced and highly trained global team of professional business development representatives and business development support staff focused on securing business from both new and existing customers, through a</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80"/>
          </w:cols>
          <w:pgMar w:left="240" w:top="449" w:right="2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consultative and strategic sales approach. We embed our medical and scientific experts from the beginning of the sales process when we first engage potential customers, and they remain embedded across the lifecycle of the sale and throughout the life of the project, program or partnership.</w:t>
      </w:r>
    </w:p>
    <w:p>
      <w:pPr>
        <w:spacing w:after="0" w:line="125"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As part of its sales strategy, our business development team focuses on a customer segmentation model. Our team targets and engages customers in our addressable market, matches customer characteristics with therapeutic fit and maintains a mindset of full-service outsourcing. Our structured and disciplined approach facilitates strong account evaluation, which results in increased focus by the sales team, the development of effective and productive territories, the management of sales force effectiveness and the creation of a process whereby both marketing and sales operate under the same guiding principles.</w:t>
      </w:r>
    </w:p>
    <w:p>
      <w:pPr>
        <w:spacing w:after="0" w:line="14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We are able to consult collaboratively with our customers and help optimize timely completion of their clinical trials and programs, in part, because we engage our therapeutic experts from the beginning of the sales process and involve our regulatory affairs experts and highly trained operations team throughout the clinical trial process. Our sales team is then able to take the study design, regulatory plan and execution plan discussed up front and carry that through to the proposal and provide a final concept during one-on-one customer discussions and final CRO evaluations.</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Our marketing team supports the business development function in three key areas, generating brand awareness through customized campaigns and web-site development, conference planning and lead generation through market research and business intelligence analysis. The marketing team is set up in two mirrored teams, one team to address our therapeutic strategy and tactics, and the second team to monitor and address market environment across our lines of business. All of our sales and marketing data are housed within a third party customer relationship management tool that provides us the analytics we need to make sales planning and sales management decisions.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360"/>
        <w:spacing w:after="0" w:line="230" w:lineRule="auto"/>
        <w:rPr>
          <w:sz w:val="20"/>
          <w:szCs w:val="20"/>
          <w:color w:val="auto"/>
        </w:rPr>
      </w:pPr>
      <w:r>
        <w:rPr>
          <w:rFonts w:ascii="Arial" w:cs="Arial" w:eastAsia="Arial" w:hAnsi="Arial"/>
          <w:sz w:val="17"/>
          <w:szCs w:val="17"/>
          <w:color w:val="auto"/>
        </w:rPr>
        <w:t>We compete primarily against other full-service CROs as well as services provided by in-house R&amp;D departments of biopharmaceutical companies, universities and teaching hospitals. Our major CRO competitors include Covance Inc., ICON plc, INC Research Holdings, Inc., inVentiv Health, Inc., PAREXEL International Corporation, Pharmaceutical Product Development, LLC, PRA Health Sciences, Inc., Quintiles Transnational Holdings Inc. and numerous specialty and regional CROs.</w:t>
      </w:r>
    </w:p>
    <w:p>
      <w:pPr>
        <w:spacing w:after="0" w:line="14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generally compete on the basis of a number of factors, including experience within specific therapeutic areas, quality of staff and services, reliability, range of provided services, ability to recruit principal investigators and patients into studies expeditiously, ability to organize and manage large-scale, global clinical trials, global presence with strategically located facilities, speed to completion, price and overall value. We believe we compete effectively with our competitors across these factors, particularly due to our full-service operating model, our deep therapeutic expertise in areas that are among the largest, most complex and fastest growing in pharmaceutical development, our global platform and our experienced and committed management team. However, some of our competitors have greater financial resources and a wider range of service offerings over a greater geographic area than we do, which could put us at a competitive disadvantage with respect to these competitors.</w:t>
      </w:r>
    </w:p>
    <w:p>
      <w:pPr>
        <w:spacing w:after="0" w:line="14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CRO industry remains fragmented, with several hundred smaller, narrowly focused service providers and a small number of full-service companies with global capabilities. We believe there are significant barriers to others becoming a global provider offering a broad range of services and products including the cost and experience necessary to develop strong therapeutic areas, expertise to manage complex clinical programs, infrastructure to support large global programs, ability to deliver high-quality services and expertise required to prepare regulatory submissions in numerous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Drugs, Biologics and Medical Devices</w:t>
      </w:r>
    </w:p>
    <w:p>
      <w:pPr>
        <w:spacing w:after="0" w:line="47" w:lineRule="exact"/>
        <w:rPr>
          <w:sz w:val="20"/>
          <w:szCs w:val="20"/>
          <w:color w:val="auto"/>
        </w:rPr>
      </w:pPr>
    </w:p>
    <w:p>
      <w:pPr>
        <w:jc w:val="both"/>
        <w:ind w:right="180"/>
        <w:spacing w:after="0" w:line="231" w:lineRule="auto"/>
        <w:rPr>
          <w:sz w:val="20"/>
          <w:szCs w:val="20"/>
          <w:color w:val="auto"/>
        </w:rPr>
      </w:pPr>
      <w:r>
        <w:rPr>
          <w:rFonts w:ascii="Arial" w:cs="Arial" w:eastAsia="Arial" w:hAnsi="Arial"/>
          <w:sz w:val="17"/>
          <w:szCs w:val="17"/>
          <w:color w:val="auto"/>
        </w:rPr>
        <w:t>The development of drugs, biologics and medical devices is highly regulated in the United States and other countries. Our services are subject to varying regulatory requirements designed to ensure the quality and integrity of the pre-clinical and clinical trial process. In the United States, the FDA has primary authority to regulate these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449" w:right="2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activities, in addition to the approval process, and the subsequent manufacturing, safety, labeling, storage, record keeping and marketing for these products, which are the responsibility of our customers. Before a marketing application for a drug is ready for submission to regulatory authorities, the candidate drug must often undergo rigorous testing in clinical trials. In the United States, these trials must be conducted in accordance with the Federal Food, Drug, and Cosmetic Act, its implementing regulations, and other federal and state requirements that require the drug to be tested and studied in certain ways prior to approval. The FDA has similar authority and requirements with respect to the clinical testing of biological products and medical devices. Before a human clinical trial may begin in the United States, the manufacturer or sponsor of the clinical product candidate must file an Investigational New Drug Application, or IND, with the FDA, which contains, among things, the results of pre-clinical tests, manufacturer information and other analytical data. A separate submission to an existing IND must also be made for each successive clinical trial conducted during product development. Each clinical trial must be conducted pursuant to, and in accordance with, an effective IND. Each human clinical trial we conduct is subject to the oversight of an IRB, which is an independent committee that has the regulatory authority to review, approve and monitor a clinical trial for which the IRB has responsibility. The FDA and IRB receive reports on the progress of each phase of clinical testing and may require the modification, suspension, or termination of clinical trials if, among other things, an unreasonable risk is presented to patients or if the design of the trial is insufficient to meet its stated objective. In addition, information about certain clinical trials must be made publicly available on the federal government website, www.clinicaltrials.gov.</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the United States, GCP regulations govern the design, conduct, performance, monitoring, auditing, recording, analysis, and reporting of clinical trials. In order to comply with GCP and other requirements, we must, among other things:</w:t>
      </w:r>
    </w:p>
    <w:p>
      <w:pPr>
        <w:ind w:left="800" w:hanging="455"/>
        <w:spacing w:after="0" w:line="194" w:lineRule="auto"/>
        <w:tabs>
          <w:tab w:leader="none" w:pos="80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comply with specific requirements governing the selection of qualified principal investigators and clinical research sites;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obtain specific written commitments from principal investigators;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obtain IRB review and approval and supervision of the clinical trials by an independent review board or ethics committee;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obtain a favorable opinion from regulatory agencies to commence a clinical trial;</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verify that appropriate patient informed consents are obtained before the patient participates in a clinical trial;</w:t>
      </w:r>
    </w:p>
    <w:p>
      <w:pPr>
        <w:spacing w:after="0" w:line="23" w:lineRule="exact"/>
        <w:rPr>
          <w:rFonts w:ascii="Arial" w:cs="Arial" w:eastAsia="Arial" w:hAnsi="Arial"/>
          <w:sz w:val="23"/>
          <w:szCs w:val="23"/>
          <w:color w:val="auto"/>
          <w:vertAlign w:val="superscript"/>
        </w:rPr>
      </w:pPr>
    </w:p>
    <w:p>
      <w:pPr>
        <w:ind w:left="800" w:right="540" w:hanging="455"/>
        <w:spacing w:after="0" w:line="195" w:lineRule="auto"/>
        <w:tabs>
          <w:tab w:leader="none" w:pos="80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ensure that adverse drug reactions resulting from the administration of a drug or biologic during a clinical trial are medically evaluated and reported in a timely manner;</w:t>
      </w:r>
    </w:p>
    <w:p>
      <w:pPr>
        <w:ind w:left="800" w:hanging="455"/>
        <w:spacing w:after="0" w:line="193" w:lineRule="auto"/>
        <w:tabs>
          <w:tab w:leader="none" w:pos="80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monitor the validity and accuracy of data;</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monitor drug or biologic accountability at clinical research sites; and</w:t>
      </w:r>
    </w:p>
    <w:p>
      <w:pPr>
        <w:spacing w:after="0" w:line="23" w:lineRule="exact"/>
        <w:rPr>
          <w:rFonts w:ascii="Arial" w:cs="Arial" w:eastAsia="Arial" w:hAnsi="Arial"/>
          <w:sz w:val="23"/>
          <w:szCs w:val="23"/>
          <w:color w:val="auto"/>
          <w:vertAlign w:val="superscript"/>
        </w:rPr>
      </w:pPr>
    </w:p>
    <w:p>
      <w:pPr>
        <w:ind w:left="800" w:right="240" w:hanging="455"/>
        <w:spacing w:after="0" w:line="195" w:lineRule="auto"/>
        <w:tabs>
          <w:tab w:leader="none" w:pos="80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verify that principal investigators and clinical trial staff maintain records and reports and permit appropriate governmental authorities access to data for review.</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Clinical trials conducted outside the United States are subject to the laws and regulations of the country where the trials are conducted. These laws and regulations may or may not be similar to the laws and regulations administered by the FDA and other laws and regulations regarding the protection of patient safety and privacy and the control of clinical trial pharmaceuticals, medical devices or other clinical trial materials. Within the EU, these requirements are enforced by the EMA and requirements may vary slightly from one member state to another. In Canada, clinical trials are regulated by the Health Products and Food Branch of Health Canada as well as provincial regulations. Similar requirements also apply in other jurisdictions, including countries outside the EU and countries in Asia and Latin America where we operate or where our customers may intend to apply for marketing authorization. Clinical trials conducted outside the United States also may be subject to FDA regulation if the clinical trials are conducted pursuant to an IND or an Investigational Device Exemption for a product candidate that will seek FDA approval or clearance. In addition, clinical trial sponsors follow ICH E6 guidelines as a principle for good clinical practices.</w:t>
      </w:r>
    </w:p>
    <w:p>
      <w:pPr>
        <w:spacing w:after="0" w:line="143"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The clinical trial customer and the parties conducting the clinical trials share in responsibilities to ensure that all applicable legal and regulatory requirements are fulfilled. Many of the functions we regularly perform in the conduct of clinical trials subject us directly to regulations (e.g., compliance with GCP), and in some circumstances, we will take on legal and regulatory responsibility either through a transfer of obligations to us from our clinical trial customers or our acting as local legal representative for certain of our clinical trial customers. We may be subject to</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00"/>
          </w:cols>
          <w:pgMar w:left="240" w:top="449" w:right="2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regulatory action if we fail to comply with these requirements. Failure to comply with certain regulations may also result in the termination of ongoing research and disqualification of data collected during the clinical trials. For example, violations of GCP could result, depending on the nature of the violation and the type of product involved, in the issuance of a warning letter, suspension or termination of a clinical trial, refusal of the FDA to approve clinical trial or marketing applications or withdrawal of such applications, injunction, seizure of investigational products, civil penalties, criminal prosecutions or debarment from assisting in the submission of new drug applications. See “Risk Factors—Risks Relating to Our Business—If we fail to perform our services in accordance with contractual requirements, government regulations and ethical considerations, we could be subject to significant costs or liability and our reputation could be adversely affected.”</w:t>
      </w:r>
    </w:p>
    <w:p>
      <w:pPr>
        <w:spacing w:after="0" w:line="141"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We monitor our clinical trials to test for compliance with applicable laws and regulations in the United States and the foreign jurisdictions in which we operate. We have adopted SOPs that are designed to satisfy regulatory requirements and serve as a mechanism for controlling and enhancing the quality of our clinical trials. In the United States, our procedures were developed to ensure compliance with GCP and associated requirements.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Information Privacy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confidentiality of personal health information, including patient-specific information collected during clinical trials, is heavily regulated in the United States and other countries. The U.S. Department of Health and Human Services has promulgated rules under the Health Insurance Portability and Accountability Act of 1996, as amended by the Health Information Technology for Economic and Clinical Health Act of 2009 and their implementing regulations, including the Privacy and Security Rules, or collectively, HIPAA, that govern the use, handling and disclosure of personally identifiable medical information. These regulations also establish procedures for the exercise of an individual’s rights and the methods permissible for de-identification of health information. HIPAA applies to “covered entities,” which include certain types of health care providers, as well as service providers to covered entities which access protected health information, known as “business associates.” Two of our subsidiaries, Medpace Clinical Pharmacology, LLC and C-MARC, LLC, are covered entities under HIPAA. Further, many investigators with whom we are involved in clinical trials are also directly subject to HIPAA as covered entities. There are instances where we may be considered a business associate of a covered entity investigator, and we have signed business associate agreements with some investigators. If we are determined to be a business associate, we would be directly liable for any breaches of protected health information and other HIPAA violations. We are also liable contractually under any business associate agreements we have signed with covered entities. In addition, we are also subject to privacy legislation in Canada under the federal Personal Information Protection and Electronic Documents Act, the Act Respecting the Protection of Personal Information in the Private Sector and the Personal Health Information Protection Act and privacy legislation in the EU under the 95/46/EC Privacy Directive on the protection and free movement of personal data, as replaced by the General Data Protection Regulation from early 2018 onwards. See “Risk Factors—Risks Relating to Our Industry—Current and proposed laws and regulations regarding the protection of personal data could result in increased risks of liability or increased cost to us or could limit our service offerings.”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Industry Arrangements</w:t>
      </w:r>
    </w:p>
    <w:p>
      <w:pPr>
        <w:spacing w:after="0" w:line="3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conduct of pre-clinical and clinical trials may be subject to laws and regulations that are intended to prevent the misuse of government health care program funding. In the United States, these laws include, among others, the False Claims Act, which prohibits submitting or causing the submission of false statements or improper claims for government health care program payments; and the Anti-Kickback statute, which prohibits paying, offering to pay or receiving payment with the intent to induce the referral of services or devices that are covered under a federal health care program. Violations of these laws and regulations may incur administrative, civil, and criminal penalties.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Safety and Workplace Conditions</w:t>
      </w:r>
    </w:p>
    <w:p>
      <w:pPr>
        <w:spacing w:after="0" w:line="34" w:lineRule="exact"/>
        <w:rPr>
          <w:sz w:val="20"/>
          <w:szCs w:val="20"/>
          <w:color w:val="auto"/>
        </w:rPr>
      </w:pPr>
    </w:p>
    <w:p>
      <w:pPr>
        <w:ind w:right="260"/>
        <w:spacing w:after="0" w:line="228" w:lineRule="auto"/>
        <w:rPr>
          <w:sz w:val="20"/>
          <w:szCs w:val="20"/>
          <w:color w:val="auto"/>
        </w:rPr>
      </w:pPr>
      <w:r>
        <w:rPr>
          <w:rFonts w:ascii="Arial" w:cs="Arial" w:eastAsia="Arial" w:hAnsi="Arial"/>
          <w:sz w:val="17"/>
          <w:szCs w:val="17"/>
          <w:color w:val="auto"/>
        </w:rPr>
        <w:t>Most of our employees are office based and subject to health and safety regulations covering offices, with which we comply. In addition to its comprehensive regulation of safety in the workplace, the U.S. Occupational Safety and Health Administration has established extensive requirements relating to workplace safety for healthcare employers whose workers might be exposed to blood-borne pathogens such as HIV and the hepatitis B virus, which apply to our clinic and laboratories. Furthermore, certain employees might have to receive initial and periodic training to ensure compliance with applicable hazardous materials regulations and health and safety guidelines. We are subject to similar regulations with respect to our laboratories in Belgium, Singapore and China.</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380"/>
          </w:cols>
          <w:pgMar w:left="240" w:top="449" w:right="2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Regulation and Liability</w:t>
      </w:r>
    </w:p>
    <w:p>
      <w:pPr>
        <w:spacing w:after="0" w:line="123"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We are subject to various laws and regulations relating to the protection of the environment and human health and safety in the countries in which we do business, including laws and regulations governing the management and disposal of hazardous substances and wastes, the cleanup of contaminated sites and the maintenance of a safe workplace. Our operations include the use, generation and disposal of hazardous materials and medical wastes. We may, in the future, incur liability under environmental statutes and regulations for contamination of sites we own or operate (including contamination caused by prior owners or operators of such sites), the off-site disposal of hazardous substances and for personal injuries or property damage arising from exposure to hazardous materials from our operations. We believe that we have been and are in substantial compliance with all applicable environmental laws and regulations and that we currently have no liabilities under such environmental requirements that could reasonably be expected to materially harm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develop and use a number of proprietary methodologies, analytics, systems, technologies and other intellectual property in the conduct of our business. We rely upon a combination of confidentiality policies, nondisclosure agreements and other contractual arrangements to protect our trade secrets, and copyright and trademark laws to protect other intellectual property rights. We have obtained or applied for trademarks and copyright protection in the United States and in a number of foreign countries. Our material trademarks include Medpace and ClinTrak. Although the duration of trademark registrations varies from country to country, trademarks generally may be renewed indefinitely so long as they are in use and/or their registrations are properly maintained, and so long as they have not been found to have become generic. Although we believe the ownership of trademarks is an important factor in our business and that our success does depend in part on the ownership thereof, we rely primarily on the innovative skills, technical competence and marketing abilities of our employees. We do not have any material licenses, franchises or concessions.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jc w:val="both"/>
        <w:ind w:right="160"/>
        <w:spacing w:after="0" w:line="230" w:lineRule="auto"/>
        <w:rPr>
          <w:sz w:val="20"/>
          <w:szCs w:val="20"/>
          <w:color w:val="auto"/>
        </w:rPr>
      </w:pPr>
      <w:r>
        <w:rPr>
          <w:rFonts w:ascii="Arial" w:cs="Arial" w:eastAsia="Arial" w:hAnsi="Arial"/>
          <w:sz w:val="17"/>
          <w:szCs w:val="17"/>
          <w:color w:val="auto"/>
        </w:rPr>
        <w:t>As of June 30, 2016 we had approximately 2,300 employees worldwide, with approximately 66% in North America, 29% in Europe, 4% in Asia/Pacific and 1% in South America and Africa. None of our employees are currently covered by a collective bargaining agreement specific to our company. We believe our overall relations with our employees are good. As of December 31, 2015, December 31, 2014 and December 31, 2013, we had approximately 2,000, 1,700 and 1,400 employees, respectively.</w:t>
      </w:r>
    </w:p>
    <w:p>
      <w:pPr>
        <w:spacing w:after="0" w:line="14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The success of our business depends upon our ability to attract and retain qualified professional, scientific and technical staff. The level of competition among employers in the United States and overseas for skilled personnel, particularly for those with Ph.D., M.D. or equivalent degrees or training, is high. We believe that our brand recognition and our multinational presence are advantages in attracting qualified candidates. We also believe that the wide range of clinical trials in which we participate allows us to offer broad experience to clinical researchers. In addition, our disciplined and centralized approach to hiring and training has fostered, and we believe will continue to foster, strong employee loyalty and a low turnover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23"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As of June 30, 2016, we had 29 facilities located in 25 countries. Most of our facilities consist solely of office space; however, we have five laboratories located across four facilities. We lease all of our facilities, with the exception of office space owned in Leuven, Belgium and Prague, Czech Republic. Our principal executive offices are located on a corporate campus in Cincinnati, Ohio consisting of three buildings totaling approximately 332,000 square feet. The leases for the Cincinnati site expire in 2022, 2026 and 2027. None of our leases are individually material to our business model and all have either options to renew or are located in major markets with what we believe are adequate opportunities to continue business operations on terms satisfactory to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and Insurance</w:t>
      </w:r>
    </w:p>
    <w:p>
      <w:pPr>
        <w:spacing w:after="0" w:line="123"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We may be liable to our customers for any failure to conduct their clinical trials properly according to the agreed-upon protocol and contract. If we fail to conduct a clinical trial properly in accordance with the agreed-upon procedures, we may have to repeat a clinical trial or a particular portion of the services at our expense, reimburse the customer for the cost of the services and/or pay additional damages.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20"/>
          </w:cols>
          <w:pgMar w:left="240" w:top="449"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At our Phase I clinic, we study the effects of drugs on healthy volunteers. In addition, in our clinical business we, on behalf of our customers, contract with physicians who render professional services, including the administration of the substance being tested to participants in clinical trials, many of whom are seriously ill and are at great risk of further illness or death as a result of factors other than their participation in a trial. As a result, we could be held liable for bodily injury, death, pain and suffering, loss of consortium or other personal injury claims and medical expenses arising from a clinical trial. In addition, we sometimes engage the services of vendors necessary for the conduct of a clinical trial, such as laboratories or medical diagnostic specialists. Because these vendors are engaged as subcontractors, we are responsible for their performance and may be held liable for damages if the subcontractors fail to perform in the manner specified in their contract.</w:t>
      </w:r>
    </w:p>
    <w:p>
      <w:pPr>
        <w:spacing w:after="0" w:line="14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To reduce our potential liability, and as a requirement of the GCP regulations, informed consent is required from each volunteer and patient. In addition, our customers provide us with contractual indemnification for all of our service related contracts. These indemnities generally do not, however, protect us against certain of our own actions such as those involving negligence or misconduct. Our business, financial condition and operating results could be harmed if we were required to pay damages or incur defense costs in connection with a claim that is not indemnified, that is outside the scope of an indemnity or where the indemnity, although applicable, is not honored in accordance with its terms.</w:t>
      </w:r>
    </w:p>
    <w:p>
      <w:pPr>
        <w:spacing w:after="0" w:line="141"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We maintain errors, omissions and professional liability insurance in amounts we believe to be appropriate. This insurance provides coverage for vicarious liability due to negligence of the investigators who contract with us, as well as claims by our customers that a clinical trial was compromised due to an error or omission by us. If our insurance coverage is not adequate, or if insurance coverage does not continue to be available on terms acceptable to us, our business, financial condition and operating results could be materially harmed.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We are currently party to legal proceedings incidental to our business and may become subject to additional legal proceedings in the future. We believe that the ultimate outcome of the proceedings to which we are currently a party, individually and in the aggregate, will not have a material adverse effect on our consolidated financial statements. Litigation is subject to inherent uncertainties. See Note 9 to our audited financial statements included in this prospectus for a discussion of legal proceedings.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00"/>
          </w:cols>
          <w:pgMar w:left="240" w:top="449" w:right="2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23" w:lineRule="exact"/>
        <w:rPr>
          <w:sz w:val="20"/>
          <w:szCs w:val="20"/>
          <w:color w:val="auto"/>
        </w:rPr>
      </w:pPr>
    </w:p>
    <w:p>
      <w:pPr>
        <w:ind w:right="880"/>
        <w:spacing w:after="0" w:line="235" w:lineRule="auto"/>
        <w:rPr>
          <w:sz w:val="20"/>
          <w:szCs w:val="20"/>
          <w:color w:val="auto"/>
        </w:rPr>
      </w:pPr>
      <w:r>
        <w:rPr>
          <w:rFonts w:ascii="Arial" w:cs="Arial" w:eastAsia="Arial" w:hAnsi="Arial"/>
          <w:sz w:val="17"/>
          <w:szCs w:val="17"/>
          <w:color w:val="auto"/>
        </w:rPr>
        <w:t>The following table sets forth certain information concerning our executive officers and directors as of the date set forth on the cover page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AGE</w:t>
            </w:r>
          </w:p>
        </w:tc>
        <w:tc>
          <w:tcPr>
            <w:tcW w:w="7120" w:type="dxa"/>
            <w:vAlign w:val="bottom"/>
          </w:tcPr>
          <w:p>
            <w:pPr>
              <w:ind w:left="3220"/>
              <w:spacing w:after="0"/>
              <w:rPr>
                <w:sz w:val="20"/>
                <w:szCs w:val="20"/>
                <w:color w:val="auto"/>
              </w:rPr>
            </w:pPr>
            <w:r>
              <w:rPr>
                <w:rFonts w:ascii="Arial" w:cs="Arial" w:eastAsia="Arial" w:hAnsi="Arial"/>
                <w:sz w:val="14"/>
                <w:szCs w:val="14"/>
                <w:b w:val="1"/>
                <w:bCs w:val="1"/>
                <w:color w:val="auto"/>
              </w:rPr>
              <w:t>POSITION</w:t>
            </w:r>
          </w:p>
        </w:tc>
      </w:tr>
      <w:tr>
        <w:trPr>
          <w:trHeight w:val="170"/>
        </w:trPr>
        <w:tc>
          <w:tcPr>
            <w:tcW w:w="344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color w:val="auto"/>
              </w:rPr>
              <w:t>Dr. August J. Troendle</w:t>
            </w:r>
          </w:p>
        </w:tc>
        <w:tc>
          <w:tcPr>
            <w:tcW w:w="220" w:type="dxa"/>
            <w:vAlign w:val="bottom"/>
          </w:tcPr>
          <w:p>
            <w:pPr>
              <w:spacing w:after="0"/>
              <w:rPr>
                <w:sz w:val="14"/>
                <w:szCs w:val="14"/>
                <w:color w:val="auto"/>
              </w:rPr>
            </w:pPr>
          </w:p>
        </w:tc>
        <w:tc>
          <w:tcPr>
            <w:tcW w:w="32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7"/>
                <w:szCs w:val="17"/>
                <w:color w:val="auto"/>
              </w:rPr>
              <w:t>59</w:t>
            </w:r>
          </w:p>
        </w:tc>
        <w:tc>
          <w:tcPr>
            <w:tcW w:w="320" w:type="dxa"/>
            <w:vAlign w:val="bottom"/>
          </w:tcPr>
          <w:p>
            <w:pPr>
              <w:spacing w:after="0"/>
              <w:rPr>
                <w:sz w:val="14"/>
                <w:szCs w:val="14"/>
                <w:color w:val="auto"/>
              </w:rPr>
            </w:pPr>
          </w:p>
        </w:tc>
        <w:tc>
          <w:tcPr>
            <w:tcW w:w="712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color w:val="auto"/>
              </w:rPr>
              <w:t>President, Chief Executive Officer and Chairman of the Board of Directors</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Jesse J. Geiger</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42</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Chief Financial Officer and Chief Operating Officer, Laboratory Operations</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Susan E. Burwig</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53</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Senior Vice President, Operations</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Stephen P. Ewald</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47</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General Counsel and Corporate Secretary</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Penelope J. Bucknell</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57</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Vice President, Human Resources</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Dr. Supraj R. Rajagopalan</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38</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Director</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Alexander F.S. Leslie</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36</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Director</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Matthew R. Norton</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31</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Director</w:t>
            </w:r>
          </w:p>
        </w:tc>
      </w:tr>
      <w:tr>
        <w:trPr>
          <w:trHeight w:val="183"/>
        </w:trPr>
        <w:tc>
          <w:tcPr>
            <w:tcW w:w="3660" w:type="dxa"/>
            <w:vAlign w:val="bottom"/>
            <w:gridSpan w:val="2"/>
          </w:tcPr>
          <w:p>
            <w:pPr>
              <w:spacing w:after="0" w:line="184" w:lineRule="exact"/>
              <w:rPr>
                <w:sz w:val="20"/>
                <w:szCs w:val="20"/>
                <w:color w:val="auto"/>
              </w:rPr>
            </w:pPr>
            <w:r>
              <w:rPr>
                <w:rFonts w:ascii="Arial" w:cs="Arial" w:eastAsia="Arial" w:hAnsi="Arial"/>
                <w:sz w:val="17"/>
                <w:szCs w:val="17"/>
                <w:color w:val="auto"/>
              </w:rPr>
              <w:t>Robert O. Kraft</w:t>
            </w:r>
          </w:p>
        </w:tc>
        <w:tc>
          <w:tcPr>
            <w:tcW w:w="640" w:type="dxa"/>
            <w:vAlign w:val="bottom"/>
            <w:gridSpan w:val="2"/>
          </w:tcPr>
          <w:p>
            <w:pPr>
              <w:jc w:val="right"/>
              <w:ind w:right="320"/>
              <w:spacing w:after="0" w:line="184" w:lineRule="exact"/>
              <w:rPr>
                <w:sz w:val="20"/>
                <w:szCs w:val="20"/>
                <w:color w:val="auto"/>
              </w:rPr>
            </w:pPr>
            <w:r>
              <w:rPr>
                <w:rFonts w:ascii="Arial" w:cs="Arial" w:eastAsia="Arial" w:hAnsi="Arial"/>
                <w:sz w:val="17"/>
                <w:szCs w:val="17"/>
                <w:color w:val="auto"/>
              </w:rPr>
              <w:t>46</w:t>
            </w:r>
          </w:p>
        </w:tc>
        <w:tc>
          <w:tcPr>
            <w:tcW w:w="7120" w:type="dxa"/>
            <w:vAlign w:val="bottom"/>
          </w:tcPr>
          <w:p>
            <w:pPr>
              <w:spacing w:after="0" w:line="184" w:lineRule="exact"/>
              <w:rPr>
                <w:sz w:val="20"/>
                <w:szCs w:val="20"/>
                <w:color w:val="auto"/>
              </w:rPr>
            </w:pPr>
            <w:r>
              <w:rPr>
                <w:rFonts w:ascii="Arial" w:cs="Arial" w:eastAsia="Arial" w:hAnsi="Arial"/>
                <w:sz w:val="17"/>
                <w:szCs w:val="17"/>
                <w:color w:val="auto"/>
              </w:rPr>
              <w:t>Director</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Brian T. Carley</w:t>
            </w:r>
          </w:p>
        </w:tc>
        <w:tc>
          <w:tcPr>
            <w:tcW w:w="640" w:type="dxa"/>
            <w:vAlign w:val="bottom"/>
            <w:gridSpan w:val="2"/>
          </w:tcPr>
          <w:p>
            <w:pPr>
              <w:jc w:val="right"/>
              <w:ind w:right="320"/>
              <w:spacing w:after="0"/>
              <w:rPr>
                <w:sz w:val="20"/>
                <w:szCs w:val="20"/>
                <w:color w:val="auto"/>
              </w:rPr>
            </w:pPr>
            <w:r>
              <w:rPr>
                <w:rFonts w:ascii="Arial" w:cs="Arial" w:eastAsia="Arial" w:hAnsi="Arial"/>
                <w:sz w:val="17"/>
                <w:szCs w:val="17"/>
                <w:color w:val="auto"/>
              </w:rPr>
              <w:t>62</w:t>
            </w:r>
          </w:p>
        </w:tc>
        <w:tc>
          <w:tcPr>
            <w:tcW w:w="712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biographical summary of the experience of our executive officers and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August J. Troendle—President, Chief Executive Officer and Chairman of the Board of Directors</w:t>
      </w:r>
    </w:p>
    <w:p>
      <w:pPr>
        <w:spacing w:after="0" w:line="45"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Dr. August J. Troendle has been the President, Chief Executive Officer and Chairman of the Board of Directors of Medpace since he founded the Company in July 1992. Before founding Medpace, Dr. Troendle served as Assistant Director, Associate Director and Senior Associate Director from 1987 to 1992 at Sandoz (Novartis), where he was responsible for the clinical development of lipid altering agents. From 1986 to 1987, Dr. Troendle worked as a Medical Review Officer in the Division of Metabolic and Endocrine Drug Products at the FDA. Dr. Troendle also has extensive experience serving as a director for a diverse group of public and private companies, including as a director of Coherus BioSciences, Inc. since 2012, as a director of Xenon Pharmaceuticals Inc. from 2007 to 2008, as a director of Symplmed Pharmaceuticals, LLC since 2013, as a director of LIB Therapeutics, LLC since 2015 and as a director of CinRx Pharma, LLC since 2015. Dr. Troendle received his Medical Degree from the University of Maryland, School of Medicine. We believe Dr. Troendle brings to our Board valuable perspective and experience as our Chief Executive Officer, and as a former member of a large pharmaceutical company and the FDA, as well as extensive knowledge of the CRO and biopharmaceutical industries, and his experience serving on public and private boards, all of which qualify him to serve as the Chairman of our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Jesse J. Geiger—Chief Financial Officer and Chief Operating Officer, Laboratory Operations</w:t>
      </w:r>
    </w:p>
    <w:p>
      <w:pPr>
        <w:spacing w:after="0" w:line="45"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Jesse J. Geiger joined Medpace in October 2007 as Corporate Controller, and he was appointed Chief Financial Officer in March 2011. Mr. Geiger became Chief Operating Officer, Laboratory Operations in November 2014. Prior to joining Medpace, Mr. Geiger worked for SENCORP from 2004 to 2007 as the Corporate Controller and Manager of Financial Planning and Analysis. Prior to SENCORP, Mr. Geiger served as the Director of Capital Markets for Cincinnati Bell from 2002 to 2004. Mr. Geiger started his career in the audit practice at Arthur Andersen LLP. Mr. Geiger has served as a director for several private companies, including as a director of Symplmed Pharmaceuticals, LLC since 2013, as a director of LIB Therapeutics, LLC since 2016 and as a director of CinRx Pharma, LLC since 2016. Mr. Geiger received his Bachelor of Business Administration in Accounting from the University of Cincinnati and is a Certified Public Accountant.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Susan E. Burwig—Senior Vice President, Operations</w:t>
      </w:r>
    </w:p>
    <w:p>
      <w:pPr>
        <w:spacing w:after="0" w:line="45"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Susan E. Burwig joined Medpace in August 1993 and has served in various key leadership roles within the Clinical Operations department. From February 2003 to May 2015, Ms. Burwig served as Senior Vice President, Clinical Operations, overseeing clinical trial management, clinical monitoring, start-up, including feasibility, and new business proposals. In June 2015, Ms. Burwig was appointed Senior Vice President, Operations. Prior to joining Medpace, Ms. Burwig held several clinical roles, including leading heart failure clinical research studies at the University of Cincinnati. Ms. Burwig received her Bachelor of Science in Nursing as well as an MA in Sports Administration from Kent State University.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449"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Stephen P. Ewald—General Counsel and Corporate Secretary</w:t>
      </w:r>
    </w:p>
    <w:p>
      <w:pPr>
        <w:spacing w:after="0" w:line="4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Stephen P. Ewald joined Medpace as General Counsel and Corporate Secretary in June 2012. Prior to joining Medpace, Mr. Ewald served as the Managing Director and Chief Legal Officer of Brevet Capital Management from May 2011 to June 2012. From May 2009 to May 2011, he was a Managing Director and Assistant General Counsel for Cantor Fitzgerald Securities/Cantor Fitzgerald &amp; Co. Mr. Ewald was employed with Bank of America from 1999 to 2009, serving in various roles within the legal department and the Global Markets Group, including Managing Director and Chief Operating Officer of the Principal Capital Group, a proprietary investing group within Bank of America Securities. Mr. Ewald has served as director for several private companies, including as a director of Symplmed Pharmaceuticals, LLC since 2013, as a director of LIB Therapeutics, LLC since 2016 and as a director of CinRx Pharma, LLC since 2016. Mr. Ewald received his Bachelor of Science in Political Sciences from the University of Cincinnati and his Juris Doctorate from the University of Cincinnati College of Law.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Penelope J. Bucknell—Vice President, Human Resources</w:t>
      </w:r>
    </w:p>
    <w:p>
      <w:pPr>
        <w:spacing w:after="0" w:line="45"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Penelope J. Bucknell joined Medpace in February 2012 as Vice President, Human Resources. Ms. Bucknell has also led the Global Travel department since joining the Company, and the Facilities department since January 2015. Prior to joining Medpace, Ms. Bucknell was the Human Resources Director, Europe and Latin America for Underwriters Laboratories from August 2008 to February 2012. Before that, from 1998 to 2008, she served as Director and Executive Director, Human Resources, EMEA and Asia Pacific for Pharmaceutical Product Development. Ms. Bucknell received her Bachelor of Science in Social Sciences from Brunel University and a Postgraduate Diploma in Personnel Management from PCL (now the University of Westminster). She is a Member of the Chartered Institute of Personnel and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Supraj R. Rajagopalan—Director</w:t>
      </w:r>
    </w:p>
    <w:p>
      <w:pPr>
        <w:spacing w:after="0" w:line="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Dr. Supraj R. Rajagopalan has served as a member of our Board since February 2014. Dr. Rajagopalan joined Cinven in 2004 and has been a partner since 2011. He currently leads Cinven’s Healthcare sector team, sits on the firm’s Executive Committee and is a member of the UK and Ireland regional team. From 2003 to 2004, he worked for The Boston Consulting Group, where he focused on projects in the financial services and healthcare sectors. Prior to this, he was a doctor in the UK National Health Service from 2001 to 2002. Dr. Rajagopalan has extensive experience serving as a director for a diverse group of European private and public companies. Dr. Rajagopalan graduated from Cambridge University with undergraduate and postgraduate degrees in Medical Sciences. Dr. Rajagopalan was chosen as a director because of his significant financial, investment and operational experience from his background in private equity finance, along with his past practice as a doctor.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Alexander F.S. Leslie—Director</w:t>
      </w:r>
    </w:p>
    <w:p>
      <w:pPr>
        <w:spacing w:after="0" w:line="4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Alexander F.S. Leslie has served as a member of our Board since February 2014. Mr. Leslie joined Cinven in 2006, has been a partner since January 2016 and is a member of Cinven’s Healthcare sector team and its UK and Ireland regional team. Prior to this, he worked in the Investment Banking Division of Morgan Stanley in London from 2003 to 2006. Mr. Leslie has extensive experience serving as a director for a diverse group of European private companies. Mr. Leslie has an MA in History from the University of Edinburgh. Mr. Leslie was chosen as a director because of his significant financial, investment and operational experience from his background in banking and private equity finance.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Matthew R. Norton—Director</w:t>
      </w:r>
    </w:p>
    <w:p>
      <w:pPr>
        <w:spacing w:after="0" w:line="4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Matthew R. Norton has served as a member of our Board since October 2015. Mr. Norton joined Cinven in 2010 and is a member of Cinven’s Healthcare sector team and its UK and Ireland regional team. Prior to joining Cinven, Mr. Norton worked in the Investment Banking Division of Citigroup in London from 2007 to 2010. There, he advised on M&amp;A and restructuring deals across a range of sectors, including consumer, real estate and healthcare. Mr. Norton graduated from Imperial College London with an MSc in Physics. Mr. Norton was chosen as a director because of his significant financial, investment and operational experience from his background in banking and private equity finance.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00"/>
          </w:cols>
          <w:pgMar w:left="240" w:top="449" w:right="2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O. Kraft—Director</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Robert O. Kraft has served as a member of our Board since July 1, 2016. Mr. Kraft has served as the Executive Vice President of CVS Health Corporation and the President of Omnicare, Inc., CVS’s long-term care business, since August 2015. From September 2012 to August 2015, Mr. Kraft served as Senior Vice President and Chief Financial Officer of Omnicare, Inc., and from November 2010 to September 2012, he served as Senior Vice President, Finance of Omnicare, Inc. Before joining Omnicare, Inc., Mr. Kraft was an audit partner at PricewaterhouseCoopers LLP, where he worked for 18 years. Mr. Kraft received his Bachelor’s Degree in Accounting from the University of Dayton. Mr. Kraft was chosen as a director because of his significant financial and accounting experience from his background as an audit partner at PricewaterhouseCoopers LLP and his experience as an executive of a public company.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Brian T. Carley—Director</w:t>
      </w:r>
    </w:p>
    <w:p>
      <w:pPr>
        <w:spacing w:after="0" w:line="45"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Brian T. Carley has served as a member of our Board since July 1, 2016. Mr. Carley is currently the Senior Vice President and Chief Financial Officer of Clubessential, LLC, a privately held Software as a Service (SaaS) company providing member engagement software. He previously served as President and Chief Executive Officer of the Cincinnati USA Regional Chamber from 2014 to 2015. From 2002 to 2014, Mr. Carley worked at Deloitte &amp; Touche LLP, where he served as regional and office audit division head and audit partner. Before joining Deloitte &amp; Touche LLP, Mr. Carley was employed by Arthur Andersen LLP from 1976 to 2002. There, he served as office managing partner and audit partner. Mr. Carley also has extensive experience serving as a director for a diverse group of companies, including as a director of Assurex Health, Inc. since 2015, and as a director and officer of numerous civic and charitable organizations. Mr. Carley received his Bachelor of Science in Accountancy from the University of Illinois, and he is a retired Certified Public Accountant. Mr. Carley was chosen as a director because of his significant financial, accounting and directorship experience from his background as an audit partner at Deloitte &amp; Touche LLP and Arthur Andersen LLP and his experience serving on boards.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Our business and affairs are managed under the direction of our Board. When considering whether directors have the experience, qualifications, attributes or skills, taken as a whole, to enable our Board to satisfy its oversight responsibilities effectively in light of our business and structure, the Board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3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Our amended and restated certificate of incorporation will provide that our Board will initially consist of six directors, and that our Board will be divided into three classes, as nearly equal as possible, with one class being elected at each annual meeting of shareholders. Each director will serve a three-year term, with termination staggered according to class. Our directors will initially be divided among the three classes as follows:</w:t>
      </w:r>
    </w:p>
    <w:p>
      <w:pPr>
        <w:spacing w:after="0" w:line="182" w:lineRule="exact"/>
        <w:rPr>
          <w:sz w:val="20"/>
          <w:szCs w:val="20"/>
          <w:color w:val="auto"/>
        </w:rPr>
      </w:pPr>
    </w:p>
    <w:p>
      <w:pPr>
        <w:ind w:left="800" w:right="280" w:hanging="455"/>
        <w:spacing w:after="0" w:line="195" w:lineRule="auto"/>
        <w:tabs>
          <w:tab w:leader="none" w:pos="80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the Class I directors will be Robert O. Kraft and Brian T. Carley and their terms will expire at the annual meeting of shareholders to be held in 2017;</w:t>
      </w:r>
    </w:p>
    <w:p>
      <w:pPr>
        <w:spacing w:after="0" w:line="22" w:lineRule="exact"/>
        <w:rPr>
          <w:rFonts w:ascii="Arial" w:cs="Arial" w:eastAsia="Arial" w:hAnsi="Arial"/>
          <w:sz w:val="24"/>
          <w:szCs w:val="24"/>
          <w:color w:val="auto"/>
          <w:vertAlign w:val="superscript"/>
        </w:rPr>
      </w:pPr>
    </w:p>
    <w:p>
      <w:pPr>
        <w:ind w:left="800" w:right="40" w:hanging="455"/>
        <w:spacing w:after="0" w:line="195" w:lineRule="auto"/>
        <w:tabs>
          <w:tab w:leader="none" w:pos="80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the Class II directors will be Alexander F.S. Leslie and Matthew R. Norton and their terms will expire at the annual meeting of shareholders to be held in 2018; and</w:t>
      </w:r>
    </w:p>
    <w:p>
      <w:pPr>
        <w:spacing w:after="0" w:line="22" w:lineRule="exact"/>
        <w:rPr>
          <w:rFonts w:ascii="Arial" w:cs="Arial" w:eastAsia="Arial" w:hAnsi="Arial"/>
          <w:sz w:val="24"/>
          <w:szCs w:val="24"/>
          <w:color w:val="auto"/>
          <w:vertAlign w:val="superscript"/>
        </w:rPr>
      </w:pPr>
    </w:p>
    <w:p>
      <w:pPr>
        <w:ind w:left="800" w:right="780" w:hanging="455"/>
        <w:spacing w:after="0" w:line="195" w:lineRule="auto"/>
        <w:tabs>
          <w:tab w:leader="none" w:pos="80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the Class III directors will be Dr. Supraj R. Rajagopalan and Dr. August J. Troendle and their terms will expire at the annual meeting of shareholders to be held in 2019.</w:t>
      </w:r>
    </w:p>
    <w:p>
      <w:pPr>
        <w:spacing w:after="0" w:line="141" w:lineRule="exact"/>
        <w:rPr>
          <w:sz w:val="20"/>
          <w:szCs w:val="20"/>
          <w:color w:val="auto"/>
        </w:rPr>
      </w:pPr>
    </w:p>
    <w:p>
      <w:pPr>
        <w:jc w:val="both"/>
        <w:ind w:right="340"/>
        <w:spacing w:after="0" w:line="229" w:lineRule="auto"/>
        <w:rPr>
          <w:sz w:val="20"/>
          <w:szCs w:val="20"/>
          <w:color w:val="auto"/>
        </w:rPr>
      </w:pPr>
      <w:r>
        <w:rPr>
          <w:rFonts w:ascii="Arial" w:cs="Arial" w:eastAsia="Arial" w:hAnsi="Arial"/>
          <w:sz w:val="17"/>
          <w:szCs w:val="17"/>
          <w:color w:val="auto"/>
        </w:rPr>
        <w:t>The size of our Board may thereafter be fixed from time to time solely by resolution of at least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control of our company. See “Description of Capital Stock—Anti-Takeover Effects of Our Amended and Restated Certificate of Incorporation and Amended and Restated Bylaws and Certain Provisions of Delaware Law.”</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360"/>
          </w:cols>
          <w:pgMar w:left="240" w:top="449" w:right="2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Selection Arrangements</w:t>
      </w:r>
    </w:p>
    <w:p>
      <w:pPr>
        <w:spacing w:after="0" w:line="123"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Because Cinven will continue to control a majority of the voting power of our common stock upon the closing of this offering, we expect that Cinven will control the election of our directors. In addition, we understand that, substantially concurrently with the closing of this offering, Cinven and Dr. August J. Troendle, our Chief Executive Officer and founder, intend to enter into the Voting Agreement. See “Certain Relationships and Related Person Transactions —Voting Agreement,”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 and Controlled Company Exemption</w:t>
      </w:r>
    </w:p>
    <w:p>
      <w:pPr>
        <w:spacing w:after="0" w:line="123"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Because of the Voting Agreement and the aggregate voting power of Cinven and Dr. Troendle, we are considered a “controlled company” within the meaning of the corporate governance standards of NASDAQ. Accordingly, we will not be required to have a majority of “independent directors” on our Board nor will we be required to have a compensation committee and a corporate governance and nominating committee composed entirely of “independent directors” as defined under the rules of NASDAQ. Further, our director nominees will not be required to be selected or recommended to the Board by a majority of the “independent directors” as defined under the rules of NASDAQ and compensation for our executives will not be determined by a majority of “independent directors” as defined under the rules of NASDAQ. The “controlled company” exemption does not modify the independence requirements for the audit committee, and we intend to comply with the requirements of Sarbanes-Oxley and NASDAQ, which require that our audit committee be composed of at least three members, one of whom will be independent upon the listing of our common stock, a majority of whom will be independent within 90 days of listing and each of whom will be independent within one year of listing.</w:t>
      </w:r>
    </w:p>
    <w:p>
      <w:pPr>
        <w:spacing w:after="0" w:line="143"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After the consummation of this offering, we intend to avail ourselves of certain of these exemptions. In particular, immediately following this offering we will not have a nominating and corporate governance committee. Therefore, for as long as we remain a “controlled company” you will not have the same protections afforded to shareholders of companies that are subject to all of these corporate governance requirements. If at any time we cease to be a “controlled company” under the rules of NASDAQ, our Board will take all action necessary to comply with the NASDAQ corporate governance rules, including establishing certain committees composed entirely of independent directors, subject to a permitted “phase-in” period.</w:t>
      </w:r>
    </w:p>
    <w:p>
      <w:pPr>
        <w:spacing w:after="0" w:line="14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Our Board has affirmatively determined that Brian T. Carley, Robert O. Kraft, Dr. Supraj R. Rajagopalan, Alexander F.S. Leslie and Matthew R. Norton are independent directors under the applicable rules of NASDAQ.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2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Upon the consummation of this offering, and prior to the listing of our common stock on NASDAQ, we will establish an audit committee and a compensation committee. Each committee will operate under a charter that will be approved by our Board. Each committee will have the composition and responsibilities described below. Members serve on these committees until their resignations or until otherwise determined by our Board. The charter and composition of each committee will be effective upon the consummation of this offering. The charter of each committee will be available on our website.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primary purposes of our audit committee will be to assist the Board’s oversight of:</w:t>
      </w:r>
    </w:p>
    <w:p>
      <w:pPr>
        <w:spacing w:after="0" w:line="108" w:lineRule="exact"/>
        <w:rPr>
          <w:sz w:val="20"/>
          <w:szCs w:val="20"/>
          <w:color w:val="auto"/>
        </w:rPr>
      </w:pPr>
    </w:p>
    <w:p>
      <w:pPr>
        <w:ind w:left="800" w:hanging="455"/>
        <w:spacing w:after="0"/>
        <w:tabs>
          <w:tab w:leader="none" w:pos="80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the integrity of our corporate accounting and financial reporting processes and financial information;</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our systems of internal control over financial reporting and disclosure controls and procedures;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our process related to risk management;</w:t>
      </w:r>
    </w:p>
    <w:p>
      <w:pPr>
        <w:spacing w:after="0" w:line="23" w:lineRule="exact"/>
        <w:rPr>
          <w:rFonts w:ascii="Arial" w:cs="Arial" w:eastAsia="Arial" w:hAnsi="Arial"/>
          <w:sz w:val="23"/>
          <w:szCs w:val="23"/>
          <w:color w:val="auto"/>
          <w:vertAlign w:val="superscript"/>
        </w:rPr>
      </w:pPr>
    </w:p>
    <w:p>
      <w:pPr>
        <w:ind w:left="800" w:right="780" w:hanging="455"/>
        <w:spacing w:after="0" w:line="195" w:lineRule="auto"/>
        <w:tabs>
          <w:tab w:leader="none" w:pos="80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procedures for receipt, retention and treatment of complaints and the confidential anonymous submission by our employees regarding accounting or auditing matters;</w:t>
      </w:r>
    </w:p>
    <w:p>
      <w:pPr>
        <w:ind w:left="800" w:hanging="455"/>
        <w:spacing w:after="0" w:line="193" w:lineRule="auto"/>
        <w:tabs>
          <w:tab w:leader="none" w:pos="80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the qualifications, engagement, compensation, independence and performance of our independent registered public accounting firm;</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our independent registered public accounting firm’s annual audit of our financial statements and any engagement to provide other services;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380"/>
          </w:cols>
          <w:pgMar w:left="240" w:top="449" w:right="27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38" w:lineRule="exact"/>
        <w:rPr>
          <w:sz w:val="20"/>
          <w:szCs w:val="20"/>
          <w:color w:val="auto"/>
        </w:rPr>
      </w:pPr>
    </w:p>
    <w:p>
      <w:pPr>
        <w:ind w:left="800" w:hanging="455"/>
        <w:spacing w:after="0"/>
        <w:tabs>
          <w:tab w:leader="none" w:pos="80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our legal and regulatory compliance;</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our related person transaction policy;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the application of our codes of business conduct and ethics as established by management and the Board.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Upon the consummation of this offering, and prior to the listing of our common stock, our audit committee will be composed of Robert O. Kraft, Alexander F.</w:t>
      </w:r>
    </w:p>
    <w:p>
      <w:pPr>
        <w:spacing w:after="0"/>
        <w:rPr>
          <w:sz w:val="20"/>
          <w:szCs w:val="20"/>
          <w:color w:val="auto"/>
        </w:rPr>
      </w:pPr>
      <w:r>
        <w:rPr>
          <w:rFonts w:ascii="Arial" w:cs="Arial" w:eastAsia="Arial" w:hAnsi="Arial"/>
          <w:sz w:val="17"/>
          <w:szCs w:val="17"/>
          <w:color w:val="auto"/>
        </w:rPr>
        <w:t>S. Leslie and Brian T. Carley. Brian T. Carley will serve as chair of the audit committee.</w:t>
      </w:r>
    </w:p>
    <w:p>
      <w:pPr>
        <w:spacing w:after="0" w:line="14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Brian T. Carley qualifies as an “audit committee financial expert” as such term has been defined by the SEC in Item 407(d)(5) of Regulation S-K. Our Board has affirmatively determined that Robert O. Kraft and Brian T. Carley meet the definition of an “independent director” for the purposes of serving on the audit committee under applicable NASDAQ rules and Rule 10A-3 under the Exchange Act. We intend to comply with these independence requirements for all members of the audit committee within one year of the date of the listing of our common stock. The audit committee will be governed by a charter that complies with the rules of NASDAQ.</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34"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The primary purposes of our compensation committee will be to assist the Board in overseeing our management compensation policies and practices, including:</w:t>
      </w:r>
    </w:p>
    <w:p>
      <w:pPr>
        <w:spacing w:after="0" w:line="104" w:lineRule="exact"/>
        <w:rPr>
          <w:sz w:val="20"/>
          <w:szCs w:val="20"/>
          <w:color w:val="auto"/>
        </w:rPr>
      </w:pPr>
    </w:p>
    <w:p>
      <w:pPr>
        <w:ind w:left="800" w:hanging="455"/>
        <w:spacing w:after="0"/>
        <w:tabs>
          <w:tab w:leader="none" w:pos="80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determining and approving the compensation of our Chief Executive Officer and our executive officers;</w:t>
      </w:r>
    </w:p>
    <w:p>
      <w:pPr>
        <w:spacing w:after="0" w:line="22" w:lineRule="exact"/>
        <w:rPr>
          <w:rFonts w:ascii="Arial" w:cs="Arial" w:eastAsia="Arial" w:hAnsi="Arial"/>
          <w:sz w:val="24"/>
          <w:szCs w:val="24"/>
          <w:color w:val="auto"/>
          <w:vertAlign w:val="superscript"/>
        </w:rPr>
      </w:pPr>
    </w:p>
    <w:p>
      <w:pPr>
        <w:ind w:left="800" w:right="280" w:hanging="455"/>
        <w:spacing w:after="0" w:line="195" w:lineRule="auto"/>
        <w:tabs>
          <w:tab w:leader="none" w:pos="80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assessing our performance management process and updates to our succession plan for our Chief Executive Officer and other key executive positions;</w:t>
      </w:r>
    </w:p>
    <w:p>
      <w:pPr>
        <w:spacing w:after="0" w:line="22" w:lineRule="exact"/>
        <w:rPr>
          <w:rFonts w:ascii="Arial" w:cs="Arial" w:eastAsia="Arial" w:hAnsi="Arial"/>
          <w:sz w:val="24"/>
          <w:szCs w:val="24"/>
          <w:color w:val="auto"/>
          <w:vertAlign w:val="superscript"/>
        </w:rPr>
      </w:pPr>
    </w:p>
    <w:p>
      <w:pPr>
        <w:ind w:left="800" w:right="380" w:hanging="455"/>
        <w:spacing w:after="0" w:line="195" w:lineRule="auto"/>
        <w:tabs>
          <w:tab w:leader="none" w:pos="80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reviewing and approving incentive compensation policies and programs, and exercising discretion in the administration of those policies and programs;</w:t>
      </w:r>
    </w:p>
    <w:p>
      <w:pPr>
        <w:spacing w:after="0" w:line="22" w:lineRule="exact"/>
        <w:rPr>
          <w:rFonts w:ascii="Arial" w:cs="Arial" w:eastAsia="Arial" w:hAnsi="Arial"/>
          <w:sz w:val="24"/>
          <w:szCs w:val="24"/>
          <w:color w:val="auto"/>
          <w:vertAlign w:val="superscript"/>
        </w:rPr>
      </w:pPr>
    </w:p>
    <w:p>
      <w:pPr>
        <w:ind w:left="800" w:right="640" w:hanging="455"/>
        <w:spacing w:after="0" w:line="205" w:lineRule="auto"/>
        <w:tabs>
          <w:tab w:leader="none" w:pos="8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reviewing and approving equity and non-equity compensation, welfare, benefit and pension programs, other plans and policies related to compensation for our employees, directors and consultants and exercising discretion in the administration of those programs; and</w:t>
      </w:r>
    </w:p>
    <w:p>
      <w:pPr>
        <w:ind w:left="800" w:hanging="455"/>
        <w:spacing w:after="0" w:line="193" w:lineRule="auto"/>
        <w:tabs>
          <w:tab w:leader="none" w:pos="80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preparing the annual report of the compensation committee required by the rules of the SEC to be included in our annual report.</w:t>
      </w:r>
    </w:p>
    <w:p>
      <w:pPr>
        <w:spacing w:after="0" w:line="14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Upon the consummation of this offering, and prior to the listing of our common stock, our compensation committee will be composed of Dr. Supraj R. Rajagopalan, Alexander F.S. Leslie and Robert O. Kraft. Dr. Supraj R. Rajagopalan will serve as chair of the compensation committee. Prior to the consummation of this offering, we did not have a compensation committee. The compensation committee will be governed by a charter that complies with the rules of NASDAQ.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123" w:lineRule="exact"/>
        <w:rPr>
          <w:sz w:val="20"/>
          <w:szCs w:val="20"/>
          <w:color w:val="auto"/>
        </w:rPr>
      </w:pPr>
    </w:p>
    <w:p>
      <w:pPr>
        <w:jc w:val="both"/>
        <w:ind w:right="220"/>
        <w:spacing w:after="0" w:line="231" w:lineRule="auto"/>
        <w:rPr>
          <w:sz w:val="20"/>
          <w:szCs w:val="20"/>
          <w:color w:val="auto"/>
        </w:rPr>
      </w:pPr>
      <w:r>
        <w:rPr>
          <w:rFonts w:ascii="Arial" w:cs="Arial" w:eastAsia="Arial" w:hAnsi="Arial"/>
          <w:sz w:val="17"/>
          <w:szCs w:val="17"/>
          <w:color w:val="auto"/>
        </w:rPr>
        <w:t>Our Board is responsible for overseeing our risk management process. Our Board focuses on our general risk management strategy, the most significant risks facing us, and oversees the implementation of risk mitigation strategies by management. Our Board is also apprised of particular risk management matters in connection with its general oversight and approval of corporate matters and significant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Considerations in our Compensation Program</w:t>
      </w:r>
    </w:p>
    <w:p>
      <w:pPr>
        <w:spacing w:after="0" w:line="123" w:lineRule="exact"/>
        <w:rPr>
          <w:sz w:val="20"/>
          <w:szCs w:val="20"/>
          <w:color w:val="auto"/>
        </w:rPr>
      </w:pPr>
    </w:p>
    <w:p>
      <w:pPr>
        <w:ind w:right="560"/>
        <w:spacing w:after="0" w:line="235" w:lineRule="auto"/>
        <w:rPr>
          <w:sz w:val="20"/>
          <w:szCs w:val="20"/>
          <w:color w:val="auto"/>
        </w:rPr>
      </w:pPr>
      <w:r>
        <w:rPr>
          <w:rFonts w:ascii="Arial" w:cs="Arial" w:eastAsia="Arial" w:hAnsi="Arial"/>
          <w:sz w:val="17"/>
          <w:szCs w:val="17"/>
          <w:color w:val="auto"/>
        </w:rPr>
        <w:t>We conducted an assessment of our compensation policies and practices for our employees and concluded that these policies and practices are not reasonably likely to have a material adverse effect on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Prior to the completion of this offering, we will update our written code of ethical business conduct that applies to our directors, officers and employees, including our principal executive officer, principal financial officer, principal accounting officer or controller, and persons performing similar functions. A copy of the code will be posted on our corporate website, which will be located at www.medpace.com. Any amendments to or waivers from our code of ethical business conduct will be disclosed on our Internet website promptly following the date of such amendment or waiver. Our Internet website and the information contained therein or connected thereto shall not be deemed to be incorporated into this prospectus or the registration statement of which it forms a part.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20"/>
          </w:cols>
          <w:pgMar w:left="240" w:top="449"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Committee and Charter</w:t>
      </w:r>
    </w:p>
    <w:p>
      <w:pPr>
        <w:spacing w:after="0" w:line="123"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We do not currently have a disclosure committee and disclosure committee charter. We plan to establish a disclosure committee following this offering and it will operate under a charter. The purpose of the disclosure committee will be to provide assistance to the principal executive officer and the principal financial officer in fulfilling their responsibilities regarding the identification and disclosure of material information about us and the accuracy, completeness and timeliness of our financial reports.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3" w:lineRule="exact"/>
        <w:rPr>
          <w:sz w:val="20"/>
          <w:szCs w:val="20"/>
          <w:color w:val="auto"/>
        </w:rPr>
      </w:pPr>
    </w:p>
    <w:p>
      <w:pPr>
        <w:ind w:right="700"/>
        <w:spacing w:after="0" w:line="235" w:lineRule="auto"/>
        <w:rPr>
          <w:sz w:val="20"/>
          <w:szCs w:val="20"/>
          <w:color w:val="auto"/>
        </w:rPr>
      </w:pPr>
      <w:r>
        <w:rPr>
          <w:rFonts w:ascii="Arial" w:cs="Arial" w:eastAsia="Arial" w:hAnsi="Arial"/>
          <w:sz w:val="17"/>
          <w:szCs w:val="17"/>
          <w:color w:val="auto"/>
        </w:rPr>
        <w:t>No interlocking relationships exist between the members of our Board or our compensation committee and the board of directors or compensation committee of any other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of our Board of Directors</w:t>
      </w:r>
    </w:p>
    <w:p>
      <w:pPr>
        <w:spacing w:after="0" w:line="123" w:lineRule="exact"/>
        <w:rPr>
          <w:sz w:val="20"/>
          <w:szCs w:val="20"/>
          <w:color w:val="auto"/>
        </w:rPr>
      </w:pPr>
    </w:p>
    <w:p>
      <w:pPr>
        <w:ind w:right="180"/>
        <w:spacing w:after="0" w:line="231" w:lineRule="auto"/>
        <w:rPr>
          <w:sz w:val="20"/>
          <w:szCs w:val="20"/>
          <w:color w:val="auto"/>
        </w:rPr>
      </w:pPr>
      <w:r>
        <w:rPr>
          <w:rFonts w:ascii="Arial" w:cs="Arial" w:eastAsia="Arial" w:hAnsi="Arial"/>
          <w:sz w:val="17"/>
          <w:szCs w:val="17"/>
          <w:color w:val="auto"/>
        </w:rPr>
        <w:t>Our amended and restated bylaws provide our Board with flexibility to combine or separate the positions of Chairman of the Board and Chief Executive Officer in accordance with its determination that utilizing one or the other structure would be in the best interests of our company. Upon completion of this offering, Dr. Troendle will serve as Chairman of the Board, 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provides that we will indemnify our directors and officers to the fullest extent permitted by the DGCL.</w:t>
      </w:r>
    </w:p>
    <w:p>
      <w:pPr>
        <w:spacing w:after="0" w:line="15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Our amended and restated certificate of incorporation provides that our directors will not be liable for monetary damages for breach of fiduciary duty, except for liability relating to any breach of the director’s duty of loyalty, acts or omissions not in good faith or which involve intentional misconduct or a knowing violation of law, violations under Section 174 of the DGCL or any transaction from which the director derived an improper personal benefit.</w:t>
      </w:r>
    </w:p>
    <w:p>
      <w:pPr>
        <w:spacing w:after="0" w:line="143"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We intend to enter into new indemnification agreements with each of our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as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have customary directors’ and officers’ indemnity insurance in place for our directors and executive officers.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380"/>
          </w:cols>
          <w:pgMar w:left="240" w:top="449" w:right="2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AND DIRECTOR COMPENSATION</w:t>
      </w:r>
    </w:p>
    <w:p>
      <w:pPr>
        <w:spacing w:after="0" w:line="332"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“2015 Summary Compensation Table” below. In 2015, our “named executive officers”, or NEOs, and their positions were as follows:</w:t>
      </w:r>
    </w:p>
    <w:p>
      <w:pPr>
        <w:spacing w:after="0" w:line="104" w:lineRule="exact"/>
        <w:rPr>
          <w:sz w:val="20"/>
          <w:szCs w:val="20"/>
          <w:color w:val="auto"/>
        </w:rPr>
      </w:pPr>
    </w:p>
    <w:p>
      <w:pPr>
        <w:ind w:left="800" w:hanging="455"/>
        <w:spacing w:after="0"/>
        <w:tabs>
          <w:tab w:leader="none" w:pos="80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Dr. August J. Troendle, President and Chief Executive Officer;</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Mr. Jesse J. Geiger, Chief Financial Officer and Chief Operating Officer, Laboratory Operations;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Ms. Susan E. Burwig, Senior Vice President, Operations;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Mr. Kurt A. Brykman, Former Chief Operating Officer, CRO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Mr. Brykman’s employment ended on July 14, 2015.</w:t>
      </w:r>
    </w:p>
    <w:p>
      <w:pPr>
        <w:spacing w:after="0" w:line="145"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summary compensation information for our NEOs for the fiscal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860" w:type="dxa"/>
            <w:vAlign w:val="bottom"/>
            <w:gridSpan w:val="3"/>
          </w:tcPr>
          <w:p>
            <w:pPr>
              <w:ind w:left="20"/>
              <w:spacing w:after="0" w:line="163" w:lineRule="exact"/>
              <w:rPr>
                <w:sz w:val="20"/>
                <w:szCs w:val="20"/>
                <w:color w:val="auto"/>
              </w:rPr>
            </w:pPr>
            <w:r>
              <w:rPr>
                <w:rFonts w:ascii="Arial" w:cs="Arial" w:eastAsia="Arial" w:hAnsi="Arial"/>
                <w:sz w:val="11"/>
                <w:szCs w:val="11"/>
                <w:b w:val="1"/>
                <w:bCs w:val="1"/>
                <w:color w:val="auto"/>
              </w:rPr>
              <w:t xml:space="preserve">BONUS </w:t>
            </w:r>
            <w:r>
              <w:rPr>
                <w:rFonts w:ascii="Arial" w:cs="Arial" w:eastAsia="Arial" w:hAnsi="Arial"/>
                <w:sz w:val="18"/>
                <w:szCs w:val="18"/>
                <w:b w:val="1"/>
                <w:bCs w:val="1"/>
                <w:color w:val="auto"/>
                <w:vertAlign w:val="superscript"/>
              </w:rPr>
              <w:t>(2)</w:t>
            </w:r>
          </w:p>
        </w:tc>
        <w:tc>
          <w:tcPr>
            <w:tcW w:w="140" w:type="dxa"/>
            <w:vAlign w:val="bottom"/>
          </w:tcPr>
          <w:p>
            <w:pPr>
              <w:spacing w:after="0"/>
              <w:rPr>
                <w:sz w:val="14"/>
                <w:szCs w:val="14"/>
                <w:color w:val="auto"/>
              </w:rPr>
            </w:pPr>
          </w:p>
        </w:tc>
        <w:tc>
          <w:tcPr>
            <w:tcW w:w="1160" w:type="dxa"/>
            <w:vAlign w:val="bottom"/>
            <w:gridSpan w:val="3"/>
          </w:tcPr>
          <w:p>
            <w:pPr>
              <w:jc w:val="center"/>
              <w:ind w:right="300"/>
              <w:spacing w:after="0" w:line="163" w:lineRule="exact"/>
              <w:rPr>
                <w:sz w:val="20"/>
                <w:szCs w:val="20"/>
                <w:color w:val="auto"/>
              </w:rPr>
            </w:pPr>
            <w:r>
              <w:rPr>
                <w:rFonts w:ascii="Arial" w:cs="Arial" w:eastAsia="Arial" w:hAnsi="Arial"/>
                <w:sz w:val="11"/>
                <w:szCs w:val="11"/>
                <w:b w:val="1"/>
                <w:bCs w:val="1"/>
                <w:color w:val="auto"/>
              </w:rPr>
              <w:t xml:space="preserve">AWARDS </w:t>
            </w:r>
            <w:r>
              <w:rPr>
                <w:rFonts w:ascii="Arial" w:cs="Arial" w:eastAsia="Arial" w:hAnsi="Arial"/>
                <w:sz w:val="18"/>
                <w:szCs w:val="18"/>
                <w:b w:val="1"/>
                <w:bCs w:val="1"/>
                <w:color w:val="auto"/>
                <w:vertAlign w:val="superscript"/>
              </w:rPr>
              <w:t>(3)</w:t>
            </w:r>
          </w:p>
        </w:tc>
        <w:tc>
          <w:tcPr>
            <w:tcW w:w="1100" w:type="dxa"/>
            <w:vAlign w:val="bottom"/>
            <w:gridSpan w:val="3"/>
          </w:tcPr>
          <w:p>
            <w:pPr>
              <w:jc w:val="center"/>
              <w:ind w:right="300"/>
              <w:spacing w:after="0" w:line="163" w:lineRule="exact"/>
              <w:rPr>
                <w:sz w:val="20"/>
                <w:szCs w:val="20"/>
                <w:color w:val="auto"/>
              </w:rPr>
            </w:pPr>
            <w:r>
              <w:rPr>
                <w:rFonts w:ascii="Arial" w:cs="Arial" w:eastAsia="Arial" w:hAnsi="Arial"/>
                <w:sz w:val="11"/>
                <w:szCs w:val="11"/>
                <w:b w:val="1"/>
                <w:bCs w:val="1"/>
                <w:color w:val="auto"/>
              </w:rPr>
              <w:t xml:space="preserve">AWARDS </w:t>
            </w:r>
            <w:r>
              <w:rPr>
                <w:rFonts w:ascii="Arial" w:cs="Arial" w:eastAsia="Arial" w:hAnsi="Arial"/>
                <w:sz w:val="18"/>
                <w:szCs w:val="18"/>
                <w:b w:val="1"/>
                <w:bCs w:val="1"/>
                <w:color w:val="auto"/>
                <w:vertAlign w:val="superscript"/>
              </w:rPr>
              <w:t>(4)</w:t>
            </w:r>
          </w:p>
        </w:tc>
        <w:tc>
          <w:tcPr>
            <w:tcW w:w="1600" w:type="dxa"/>
            <w:vAlign w:val="bottom"/>
            <w:gridSpan w:val="3"/>
          </w:tcPr>
          <w:p>
            <w:pPr>
              <w:spacing w:after="0" w:line="163" w:lineRule="exact"/>
              <w:rPr>
                <w:sz w:val="20"/>
                <w:szCs w:val="20"/>
                <w:color w:val="auto"/>
              </w:rPr>
            </w:pPr>
            <w:r>
              <w:rPr>
                <w:rFonts w:ascii="Arial" w:cs="Arial" w:eastAsia="Arial" w:hAnsi="Arial"/>
                <w:sz w:val="11"/>
                <w:szCs w:val="11"/>
                <w:b w:val="1"/>
                <w:bCs w:val="1"/>
                <w:color w:val="auto"/>
              </w:rPr>
              <w:t xml:space="preserve">COMPENSATION </w:t>
            </w:r>
            <w:r>
              <w:rPr>
                <w:rFonts w:ascii="Arial" w:cs="Arial" w:eastAsia="Arial" w:hAnsi="Arial"/>
                <w:sz w:val="18"/>
                <w:szCs w:val="18"/>
                <w:b w:val="1"/>
                <w:bCs w:val="1"/>
                <w:color w:val="auto"/>
                <w:vertAlign w:val="superscript"/>
              </w:rPr>
              <w:t>(5)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gridSpan w:val="3"/>
            <w:vMerge w:val="continue"/>
          </w:tcPr>
          <w:p>
            <w:pPr>
              <w:spacing w:after="0"/>
              <w:rPr>
                <w:sz w:val="15"/>
                <w:szCs w:val="15"/>
                <w:color w:val="auto"/>
              </w:rPr>
            </w:pPr>
          </w:p>
        </w:tc>
        <w:tc>
          <w:tcPr>
            <w:tcW w:w="70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8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3"/>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83"/>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2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5"/>
                <w:szCs w:val="15"/>
                <w:color w:val="auto"/>
              </w:rPr>
              <w:t>August J. Troendle</w:t>
            </w:r>
          </w:p>
        </w:tc>
        <w:tc>
          <w:tcPr>
            <w:tcW w:w="2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5"/>
                <w:szCs w:val="15"/>
                <w:color w:val="auto"/>
              </w:rPr>
              <w:t>$270,417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rPr>
              <w:t>7,432,800</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rPr>
              <w:t>113,537</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5"/>
                <w:szCs w:val="15"/>
                <w:color w:val="auto"/>
              </w:rPr>
              <w:t>7,816,754</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gridSpan w:val="2"/>
          </w:tcPr>
          <w:p>
            <w:pPr>
              <w:spacing w:after="0" w:line="159" w:lineRule="exact"/>
              <w:rPr>
                <w:sz w:val="20"/>
                <w:szCs w:val="20"/>
                <w:color w:val="auto"/>
              </w:rPr>
            </w:pPr>
            <w:r>
              <w:rPr>
                <w:rFonts w:ascii="Arial" w:cs="Arial" w:eastAsia="Arial" w:hAnsi="Arial"/>
                <w:sz w:val="17"/>
                <w:szCs w:val="17"/>
                <w:color w:val="auto"/>
              </w:rPr>
              <w:t>Jesse J. Geiger</w:t>
            </w:r>
          </w:p>
        </w:tc>
        <w:tc>
          <w:tcPr>
            <w:tcW w:w="200" w:type="dxa"/>
            <w:vAlign w:val="bottom"/>
          </w:tcPr>
          <w:p>
            <w:pPr>
              <w:spacing w:after="0"/>
              <w:rPr>
                <w:sz w:val="13"/>
                <w:szCs w:val="13"/>
                <w:color w:val="auto"/>
              </w:rPr>
            </w:pPr>
          </w:p>
        </w:tc>
        <w:tc>
          <w:tcPr>
            <w:tcW w:w="860" w:type="dxa"/>
            <w:vAlign w:val="bottom"/>
            <w:gridSpan w:val="2"/>
          </w:tcPr>
          <w:p>
            <w:pPr>
              <w:spacing w:after="0" w:line="159" w:lineRule="exact"/>
              <w:rPr>
                <w:sz w:val="20"/>
                <w:szCs w:val="20"/>
                <w:color w:val="auto"/>
              </w:rPr>
            </w:pPr>
            <w:r>
              <w:rPr>
                <w:rFonts w:ascii="Arial" w:cs="Arial" w:eastAsia="Arial" w:hAnsi="Arial"/>
                <w:sz w:val="17"/>
                <w:szCs w:val="17"/>
                <w:color w:val="auto"/>
              </w:rPr>
              <w:t>$300,000</w:t>
            </w:r>
          </w:p>
        </w:tc>
        <w:tc>
          <w:tcPr>
            <w:tcW w:w="280" w:type="dxa"/>
            <w:vAlign w:val="bottom"/>
            <w:gridSpan w:val="2"/>
          </w:tcPr>
          <w:p>
            <w:pPr>
              <w:ind w:left="140"/>
              <w:spacing w:after="0" w:line="159"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7"/>
                <w:szCs w:val="17"/>
                <w:color w:val="auto"/>
              </w:rPr>
              <w:t>71,750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00"/>
              <w:spacing w:after="0" w:line="15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line="159"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159"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300"/>
              <w:spacing w:after="0" w:line="159" w:lineRule="exact"/>
              <w:rPr>
                <w:sz w:val="20"/>
                <w:szCs w:val="20"/>
                <w:color w:val="auto"/>
              </w:rPr>
            </w:pPr>
            <w:r>
              <w:rPr>
                <w:rFonts w:ascii="Arial" w:cs="Arial" w:eastAsia="Arial" w:hAnsi="Arial"/>
                <w:sz w:val="17"/>
                <w:szCs w:val="17"/>
                <w:color w:val="auto"/>
              </w:rPr>
              <w:t>9,000</w:t>
            </w:r>
          </w:p>
        </w:tc>
        <w:tc>
          <w:tcPr>
            <w:tcW w:w="120" w:type="dxa"/>
            <w:vAlign w:val="bottom"/>
          </w:tcPr>
          <w:p>
            <w:pPr>
              <w:jc w:val="right"/>
              <w:spacing w:after="0" w:line="15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rPr>
              <w:t>380,750</w:t>
            </w:r>
          </w:p>
        </w:tc>
        <w:tc>
          <w:tcPr>
            <w:tcW w:w="0" w:type="dxa"/>
            <w:vAlign w:val="bottom"/>
          </w:tcPr>
          <w:p>
            <w:pPr>
              <w:spacing w:after="0"/>
              <w:rPr>
                <w:sz w:val="1"/>
                <w:szCs w:val="1"/>
                <w:color w:val="auto"/>
              </w:rPr>
            </w:pPr>
          </w:p>
        </w:tc>
      </w:tr>
      <w:tr>
        <w:trPr>
          <w:trHeight w:val="183"/>
        </w:trPr>
        <w:tc>
          <w:tcPr>
            <w:tcW w:w="4600" w:type="dxa"/>
            <w:vAlign w:val="bottom"/>
            <w:gridSpan w:val="3"/>
          </w:tcPr>
          <w:p>
            <w:pPr>
              <w:ind w:left="180"/>
              <w:spacing w:after="0" w:line="184" w:lineRule="exact"/>
              <w:rPr>
                <w:sz w:val="20"/>
                <w:szCs w:val="20"/>
                <w:color w:val="auto"/>
              </w:rPr>
            </w:pPr>
            <w:r>
              <w:rPr>
                <w:rFonts w:ascii="Arial" w:cs="Arial" w:eastAsia="Arial" w:hAnsi="Arial"/>
                <w:sz w:val="17"/>
                <w:szCs w:val="17"/>
                <w:i w:val="1"/>
                <w:iCs w:val="1"/>
                <w:color w:val="auto"/>
              </w:rPr>
              <w:t>Chief Financial Officer and Chief Operating Officer,</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00" w:type="dxa"/>
            <w:vAlign w:val="bottom"/>
            <w:gridSpan w:val="3"/>
          </w:tcPr>
          <w:p>
            <w:pPr>
              <w:ind w:left="240"/>
              <w:spacing w:after="0"/>
              <w:rPr>
                <w:sz w:val="20"/>
                <w:szCs w:val="20"/>
                <w:color w:val="auto"/>
              </w:rPr>
            </w:pPr>
            <w:r>
              <w:rPr>
                <w:rFonts w:ascii="Arial" w:cs="Arial" w:eastAsia="Arial" w:hAnsi="Arial"/>
                <w:sz w:val="17"/>
                <w:szCs w:val="17"/>
                <w:i w:val="1"/>
                <w:iCs w:val="1"/>
                <w:color w:val="auto"/>
              </w:rPr>
              <w:t>Laboratory Operations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gridSpan w:val="2"/>
            <w:shd w:val="clear" w:color="auto" w:fill="CCEEFF"/>
          </w:tcPr>
          <w:p>
            <w:pPr>
              <w:spacing w:after="0" w:line="159" w:lineRule="exact"/>
              <w:rPr>
                <w:sz w:val="20"/>
                <w:szCs w:val="20"/>
                <w:color w:val="auto"/>
              </w:rPr>
            </w:pPr>
            <w:r>
              <w:rPr>
                <w:rFonts w:ascii="Arial" w:cs="Arial" w:eastAsia="Arial" w:hAnsi="Arial"/>
                <w:sz w:val="17"/>
                <w:szCs w:val="17"/>
                <w:color w:val="auto"/>
              </w:rPr>
              <w:t>Susan E. Burwig</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spacing w:after="0" w:line="159" w:lineRule="exact"/>
              <w:rPr>
                <w:sz w:val="20"/>
                <w:szCs w:val="20"/>
                <w:color w:val="auto"/>
              </w:rPr>
            </w:pPr>
            <w:r>
              <w:rPr>
                <w:rFonts w:ascii="Arial" w:cs="Arial" w:eastAsia="Arial" w:hAnsi="Arial"/>
                <w:sz w:val="17"/>
                <w:szCs w:val="17"/>
                <w:color w:val="auto"/>
              </w:rPr>
              <w:t>$350,432</w:t>
            </w:r>
          </w:p>
        </w:tc>
        <w:tc>
          <w:tcPr>
            <w:tcW w:w="2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7"/>
                <w:szCs w:val="17"/>
                <w:color w:val="auto"/>
              </w:rPr>
              <w:t>62,900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7"/>
                <w:szCs w:val="17"/>
                <w:color w:val="auto"/>
              </w:rPr>
              <w:t>20,600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7"/>
                <w:szCs w:val="17"/>
                <w:color w:val="auto"/>
              </w:rPr>
              <w:t>433,932</w:t>
            </w:r>
          </w:p>
        </w:tc>
        <w:tc>
          <w:tcPr>
            <w:tcW w:w="0" w:type="dxa"/>
            <w:vAlign w:val="bottom"/>
          </w:tcPr>
          <w:p>
            <w:pPr>
              <w:spacing w:after="0"/>
              <w:rPr>
                <w:sz w:val="1"/>
                <w:szCs w:val="1"/>
                <w:color w:val="auto"/>
              </w:rPr>
            </w:pPr>
          </w:p>
        </w:tc>
      </w:tr>
      <w:tr>
        <w:trPr>
          <w:trHeight w:val="207"/>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Senior Vice President, Operations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gridSpan w:val="2"/>
          </w:tcPr>
          <w:p>
            <w:pPr>
              <w:spacing w:after="0" w:line="159" w:lineRule="exact"/>
              <w:rPr>
                <w:sz w:val="20"/>
                <w:szCs w:val="20"/>
                <w:color w:val="auto"/>
              </w:rPr>
            </w:pPr>
            <w:r>
              <w:rPr>
                <w:rFonts w:ascii="Arial" w:cs="Arial" w:eastAsia="Arial" w:hAnsi="Arial"/>
                <w:sz w:val="17"/>
                <w:szCs w:val="17"/>
                <w:color w:val="auto"/>
              </w:rPr>
              <w:t>Kurt A. Brykman</w:t>
            </w:r>
          </w:p>
        </w:tc>
        <w:tc>
          <w:tcPr>
            <w:tcW w:w="200" w:type="dxa"/>
            <w:vAlign w:val="bottom"/>
          </w:tcPr>
          <w:p>
            <w:pPr>
              <w:spacing w:after="0"/>
              <w:rPr>
                <w:sz w:val="13"/>
                <w:szCs w:val="13"/>
                <w:color w:val="auto"/>
              </w:rPr>
            </w:pPr>
          </w:p>
        </w:tc>
        <w:tc>
          <w:tcPr>
            <w:tcW w:w="860" w:type="dxa"/>
            <w:vAlign w:val="bottom"/>
            <w:gridSpan w:val="2"/>
          </w:tcPr>
          <w:p>
            <w:pPr>
              <w:spacing w:after="0" w:line="159" w:lineRule="exact"/>
              <w:rPr>
                <w:sz w:val="20"/>
                <w:szCs w:val="20"/>
                <w:color w:val="auto"/>
              </w:rPr>
            </w:pPr>
            <w:r>
              <w:rPr>
                <w:rFonts w:ascii="Arial" w:cs="Arial" w:eastAsia="Arial" w:hAnsi="Arial"/>
                <w:sz w:val="17"/>
                <w:szCs w:val="17"/>
                <w:color w:val="auto"/>
              </w:rPr>
              <w:t>$225,217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5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00"/>
              <w:spacing w:after="0" w:line="159" w:lineRule="exact"/>
              <w:rPr>
                <w:sz w:val="20"/>
                <w:szCs w:val="20"/>
                <w:color w:val="auto"/>
              </w:rPr>
            </w:pPr>
            <w:r>
              <w:rPr>
                <w:rFonts w:ascii="Arial" w:cs="Arial" w:eastAsia="Arial" w:hAnsi="Arial"/>
                <w:sz w:val="17"/>
                <w:szCs w:val="17"/>
                <w:color w:val="auto"/>
              </w:rPr>
              <w:t>336,400</w:t>
            </w:r>
          </w:p>
        </w:tc>
        <w:tc>
          <w:tcPr>
            <w:tcW w:w="100" w:type="dxa"/>
            <w:vAlign w:val="bottom"/>
          </w:tcPr>
          <w:p>
            <w:pPr>
              <w:jc w:val="right"/>
              <w:spacing w:after="0" w:line="159"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line="159" w:lineRule="exact"/>
              <w:rPr>
                <w:sz w:val="20"/>
                <w:szCs w:val="20"/>
                <w:color w:val="auto"/>
              </w:rPr>
            </w:pPr>
            <w:r>
              <w:rPr>
                <w:rFonts w:ascii="Arial" w:cs="Arial" w:eastAsia="Arial" w:hAnsi="Arial"/>
                <w:sz w:val="17"/>
                <w:szCs w:val="17"/>
                <w:color w:val="auto"/>
              </w:rPr>
              <w:t>239,000</w:t>
            </w:r>
          </w:p>
        </w:tc>
        <w:tc>
          <w:tcPr>
            <w:tcW w:w="180" w:type="dxa"/>
            <w:vAlign w:val="bottom"/>
          </w:tcPr>
          <w:p>
            <w:pPr>
              <w:spacing w:after="0" w:line="159"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300"/>
              <w:spacing w:after="0" w:line="159" w:lineRule="exact"/>
              <w:rPr>
                <w:sz w:val="20"/>
                <w:szCs w:val="20"/>
                <w:color w:val="auto"/>
              </w:rPr>
            </w:pPr>
            <w:r>
              <w:rPr>
                <w:rFonts w:ascii="Arial" w:cs="Arial" w:eastAsia="Arial" w:hAnsi="Arial"/>
                <w:sz w:val="17"/>
                <w:szCs w:val="17"/>
                <w:color w:val="auto"/>
              </w:rPr>
              <w:t>525,508</w:t>
            </w:r>
          </w:p>
        </w:tc>
        <w:tc>
          <w:tcPr>
            <w:tcW w:w="120" w:type="dxa"/>
            <w:vAlign w:val="bottom"/>
          </w:tcPr>
          <w:p>
            <w:pPr>
              <w:jc w:val="right"/>
              <w:spacing w:after="0" w:line="15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w w:val="95"/>
              </w:rPr>
              <w:t>1,326,125</w:t>
            </w:r>
          </w:p>
        </w:tc>
        <w:tc>
          <w:tcPr>
            <w:tcW w:w="0" w:type="dxa"/>
            <w:vAlign w:val="bottom"/>
          </w:tcPr>
          <w:p>
            <w:pPr>
              <w:spacing w:after="0"/>
              <w:rPr>
                <w:sz w:val="1"/>
                <w:szCs w:val="1"/>
                <w:color w:val="auto"/>
              </w:rPr>
            </w:pPr>
          </w:p>
        </w:tc>
      </w:tr>
      <w:tr>
        <w:trPr>
          <w:trHeight w:val="218"/>
        </w:trPr>
        <w:tc>
          <w:tcPr>
            <w:tcW w:w="4600" w:type="dxa"/>
            <w:vAlign w:val="bottom"/>
            <w:gridSpan w:val="3"/>
          </w:tcPr>
          <w:p>
            <w:pPr>
              <w:ind w:left="180"/>
              <w:spacing w:after="0"/>
              <w:rPr>
                <w:sz w:val="20"/>
                <w:szCs w:val="20"/>
                <w:color w:val="auto"/>
              </w:rPr>
            </w:pPr>
            <w:r>
              <w:rPr>
                <w:rFonts w:ascii="Arial" w:cs="Arial" w:eastAsia="Arial" w:hAnsi="Arial"/>
                <w:sz w:val="17"/>
                <w:szCs w:val="17"/>
                <w:i w:val="1"/>
                <w:iCs w:val="1"/>
                <w:color w:val="auto"/>
              </w:rPr>
              <w:t xml:space="preserve">Former Chief Operating Officer, CRO Operations </w:t>
            </w:r>
            <w:r>
              <w:rPr>
                <w:rFonts w:ascii="Arial" w:cs="Arial" w:eastAsia="Arial" w:hAnsi="Arial"/>
                <w:sz w:val="14"/>
                <w:szCs w:val="14"/>
                <w:i w:val="1"/>
                <w:iCs w:val="1"/>
                <w:color w:val="auto"/>
              </w:rPr>
              <w:t>(1)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28" w:lineRule="exact"/>
        <w:rPr>
          <w:sz w:val="20"/>
          <w:szCs w:val="20"/>
          <w:color w:val="auto"/>
        </w:rPr>
      </w:pPr>
    </w:p>
    <w:p>
      <w:pPr>
        <w:ind w:left="340" w:hanging="296"/>
        <w:spacing w:after="0"/>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Mr. Brykman’s employment ended on July 14, 2015. Mr. Brykman’s salary shown in the table is the salary he received from January 1, 2015 through his termination date.</w:t>
      </w:r>
    </w:p>
    <w:p>
      <w:pPr>
        <w:spacing w:after="0" w:line="28" w:lineRule="exact"/>
        <w:rPr>
          <w:rFonts w:ascii="Arial" w:cs="Arial" w:eastAsia="Arial" w:hAnsi="Arial"/>
          <w:sz w:val="24"/>
          <w:szCs w:val="24"/>
          <w:color w:val="auto"/>
          <w:vertAlign w:val="superscript"/>
        </w:rPr>
      </w:pPr>
    </w:p>
    <w:p>
      <w:pPr>
        <w:ind w:left="340" w:hanging="296"/>
        <w:spacing w:after="0" w:line="184" w:lineRule="auto"/>
        <w:tabs>
          <w:tab w:leader="none" w:pos="340" w:val="left"/>
        </w:tabs>
        <w:numPr>
          <w:ilvl w:val="0"/>
          <w:numId w:val="57"/>
        </w:numPr>
        <w:rPr>
          <w:rFonts w:ascii="Arial" w:cs="Arial" w:eastAsia="Arial" w:hAnsi="Arial"/>
          <w:sz w:val="19"/>
          <w:szCs w:val="19"/>
          <w:color w:val="auto"/>
          <w:vertAlign w:val="superscript"/>
        </w:rPr>
      </w:pPr>
      <w:r>
        <w:rPr>
          <w:rFonts w:ascii="Arial" w:cs="Arial" w:eastAsia="Arial" w:hAnsi="Arial"/>
          <w:sz w:val="12"/>
          <w:szCs w:val="12"/>
          <w:color w:val="auto"/>
        </w:rPr>
        <w:t>The amounts shown in the table represent 2015 earned annual bonus paid to Mr. Geiger and Ms. Burwig of $71,750 and $62,900, respectively.</w:t>
      </w:r>
    </w:p>
    <w:p>
      <w:pPr>
        <w:spacing w:after="0" w:line="28" w:lineRule="exact"/>
        <w:rPr>
          <w:rFonts w:ascii="Arial" w:cs="Arial" w:eastAsia="Arial" w:hAnsi="Arial"/>
          <w:sz w:val="19"/>
          <w:szCs w:val="19"/>
          <w:color w:val="auto"/>
          <w:vertAlign w:val="superscript"/>
        </w:rPr>
      </w:pPr>
    </w:p>
    <w:p>
      <w:pPr>
        <w:ind w:left="340" w:right="40" w:hanging="296"/>
        <w:spacing w:after="0" w:line="214" w:lineRule="auto"/>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All stock awards granted to NEOs during 2015 are valued based on the aggregate grant date fair value of such stock awards, computed in accordance with FASB ASC Topic 718, “Compensation-Stock Compensation” (“ASC 718”), and do not represent amounts paid to or realized by the NEO. We provide information regarding the assumptions used to calculate the value of all stock awards made to executive officers in 2015 in Note 8 to our audited consolidated financial statements included elsewhere in this prospectus. As described below under “Narrative to Summary Compensation Table,” all stock awards, except Dr. Troendle’s July 31, 2015 grant of 351,851 vested shares, were, immediately upon grant (net of any shares surrendered in respect of tax withholding obligations), contributed by the NEO to MPI in exchange for incentive units of MPI. Upon Mr. Brykman’s termination of employment, his vested restricted shares (which had been exchanged for incentive units of MPI) were repurchased and his unvested restricted shares (which had been exchanged for incentive units of MPI) were forfeited.</w:t>
      </w:r>
    </w:p>
    <w:p>
      <w:pPr>
        <w:spacing w:after="0" w:line="31" w:lineRule="exact"/>
        <w:rPr>
          <w:rFonts w:ascii="Arial" w:cs="Arial" w:eastAsia="Arial" w:hAnsi="Arial"/>
          <w:sz w:val="24"/>
          <w:szCs w:val="24"/>
          <w:color w:val="auto"/>
          <w:vertAlign w:val="superscript"/>
        </w:rPr>
      </w:pPr>
    </w:p>
    <w:p>
      <w:pPr>
        <w:ind w:left="340" w:right="40" w:hanging="296"/>
        <w:spacing w:after="0" w:line="202" w:lineRule="auto"/>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All stock option awards granted to any NEOs have been valued based on the fair value of the option awards computed in accordance with ASC 718, and do not represent amounts realized by the NEO. We provide information regarding the assumptions used to calculate the value of all option awards made to executive officers in 2015 in Note 8 to our audited consolidated financial statements included elsewhere in this prospectus. Upon Mr. Brykman’s termination of employment, he forfeited all his stock options, as they had not yet vested.</w:t>
      </w:r>
    </w:p>
    <w:p>
      <w:pPr>
        <w:spacing w:after="0" w:line="29" w:lineRule="exact"/>
        <w:rPr>
          <w:rFonts w:ascii="Arial" w:cs="Arial" w:eastAsia="Arial" w:hAnsi="Arial"/>
          <w:sz w:val="24"/>
          <w:szCs w:val="24"/>
          <w:color w:val="auto"/>
          <w:vertAlign w:val="superscript"/>
        </w:rPr>
      </w:pPr>
    </w:p>
    <w:p>
      <w:pPr>
        <w:ind w:left="340" w:right="440" w:hanging="296"/>
        <w:spacing w:after="0" w:line="188"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3"/>
          <w:szCs w:val="13"/>
          <w:color w:val="auto"/>
        </w:rPr>
        <w:t>This column shows the following amounts for Mr. Brykman: $37,359 in relocation reimbursement assistance, a $212,641 relocation balance payment, a lump sum severance payment of $268,715, $1,793 in assistance towards benefit continuation under COBRA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449"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340" w:right="200"/>
        <w:spacing w:after="0" w:line="245" w:lineRule="auto"/>
        <w:rPr>
          <w:sz w:val="20"/>
          <w:szCs w:val="20"/>
          <w:color w:val="auto"/>
        </w:rPr>
      </w:pPr>
      <w:r>
        <w:rPr>
          <w:rFonts w:ascii="Arial" w:cs="Arial" w:eastAsia="Arial" w:hAnsi="Arial"/>
          <w:sz w:val="14"/>
          <w:szCs w:val="14"/>
          <w:color w:val="auto"/>
        </w:rPr>
        <w:t>and $5,000 in fees for service as a member of our Board following his employment end date. The amount shown in this column for Mr. Geiger consists exclusively of fully vested 401(k) matching contributions paid to his account by the Company.</w:t>
      </w:r>
    </w:p>
    <w:p>
      <w:pPr>
        <w:spacing w:after="0" w:line="90" w:lineRule="exact"/>
        <w:rPr>
          <w:sz w:val="20"/>
          <w:szCs w:val="20"/>
          <w:color w:val="auto"/>
        </w:rPr>
      </w:pPr>
    </w:p>
    <w:p>
      <w:pPr>
        <w:ind w:left="340" w:right="60"/>
        <w:spacing w:after="0" w:line="236" w:lineRule="auto"/>
        <w:rPr>
          <w:sz w:val="20"/>
          <w:szCs w:val="20"/>
          <w:color w:val="auto"/>
        </w:rPr>
      </w:pPr>
      <w:r>
        <w:rPr>
          <w:rFonts w:ascii="Arial" w:cs="Arial" w:eastAsia="Arial" w:hAnsi="Arial"/>
          <w:sz w:val="14"/>
          <w:szCs w:val="14"/>
          <w:color w:val="auto"/>
        </w:rPr>
        <w:t>The amounts shown in this column for Dr. Troendle and Ms. Burwig consist of fully vested 401(k) matching contributions of $10,600 each paid to their respective accounts by the Company and incremental costs of $102,937 and $10,000, respectively, attributable to personal usage of Company provided aircraft paid for by the Company on their behalf. For multi-leg hybrid flights in which at least one leg consists of personal use, the incremental cost of personal use is calculated based on the difference between the actual cost of the personal and business legs of the flight and the hypothetical cost that would have been incurred if only the business legs of the flight occurred, using costs provided by the chartered jet service provider. Pursuant to Company policy, for personal use of Company provided aircraft in which both Dr. Troendle and Ms. Burwig are present, incremental cost is allocated to Dr. Troendle for purposes of the Summary Compensation Table unless the incremental cost specifically relates to Ms. Burwig. See “—Narrative to Summary Compensation Table—Aircraft Usage.”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3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NEOs receive base salaries to compensate them for services rendered to our company. The base salary payable to each NEO is intended to provide a fixed component of compensation reflecting the executive’s skill set, experience, role and responsibilities.</w:t>
      </w:r>
    </w:p>
    <w:p>
      <w:pPr>
        <w:spacing w:after="0" w:line="14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Dr. Troendle was party to an employment agreement entered into in 2011, and has entered into an amended and restated agreement in connection with this offering. Both employment agreements provide for a base salary of $410,000 per annum. After entering into his prior employment agreement and prior to 2015, Dr. Troendle requested and received a lower base salary equal to $120,000 per annum. Effective on March 1, 2015 and consistent with our merit cycle, Dr. Troendle’s base salary was adjusted from $120,000 to $227,500 per annum. A second adjustment was confirmed and made effective on September 1, 2015, which adjusted Dr. Troendle’s base salary from $227,500 to $410,000 per annum to bring his base salary in line with his employment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Effective March 1, 2015 and consistent with our merit cycle, Ms. Burwig’s base salary was adjusted from $317,099 to $357,099 per annum.</w:t>
      </w:r>
    </w:p>
    <w:p>
      <w:pPr>
        <w:spacing w:after="0" w:line="14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2016, in addition to our normal merit cycle, we intend to perform a comprehensive market review of the compensation of the senior executives of the Company, including the NEOs (other than Mr. Brykman).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Discretionary Annual Bonuses</w:t>
      </w:r>
    </w:p>
    <w:p>
      <w:pPr>
        <w:spacing w:after="0" w:line="34" w:lineRule="exact"/>
        <w:rPr>
          <w:sz w:val="20"/>
          <w:szCs w:val="20"/>
          <w:color w:val="auto"/>
        </w:rPr>
      </w:pPr>
    </w:p>
    <w:p>
      <w:pPr>
        <w:jc w:val="both"/>
        <w:ind w:right="80"/>
        <w:spacing w:after="0" w:line="235" w:lineRule="auto"/>
        <w:rPr>
          <w:sz w:val="20"/>
          <w:szCs w:val="20"/>
          <w:color w:val="auto"/>
        </w:rPr>
      </w:pPr>
      <w:r>
        <w:rPr>
          <w:rFonts w:ascii="Arial" w:cs="Arial" w:eastAsia="Arial" w:hAnsi="Arial"/>
          <w:sz w:val="17"/>
          <w:szCs w:val="17"/>
          <w:color w:val="auto"/>
        </w:rPr>
        <w:t>In 2015, each of our NEOs was eligible for an annual discretionary cash bonus determined by Dr. Troendle. Our discretionary bonuses have been intended to reward past performance as well as to provide incentives for future performance.</w:t>
      </w:r>
    </w:p>
    <w:p>
      <w:pPr>
        <w:spacing w:after="0" w:line="141" w:lineRule="exact"/>
        <w:rPr>
          <w:sz w:val="20"/>
          <w:szCs w:val="20"/>
          <w:color w:val="auto"/>
        </w:rPr>
      </w:pPr>
    </w:p>
    <w:p>
      <w:pPr>
        <w:jc w:val="both"/>
        <w:ind w:right="80"/>
        <w:spacing w:after="0" w:line="231" w:lineRule="auto"/>
        <w:rPr>
          <w:sz w:val="20"/>
          <w:szCs w:val="20"/>
          <w:color w:val="auto"/>
        </w:rPr>
      </w:pPr>
      <w:r>
        <w:rPr>
          <w:rFonts w:ascii="Arial" w:cs="Arial" w:eastAsia="Arial" w:hAnsi="Arial"/>
          <w:sz w:val="17"/>
          <w:szCs w:val="17"/>
          <w:color w:val="auto"/>
        </w:rPr>
        <w:t>Dr. Troendle did not award himself an annual bonus in 2015. For 2015, each other NEO had a target annual bonus of 35% of his or her annual base salary. Dr. Troendle based his determination of such bonus amounts on a subjective evaluation of individual and Company performance for 2015. Mr. Brykman did not receive an annual bonus for 2015 because his employment ended prior to the end of the year.</w:t>
      </w:r>
    </w:p>
    <w:p>
      <w:pPr>
        <w:spacing w:after="0" w:line="143" w:lineRule="exact"/>
        <w:rPr>
          <w:sz w:val="20"/>
          <w:szCs w:val="20"/>
          <w:color w:val="auto"/>
        </w:rPr>
      </w:pPr>
    </w:p>
    <w:p>
      <w:pPr>
        <w:ind w:right="3100"/>
        <w:spacing w:after="0" w:line="313" w:lineRule="auto"/>
        <w:rPr>
          <w:sz w:val="20"/>
          <w:szCs w:val="20"/>
          <w:color w:val="auto"/>
        </w:rPr>
      </w:pPr>
      <w:r>
        <w:rPr>
          <w:rFonts w:ascii="Arial" w:cs="Arial" w:eastAsia="Arial" w:hAnsi="Arial"/>
          <w:sz w:val="17"/>
          <w:szCs w:val="17"/>
          <w:color w:val="auto"/>
        </w:rPr>
        <w:t xml:space="preserve">The actual bonuses paid for 2015 are shown in the Summary Compensation Table in the column entitled “Bonus.” </w:t>
      </w:r>
      <w:r>
        <w:rPr>
          <w:rFonts w:ascii="Arial" w:cs="Arial" w:eastAsia="Arial" w:hAnsi="Arial"/>
          <w:sz w:val="17"/>
          <w:szCs w:val="17"/>
          <w:b w:val="1"/>
          <w:bCs w:val="1"/>
          <w:i w:val="1"/>
          <w:iCs w:val="1"/>
          <w:color w:val="auto"/>
        </w:rPr>
        <w:t>Equity Compensation</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We have granted equity awards to certain of our employees, including the NEOs, pursuant to the Medpace (formerly known as Scioto Holdings, Inc.) 2014 Equity Incentive Plan. The 2014 Equity Incentive Plan provides for the grant of stock options, restricted shares, fully vested shares and restricted stock units. Stock options have historically been granted at a premium exercise price exceeding fair market value on the date of grant. As a condition to exercising stock options and acceptance of certain restricted shares, employees must execute a Contribution and Subscription Agreement that provides for the exchange of the shares issued for incentive units in MPI upon the occurrence of certain events. The incentive units are tied directly to common stock ownership of Medpace and entitle the incentive unit holder to participate in the risks and rewards of owning Medpace stock (including any vesting risk) through ownership in MPI. Pursuant to the terms of the 2014 Equity Incentive Plan, the requirement to exchange shares received under the 2014 Equity Incentive Plan for incentive units in MPI will cease to be applicable upon consummation of this offering.</w:t>
      </w:r>
    </w:p>
    <w:p>
      <w:pPr>
        <w:spacing w:after="0" w:line="145"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Dr. Troendle was awarded two equity grants on July 31, 2015. One grant was for 351,851 fully vested shares of common stock outside of the 2014 Equity Incentive Plan. The other grant was for 251,851 restricted shares under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449"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the 2014 Equity Incentive Plan, 50% of which were scheduled to vest on December 31, 2015 and the remaining 50% of which were scheduled to vest on December 31, 2016. The grant of 251,851 restricted shares was immediately exchanged for incentive units of MPI, as required by the 2014 Equity Incentive Plan.</w:t>
      </w:r>
    </w:p>
    <w:p>
      <w:pPr>
        <w:spacing w:after="0" w:line="143" w:lineRule="exact"/>
        <w:rPr>
          <w:sz w:val="20"/>
          <w:szCs w:val="20"/>
          <w:color w:val="auto"/>
        </w:rPr>
      </w:pPr>
    </w:p>
    <w:p>
      <w:pPr>
        <w:ind w:right="260"/>
        <w:spacing w:after="0" w:line="231" w:lineRule="auto"/>
        <w:rPr>
          <w:sz w:val="20"/>
          <w:szCs w:val="20"/>
          <w:color w:val="auto"/>
        </w:rPr>
      </w:pPr>
      <w:r>
        <w:rPr>
          <w:rFonts w:ascii="Arial" w:cs="Arial" w:eastAsia="Arial" w:hAnsi="Arial"/>
          <w:sz w:val="17"/>
          <w:szCs w:val="17"/>
          <w:color w:val="auto"/>
        </w:rPr>
        <w:t>Mr. Geiger and Ms. Burwig were granted shares in 2014 (which were immediately exchanged for incentive units of MPI), of which 40% were immediately vested shares and the remaining 60% were restricted shares originally scheduled to vest in equal annual installments on each of the first three anniversaries of the date of grant.</w:t>
      </w:r>
    </w:p>
    <w:p>
      <w:pPr>
        <w:spacing w:after="0" w:line="143"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On December 31, 2015, the Company accelerated the vesting of all outstanding, restricted shares awarded pursuant to the 2014 Equity Incentive Plan, including Dr. Troendle’s, Mr. Geiger’s and Ms. Burwig’s restricted shares (which were previously exchanged for incentive units in MPI).</w:t>
      </w:r>
    </w:p>
    <w:p>
      <w:pPr>
        <w:spacing w:after="0" w:line="141"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Mr. Brykman was granted 29,629 shares of the Company’s common stock on March 23, 2015 (which were immediately exchanged for incentive units of MPI), of which 40% were immediately vested shares and the remaining 60% were restricted shares originally scheduled to vest in equal annual installments on each of the first three anniversaries from the date of grant. Upon Mr. Brykman’s termination of employment in July 2015, his 11,852 vested shares (which had been exchanged for incentive units of MPI) were repurchased by MPI for cash in an amount equal to 80% of their fair market value ($102,400). Mr. Brykman’s 17,777 restricted shares (which were immediately exchanged for incentive units of MPI), were unvested and therefore forfeited upon Mr. Brykman’s termination of employment.</w:t>
      </w:r>
    </w:p>
    <w:p>
      <w:pPr>
        <w:spacing w:after="0" w:line="143" w:lineRule="exact"/>
        <w:rPr>
          <w:sz w:val="20"/>
          <w:szCs w:val="20"/>
          <w:color w:val="auto"/>
        </w:rPr>
      </w:pPr>
    </w:p>
    <w:p>
      <w:pPr>
        <w:jc w:val="both"/>
        <w:ind w:right="420"/>
        <w:spacing w:after="0" w:line="231" w:lineRule="auto"/>
        <w:rPr>
          <w:sz w:val="20"/>
          <w:szCs w:val="20"/>
          <w:color w:val="auto"/>
        </w:rPr>
      </w:pPr>
      <w:r>
        <w:rPr>
          <w:rFonts w:ascii="Arial" w:cs="Arial" w:eastAsia="Arial" w:hAnsi="Arial"/>
          <w:sz w:val="17"/>
          <w:szCs w:val="17"/>
          <w:color w:val="auto"/>
        </w:rPr>
        <w:t>On March 23, 2015, Mr. Brykman was granted stock options with respect to 74,074 shares of our common stock under the 2014 Equity Incentive Plan, subject to vesting in substantially equal installments over a four-year period. All such options were unvested as of his termination of employment and, accordingly, he forfeited them in connection with his termination of employment.</w:t>
      </w:r>
    </w:p>
    <w:p>
      <w:pPr>
        <w:spacing w:after="0" w:line="143"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We have adopted, and our shareholders have approved, the 2016 Incentive Award Plan, or the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is essential to our long-term success. For additional information about the Plan, please see the section titled “Equity Incentive Plans” below.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Grants to Employees under the 2016 Incentive Award Plan</w:t>
      </w:r>
    </w:p>
    <w:p>
      <w:pPr>
        <w:spacing w:after="0" w:line="73"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connection with this offering, under the Plan, we intend to grant to certain of our employees equity awards with respect to an aggregate of up to 2% of our fully diluted shares of common stock outstanding immediately following the completion of this offering. We have not yet determined the allocation of such equity awards among the individuals or the terms of such awards.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Elements of Compensation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6"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We currently maintain a 401(k) retirement savings plan for our U.S. employees, including our NEOs, who satisfy certain eligibility requirements. Our NEOs are eligible to participate in the 401(k) plan on the same terms as other full-time U.S. employees. The U.S. Internal Revenue Code of 1986, as amended, or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beginning in the calendar year following the first anniversary of employment. Matching contributions cliff-vest on the employee’s third anniversary with the Company. We believe that providing a vehicle for tax-deferred retirement savings though our 401(k) plan and making matching contributions that vest over a defined period add to the overall desirability of our executive compensation package and further incentivize our employees, including our NEOs, in accordance with our compensation policies. We do not currently maintain any defined benefit pension plans or deferred compensation plans.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 and Perquisites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All of our full-time U.S. employees, including our NEOs, are eligible to participate in our health and welfare plans, including:</w:t>
      </w:r>
    </w:p>
    <w:p>
      <w:pPr>
        <w:spacing w:after="0" w:line="108" w:lineRule="exact"/>
        <w:rPr>
          <w:sz w:val="20"/>
          <w:szCs w:val="20"/>
          <w:color w:val="auto"/>
        </w:rPr>
      </w:pPr>
    </w:p>
    <w:p>
      <w:pPr>
        <w:ind w:left="800" w:hanging="455"/>
        <w:spacing w:after="0"/>
        <w:tabs>
          <w:tab w:leader="none" w:pos="800" w:val="left"/>
        </w:tabs>
        <w:numPr>
          <w:ilvl w:val="0"/>
          <w:numId w:val="58"/>
        </w:numPr>
        <w:rPr>
          <w:rFonts w:ascii="Arial" w:cs="Arial" w:eastAsia="Arial" w:hAnsi="Arial"/>
          <w:sz w:val="24"/>
          <w:szCs w:val="24"/>
          <w:color w:val="auto"/>
          <w:vertAlign w:val="superscript"/>
        </w:rPr>
      </w:pPr>
      <w:r>
        <w:rPr>
          <w:rFonts w:ascii="Arial" w:cs="Arial" w:eastAsia="Arial" w:hAnsi="Arial"/>
          <w:sz w:val="17"/>
          <w:szCs w:val="17"/>
          <w:color w:val="auto"/>
        </w:rPr>
        <w:t>medical, dental and vision benefits;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49"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38" w:lineRule="exact"/>
        <w:rPr>
          <w:sz w:val="20"/>
          <w:szCs w:val="20"/>
          <w:color w:val="auto"/>
        </w:rPr>
      </w:pPr>
    </w:p>
    <w:p>
      <w:pPr>
        <w:ind w:left="800" w:hanging="455"/>
        <w:spacing w:after="0"/>
        <w:tabs>
          <w:tab w:leader="none" w:pos="800" w:val="left"/>
        </w:tabs>
        <w:numPr>
          <w:ilvl w:val="0"/>
          <w:numId w:val="59"/>
        </w:numPr>
        <w:rPr>
          <w:rFonts w:ascii="Arial" w:cs="Arial" w:eastAsia="Arial" w:hAnsi="Arial"/>
          <w:sz w:val="24"/>
          <w:szCs w:val="24"/>
          <w:color w:val="auto"/>
          <w:vertAlign w:val="superscript"/>
        </w:rPr>
      </w:pPr>
      <w:r>
        <w:rPr>
          <w:rFonts w:ascii="Arial" w:cs="Arial" w:eastAsia="Arial" w:hAnsi="Arial"/>
          <w:sz w:val="17"/>
          <w:szCs w:val="17"/>
          <w:color w:val="auto"/>
        </w:rPr>
        <w:t>short-term and long-term disability insurance; and</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59"/>
        </w:numPr>
        <w:rPr>
          <w:rFonts w:ascii="Arial" w:cs="Arial" w:eastAsia="Arial" w:hAnsi="Arial"/>
          <w:sz w:val="23"/>
          <w:szCs w:val="23"/>
          <w:color w:val="auto"/>
          <w:vertAlign w:val="superscript"/>
        </w:rPr>
      </w:pPr>
      <w:r>
        <w:rPr>
          <w:rFonts w:ascii="Arial" w:cs="Arial" w:eastAsia="Arial" w:hAnsi="Arial"/>
          <w:sz w:val="16"/>
          <w:szCs w:val="16"/>
          <w:color w:val="auto"/>
        </w:rPr>
        <w:t>life insurance.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also provided Mr. Brykman with a relocation package in order to facilitate his relocation to the Cincinnati area upon joining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benefits and perquisites described above are necessary and appropriate to provide a competitive compensation package to our NEOs.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Aircraft Usage</w:t>
      </w:r>
    </w:p>
    <w:p>
      <w:pPr>
        <w:spacing w:after="0" w:line="32"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The Company utilizes Reynolds Jet Management, a chartered jet service provider, to arrange for use of a personal aircraft owned by ATSB Aviation, which is owned by Dr. Troendle and Ms. Burwig, to allow executive officers to safely and efficiently travel for business purposes. Company provided aircraft allow executive officers to be more productive than if commercial flights were utilized, as the aircraft provides a conducive business environment without the scheduling constraints imposed by commercial airline services.</w:t>
      </w:r>
    </w:p>
    <w:p>
      <w:pPr>
        <w:spacing w:after="0" w:line="14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Depending on availability, family members of executive officers are permitted to accompany the executive officers on the aircraft when it is already going to a specific destination for a business purpose. Because the aircraft is chartered based on flight hours regardless of the passenger load, the aggregate incremental cost to the Company for any additional personal use by passengers is de minimis.</w:t>
      </w:r>
    </w:p>
    <w:p>
      <w:pPr>
        <w:spacing w:after="0" w:line="143"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In addition, executive officers periodically use Company provided aircraft for multi-leg hybrid flights in which at least one leg consists of personal use. The aggregate incremental cost to the Company of such personal usage in 2015 is shown in the Summary Compensation Table above. Any personal passenger(s) on board would result in imputed income to the executive officers using the IRS Standard Industry Fare Level calculation. The Company does not provide gross-ups with respect to any income taxes incurred by the executive officers in connection with the personal use of aircraft.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32"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We do not maintain a formal severance policy, and any severance we provide to our NEOs is individually negotiated. In exchange for a release of claims, we provided Mr. Brykman with cash severance and reimbursement of COBRA benefits in connection with his termination of employment in July 2015 in the amounts shown in the Summary Compensation Table in the column entitled “All Other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Tax Gross-Ups</w:t>
      </w:r>
    </w:p>
    <w:p>
      <w:pPr>
        <w:spacing w:after="0" w:line="3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do not make gross-up payments to cover our NEOs’ personal income taxes that may pertain to any of the compensation or perquisites paid or provided by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96" w:lineRule="exact"/>
        <w:rPr>
          <w:sz w:val="20"/>
          <w:szCs w:val="20"/>
          <w:color w:val="auto"/>
        </w:rPr>
      </w:pPr>
    </w:p>
    <w:p>
      <w:pPr>
        <w:ind w:right="880"/>
        <w:spacing w:after="0" w:line="235" w:lineRule="auto"/>
        <w:rPr>
          <w:sz w:val="20"/>
          <w:szCs w:val="20"/>
          <w:color w:val="auto"/>
        </w:rPr>
      </w:pPr>
      <w:r>
        <w:rPr>
          <w:rFonts w:ascii="Arial" w:cs="Arial" w:eastAsia="Arial" w:hAnsi="Arial"/>
          <w:sz w:val="17"/>
          <w:szCs w:val="17"/>
          <w:color w:val="auto"/>
        </w:rPr>
        <w:t>The following table summarizes the number of shares of common stock underlying outstanding equity incentive plan awards for each NEO as of December 31, 2015.</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NUMBER OF</w:t>
            </w:r>
          </w:p>
        </w:tc>
        <w:tc>
          <w:tcPr>
            <w:tcW w:w="1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9"/>
              </w:rPr>
              <w:t>SECURITIES</w:t>
            </w:r>
          </w:p>
        </w:tc>
        <w:tc>
          <w:tcPr>
            <w:tcW w:w="17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7"/>
              </w:rPr>
              <w:t>SECURITIES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9"/>
              </w:rPr>
              <w:t>UNDERLYING</w:t>
            </w:r>
          </w:p>
        </w:tc>
        <w:tc>
          <w:tcPr>
            <w:tcW w:w="17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7"/>
              </w:rPr>
              <w:t>UNDERLYING</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7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UNEXERCISED</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OPTIONS</w:t>
            </w:r>
          </w:p>
        </w:tc>
        <w:tc>
          <w:tcPr>
            <w:tcW w:w="17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8"/>
              </w:rPr>
              <w:t>OPTIONS</w:t>
            </w:r>
          </w:p>
        </w:tc>
        <w:tc>
          <w:tcPr>
            <w:tcW w:w="1180" w:type="dxa"/>
            <w:vAlign w:val="bottom"/>
            <w:gridSpan w:val="3"/>
          </w:tcPr>
          <w:p>
            <w:pPr>
              <w:jc w:val="center"/>
              <w:ind w:right="480"/>
              <w:spacing w:after="0" w:line="157" w:lineRule="exact"/>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7"/>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ind w:right="600"/>
              <w:spacing w:after="0" w:line="157" w:lineRule="exact"/>
              <w:rPr>
                <w:sz w:val="20"/>
                <w:szCs w:val="20"/>
                <w:color w:val="auto"/>
              </w:rPr>
            </w:pPr>
            <w:r>
              <w:rPr>
                <w:rFonts w:ascii="Arial" w:cs="Arial" w:eastAsia="Arial" w:hAnsi="Arial"/>
                <w:sz w:val="14"/>
                <w:szCs w:val="14"/>
                <w:b w:val="1"/>
                <w:bCs w:val="1"/>
                <w:color w:val="auto"/>
              </w:rPr>
              <w:t>GRANT</w:t>
            </w: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1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EXPIRATION</w:t>
            </w:r>
          </w:p>
        </w:tc>
        <w:tc>
          <w:tcPr>
            <w:tcW w:w="0" w:type="dxa"/>
            <w:vAlign w:val="bottom"/>
          </w:tcPr>
          <w:p>
            <w:pPr>
              <w:spacing w:after="0"/>
              <w:rPr>
                <w:sz w:val="1"/>
                <w:szCs w:val="1"/>
                <w:color w:val="auto"/>
              </w:rPr>
            </w:pPr>
          </w:p>
        </w:tc>
      </w:tr>
      <w:tr>
        <w:trPr>
          <w:trHeight w:val="155"/>
        </w:trPr>
        <w:tc>
          <w:tcPr>
            <w:tcW w:w="4900" w:type="dxa"/>
            <w:vAlign w:val="bottom"/>
            <w:gridSpan w:val="2"/>
            <w:vMerge w:val="continue"/>
          </w:tcPr>
          <w:p>
            <w:pPr>
              <w:spacing w:after="0"/>
              <w:rPr>
                <w:sz w:val="13"/>
                <w:szCs w:val="13"/>
                <w:color w:val="auto"/>
              </w:rPr>
            </w:pPr>
          </w:p>
        </w:tc>
        <w:tc>
          <w:tcPr>
            <w:tcW w:w="120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DATE</w:t>
            </w:r>
          </w:p>
        </w:tc>
        <w:tc>
          <w:tcPr>
            <w:tcW w:w="148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rPr>
              <w:t>EXERCISABLE</w:t>
            </w:r>
          </w:p>
        </w:tc>
        <w:tc>
          <w:tcPr>
            <w:tcW w:w="170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8"/>
              </w:rPr>
              <w:t>UNEXERCISABLE</w:t>
            </w:r>
          </w:p>
        </w:tc>
        <w:tc>
          <w:tcPr>
            <w:tcW w:w="1180" w:type="dxa"/>
            <w:vAlign w:val="bottom"/>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9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color w:val="auto"/>
              </w:rPr>
              <w:t>August J. Troendle</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gridSpan w:val="2"/>
          </w:tcPr>
          <w:p>
            <w:pPr>
              <w:spacing w:after="0" w:line="184" w:lineRule="exact"/>
              <w:rPr>
                <w:sz w:val="20"/>
                <w:szCs w:val="20"/>
                <w:color w:val="auto"/>
              </w:rPr>
            </w:pPr>
            <w:r>
              <w:rPr>
                <w:rFonts w:ascii="Arial" w:cs="Arial" w:eastAsia="Arial" w:hAnsi="Arial"/>
                <w:sz w:val="17"/>
                <w:szCs w:val="17"/>
                <w:color w:val="auto"/>
              </w:rPr>
              <w:t xml:space="preserve">Jesse J. Geiger </w:t>
            </w:r>
            <w:r>
              <w:rPr>
                <w:rFonts w:ascii="Arial" w:cs="Arial" w:eastAsia="Arial" w:hAnsi="Arial"/>
                <w:sz w:val="14"/>
                <w:szCs w:val="14"/>
                <w:color w:val="auto"/>
              </w:rPr>
              <w:t>(2)</w:t>
            </w:r>
          </w:p>
        </w:tc>
        <w:tc>
          <w:tcPr>
            <w:tcW w:w="1200" w:type="dxa"/>
            <w:vAlign w:val="bottom"/>
            <w:gridSpan w:val="2"/>
          </w:tcPr>
          <w:p>
            <w:pPr>
              <w:jc w:val="right"/>
              <w:ind w:right="500"/>
              <w:spacing w:after="0" w:line="184" w:lineRule="exact"/>
              <w:rPr>
                <w:sz w:val="20"/>
                <w:szCs w:val="20"/>
                <w:color w:val="auto"/>
              </w:rPr>
            </w:pPr>
            <w:r>
              <w:rPr>
                <w:rFonts w:ascii="Arial" w:cs="Arial" w:eastAsia="Arial" w:hAnsi="Arial"/>
                <w:sz w:val="17"/>
                <w:szCs w:val="17"/>
                <w:color w:val="auto"/>
              </w:rPr>
              <w:t>7/7/2014</w:t>
            </w:r>
          </w:p>
        </w:tc>
        <w:tc>
          <w:tcPr>
            <w:tcW w:w="148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6,481</w:t>
            </w:r>
          </w:p>
        </w:tc>
        <w:tc>
          <w:tcPr>
            <w:tcW w:w="170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41,666</w:t>
            </w:r>
          </w:p>
        </w:tc>
        <w:tc>
          <w:tcPr>
            <w:tcW w:w="180" w:type="dxa"/>
            <w:vAlign w:val="bottom"/>
          </w:tcPr>
          <w:p>
            <w:pPr>
              <w:spacing w:after="0" w:line="18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80"/>
              <w:spacing w:after="0" w:line="184" w:lineRule="exact"/>
              <w:rPr>
                <w:sz w:val="20"/>
                <w:szCs w:val="20"/>
                <w:color w:val="auto"/>
              </w:rPr>
            </w:pPr>
            <w:r>
              <w:rPr>
                <w:rFonts w:ascii="Arial" w:cs="Arial" w:eastAsia="Arial" w:hAnsi="Arial"/>
                <w:sz w:val="17"/>
                <w:szCs w:val="17"/>
                <w:color w:val="auto"/>
              </w:rPr>
              <w:t>14.40</w:t>
            </w:r>
          </w:p>
        </w:tc>
        <w:tc>
          <w:tcPr>
            <w:tcW w:w="9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7/7/2021</w:t>
            </w:r>
          </w:p>
        </w:tc>
        <w:tc>
          <w:tcPr>
            <w:tcW w:w="0" w:type="dxa"/>
            <w:vAlign w:val="bottom"/>
          </w:tcPr>
          <w:p>
            <w:pPr>
              <w:spacing w:after="0"/>
              <w:rPr>
                <w:sz w:val="1"/>
                <w:szCs w:val="1"/>
                <w:color w:val="auto"/>
              </w:rPr>
            </w:pPr>
          </w:p>
        </w:tc>
      </w:tr>
      <w:tr>
        <w:trPr>
          <w:trHeight w:val="183"/>
        </w:trPr>
        <w:tc>
          <w:tcPr>
            <w:tcW w:w="490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 xml:space="preserve">Susan E. Burwig </w:t>
            </w:r>
            <w:r>
              <w:rPr>
                <w:rFonts w:ascii="Arial" w:cs="Arial" w:eastAsia="Arial" w:hAnsi="Arial"/>
                <w:sz w:val="14"/>
                <w:szCs w:val="14"/>
                <w:color w:val="auto"/>
              </w:rPr>
              <w:t>(2)</w:t>
            </w:r>
          </w:p>
        </w:tc>
        <w:tc>
          <w:tcPr>
            <w:tcW w:w="1200" w:type="dxa"/>
            <w:vAlign w:val="bottom"/>
            <w:gridSpan w:val="2"/>
            <w:shd w:val="clear" w:color="auto" w:fill="CCEEFF"/>
          </w:tcPr>
          <w:p>
            <w:pPr>
              <w:jc w:val="right"/>
              <w:ind w:right="500"/>
              <w:spacing w:after="0" w:line="184" w:lineRule="exact"/>
              <w:rPr>
                <w:sz w:val="20"/>
                <w:szCs w:val="20"/>
                <w:color w:val="auto"/>
              </w:rPr>
            </w:pPr>
            <w:r>
              <w:rPr>
                <w:rFonts w:ascii="Arial" w:cs="Arial" w:eastAsia="Arial" w:hAnsi="Arial"/>
                <w:sz w:val="17"/>
                <w:szCs w:val="17"/>
                <w:color w:val="auto"/>
              </w:rPr>
              <w:t>7/7/2014</w:t>
            </w:r>
          </w:p>
        </w:tc>
        <w:tc>
          <w:tcPr>
            <w:tcW w:w="148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9,259</w:t>
            </w:r>
          </w:p>
        </w:tc>
        <w:tc>
          <w:tcPr>
            <w:tcW w:w="170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27,777</w:t>
            </w:r>
          </w:p>
        </w:tc>
        <w:tc>
          <w:tcPr>
            <w:tcW w:w="1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14.40</w:t>
            </w:r>
          </w:p>
        </w:tc>
        <w:tc>
          <w:tcPr>
            <w:tcW w:w="9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7/7/2021</w:t>
            </w:r>
          </w:p>
        </w:tc>
        <w:tc>
          <w:tcPr>
            <w:tcW w:w="0" w:type="dxa"/>
            <w:vAlign w:val="bottom"/>
          </w:tcPr>
          <w:p>
            <w:pPr>
              <w:spacing w:after="0"/>
              <w:rPr>
                <w:sz w:val="1"/>
                <w:szCs w:val="1"/>
                <w:color w:val="auto"/>
              </w:rPr>
            </w:pPr>
          </w:p>
        </w:tc>
      </w:tr>
      <w:tr>
        <w:trPr>
          <w:trHeight w:val="200"/>
        </w:trPr>
        <w:tc>
          <w:tcPr>
            <w:tcW w:w="4900" w:type="dxa"/>
            <w:vAlign w:val="bottom"/>
            <w:gridSpan w:val="2"/>
          </w:tcPr>
          <w:p>
            <w:pPr>
              <w:spacing w:after="0"/>
              <w:rPr>
                <w:sz w:val="20"/>
                <w:szCs w:val="20"/>
                <w:color w:val="auto"/>
              </w:rPr>
            </w:pPr>
            <w:r>
              <w:rPr>
                <w:rFonts w:ascii="Arial" w:cs="Arial" w:eastAsia="Arial" w:hAnsi="Arial"/>
                <w:sz w:val="17"/>
                <w:szCs w:val="17"/>
                <w:color w:val="auto"/>
              </w:rPr>
              <w:t>Kurt A. Brykman</w:t>
            </w: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22" w:lineRule="exact"/>
        <w:rPr>
          <w:sz w:val="20"/>
          <w:szCs w:val="20"/>
          <w:color w:val="auto"/>
        </w:rPr>
      </w:pPr>
    </w:p>
    <w:p>
      <w:pPr>
        <w:ind w:left="340" w:hanging="296"/>
        <w:spacing w:after="0"/>
        <w:tabs>
          <w:tab w:leader="none" w:pos="34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This table does not reflect any fully vested restricted shares (which had been exchanged for incentive units of MPI) held by the NEOs as of December 31, 2015.</w:t>
      </w:r>
    </w:p>
    <w:p>
      <w:pPr>
        <w:spacing w:after="0" w:line="28" w:lineRule="exact"/>
        <w:rPr>
          <w:rFonts w:ascii="Arial" w:cs="Arial" w:eastAsia="Arial" w:hAnsi="Arial"/>
          <w:sz w:val="24"/>
          <w:szCs w:val="24"/>
          <w:color w:val="auto"/>
          <w:vertAlign w:val="superscript"/>
        </w:rPr>
      </w:pPr>
    </w:p>
    <w:p>
      <w:pPr>
        <w:ind w:left="340" w:right="420" w:hanging="296"/>
        <w:spacing w:after="0" w:line="188" w:lineRule="auto"/>
        <w:tabs>
          <w:tab w:leader="none" w:pos="340" w:val="left"/>
        </w:tabs>
        <w:numPr>
          <w:ilvl w:val="0"/>
          <w:numId w:val="60"/>
        </w:numPr>
        <w:rPr>
          <w:rFonts w:ascii="Arial" w:cs="Arial" w:eastAsia="Arial" w:hAnsi="Arial"/>
          <w:sz w:val="23"/>
          <w:szCs w:val="23"/>
          <w:color w:val="auto"/>
          <w:vertAlign w:val="superscript"/>
        </w:rPr>
      </w:pPr>
      <w:r>
        <w:rPr>
          <w:rFonts w:ascii="Arial" w:cs="Arial" w:eastAsia="Arial" w:hAnsi="Arial"/>
          <w:sz w:val="13"/>
          <w:szCs w:val="13"/>
          <w:color w:val="auto"/>
        </w:rPr>
        <w:t>Mr. Geiger and Ms. Burwig were each granted stock options that vest in equal annual installments over a four-year period (i.e., 25% vest on each grant date anniversary). On September 22, 2015, Mr. Geiger elected to exercise 7,407 of the 13,888 options that vested on July 7, 2015, leaving him with 6,481 vested but not exercised options.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20"/>
          </w:cols>
          <w:pgMar w:left="240" w:top="449"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w:t>
      </w:r>
    </w:p>
    <w:p>
      <w:pPr>
        <w:spacing w:after="0" w:line="9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2015, Dr. August J. Troendle was party to an employment agreement with the Company, effective as of June 17, 2011, which provided for a three-year initial term followed by successive one-year terms, but it could have been terminated by either party at any time upon 30 days’ advance written notice.</w:t>
      </w:r>
    </w:p>
    <w:p>
      <w:pPr>
        <w:spacing w:after="0" w:line="12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Dr. Troendle’s employment agreement provided for Dr. Troendle’s position as our Chief Executive Officer. Under the agreement, Dr. Troendle’s annual base salary was $410,000. The agreement also provided that Dr. Troendle would be eligible to receive an annual cash bonus, provided that he remained employed by us at the time we paid annual bonuses generally, based upon achievement of performance objectives and individual goals established by our Board. The agreement also provided for Dr. Troendle’s participation in all employee benefit plans and programs made available by the Company to our executives and the reimbursement of all reasonable business expenses incurred by Dr. Troendle.</w:t>
      </w:r>
    </w:p>
    <w:p>
      <w:pPr>
        <w:spacing w:after="0" w:line="141"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Dr. Troendle’s employment agreement did not provide for any severance benefits upon termination other than the payment of accrued and unpaid base salary, any reimbursement due for incurred business expenses and any benefits due under our 401(k) plan in accordance with the terms of that plan. Upon termination, the treatment of any stock-based awards was governed by the terms of the applicable plan and grant agreement.</w:t>
      </w:r>
    </w:p>
    <w:p>
      <w:pPr>
        <w:spacing w:after="0" w:line="143"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The Company and Dr. Troendle entered into an amended and restated employment agreement in connection with this offering, which agreement has a three-year term beginning July 25, 2016 followed by successive one-year terms. The material terms of the amended and restated employment agreement are substantially the same as those of the existing employment agreement, as described above. The amended and restated employment agreement also provides that the Company will cause Dr. Troendle to be appointed to the Board as of the effective date and will nominate him for re-election during the term.</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None of our other executive officers is party to an employment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83"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None of our directors received compensation as a director for the fiscal year ended December 31, 2015, except for Mr. Brykman, who received $5,000 in fees for service as a director as indicated in the Summary Compensation Table.</w:t>
      </w:r>
    </w:p>
    <w:p>
      <w:pPr>
        <w:spacing w:after="0" w:line="141"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We have adopted a compensation policy that, effective upon the closing of this offering, will be applicable to all of our non-employee directors. Pursuant to this policy, each eligible non-employee director will receive an annual cash retainer of $40,000. Each compensation committee member will receive an additional annual cash retainer of $7,500. Each audit committee member other than the committee chairperson will receive an additional annual cash retainer of $7,500 and the committee chairperson will receive an additional annual cash retainer of $20,000. Each annual retainer will be paid quarterly in arrears. In the case of the non-employee directors affiliated with Cinven, such retainers will be paid directly to Cinven and not to the directors individually. The Board may, in its discretion, permit a non-employee director to elect to receive any portion of the annual retainer in the form of fully vested and unrestricted shares of common stock in lieu of cash.</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Also, pursuant to the director compensation policy, on the date of any annual meeting of our shareholders, we intend to grant each non-employee director other than those affiliated with Cinven an award of an option to purchase the numbers of shares of common stock (at a per-share exercise price equal to the closing price per share of the common stock on the date of such annual meeting (or on the last preceding trading day)) that have a grant date fair value of $90,000. The terms of each such award will be set forth in a written award agreement between each director and us, which will generally provide for vesting after one year of continued service as a director. Any director elected or appointed mid-year will receive a pro-rated portion of the annual award adjusted to reflect his or her period of service. Restricted stock units may be granted in lieu of an option for the initial award.</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All cash and equity awards granted under the non-employee director compensation policy will be granted under, and subject to the limits of, the Plan.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360"/>
          </w:cols>
          <w:pgMar w:left="240" w:top="449" w:right="2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34"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We maintain the 2014 Equity Incentive Plan, as described above. On and after the closing of this offering and following the effectiveness of the Plan (as described below), no further grants will be made under the 2014 Equity Incentive Plan.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Incentive Award Plan</w:t>
      </w:r>
    </w:p>
    <w:p>
      <w:pPr>
        <w:spacing w:after="0" w:line="3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have adopted, and our shareholders have approved, the Plan, under which we may grant cash and equity incentive awards to eligible service providers in order to attract, motivate and retain the talent for which we compete. The material terms of the Plan are summarized below.</w:t>
      </w:r>
    </w:p>
    <w:p>
      <w:pPr>
        <w:spacing w:after="0" w:line="123"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Eligibility and Administration</w:t>
      </w:r>
      <w:r>
        <w:rPr>
          <w:rFonts w:ascii="Arial" w:cs="Arial" w:eastAsia="Arial" w:hAnsi="Arial"/>
          <w:sz w:val="17"/>
          <w:szCs w:val="17"/>
          <w:color w:val="auto"/>
        </w:rPr>
        <w:t>. Our employees, consultants and directors, and employees, consultants and directors of our subsidiaries are eligible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Plan. The Plan is administered by our Board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162(m) of the Code, Section 16 of the Exchange Act and/or stock exchange rules, as applicable. The plan administrator has the authority to make all determinations and interpretations under, prescribe all forms for use with, and adopt rules for the administration of, the Plan, subject to its express terms and conditions. The plan administrator also sets the terms and conditions of all awards under the Plan, including any vesting and vesting acceleration conditions.</w:t>
      </w:r>
    </w:p>
    <w:p>
      <w:pPr>
        <w:spacing w:after="0" w:line="12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i w:val="1"/>
          <w:iCs w:val="1"/>
          <w:color w:val="auto"/>
        </w:rPr>
        <w:t>Limitation on Awards and Shares Available</w:t>
      </w:r>
      <w:r>
        <w:rPr>
          <w:rFonts w:ascii="Arial" w:cs="Arial" w:eastAsia="Arial" w:hAnsi="Arial"/>
          <w:sz w:val="17"/>
          <w:szCs w:val="17"/>
          <w:color w:val="auto"/>
        </w:rPr>
        <w:t>. An aggregate of 6,000,000 shares of our common stock (including the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issuable pursuant to the equity awards intended to be granted in connection with this offering) are available for issuance under awards granted pursuant to the Plan, which shares may be authorized but unissued shares, or shares purchased in the open market. If an award under the Plan is forfeited, expires, is converted to shares of another entity in connection with a change in capitalization or is settled for cash, any shares subject to such award may, to the extent of such forfeiture, expiration or cash settlement, be used again for new grants under the Plan. However, the following shares may not be used again for grant under the Plan: (1) shares tendered or withheld to satisfy grant or exercise price or tax withholding obligations associated with an award; (2) shares subject to a stock appreciation right, or SAR, that are not issued in connection with the stock settlement of the SAR on its exercise; and (3) shares purchased on the open market with the cash proceeds from the exercise of options.</w:t>
      </w:r>
    </w:p>
    <w:p>
      <w:pPr>
        <w:spacing w:after="0" w:line="14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Awards granted under the Plan upon the assumption of, or in substitution for, awards authorized or outstanding under a qualifying equity plan maintained by an entity with which we enter into a merger or similar corporate transaction will not reduce the shares available for grant under the Plan. The maximum number of shares of our common stock that may be subject to one or more awards granted to any participant pursuant to the Plan during any calendar year is 1,500,000 and the maximum amount that may be paid under a cash award pursuant to the Plan to any one participant during any calendar year period is $5,000,000; provided that these limitations will not apply until Section 162(m) applies to certain awards under the Plan (as described below). Further, the sum of the grant date fair value of equity-based awards and the amount of any cash compensation granted to a non-employee director during any calendar year shall be $400,000.</w:t>
      </w:r>
    </w:p>
    <w:p>
      <w:pPr>
        <w:spacing w:after="0" w:line="123"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Plan provides for the grant of stock options, including incentive stock options, or ISOs, and nonqualified stock options, or NSOs,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or SARS, restricted stock, restricted stock units, or RSUs, other stock or cash based awards and dividend equivalents. Certain awards under the Plan may constitute or provide for a deferral of compensation, subject to Section 409A of the Code, which may impose additional requirements on the terms and conditions of such awards. All awards under the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63" w:lineRule="exact"/>
        <w:rPr>
          <w:sz w:val="20"/>
          <w:szCs w:val="20"/>
          <w:color w:val="auto"/>
        </w:rPr>
      </w:pPr>
    </w:p>
    <w:p>
      <w:pPr>
        <w:ind w:left="800" w:right="140" w:hanging="455"/>
        <w:spacing w:after="0" w:line="210" w:lineRule="auto"/>
        <w:tabs>
          <w:tab w:leader="none" w:pos="800"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provide for the purchase of shares of our common stock in the future at an exercise price set on the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ISOs, by contrast to NSOs, may provide tax deferral beyond exercise and favorable capital gains tax treatment to their holders if certain holding period and other requirements of</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20"/>
          </w:cols>
          <w:pgMar w:left="240" w:top="449"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800"/>
        <w:spacing w:after="0" w:line="229" w:lineRule="auto"/>
        <w:rPr>
          <w:sz w:val="20"/>
          <w:szCs w:val="20"/>
          <w:color w:val="auto"/>
        </w:rPr>
      </w:pPr>
      <w:r>
        <w:rPr>
          <w:rFonts w:ascii="Arial" w:cs="Arial" w:eastAsia="Arial" w:hAnsi="Arial"/>
          <w:sz w:val="17"/>
          <w:szCs w:val="17"/>
          <w:color w:val="auto"/>
        </w:rPr>
        <w:t>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5" w:lineRule="exact"/>
        <w:rPr>
          <w:sz w:val="20"/>
          <w:szCs w:val="20"/>
          <w:color w:val="auto"/>
        </w:rPr>
      </w:pPr>
    </w:p>
    <w:p>
      <w:pPr>
        <w:ind w:left="800" w:right="80" w:hanging="455"/>
        <w:spacing w:after="0" w:line="215" w:lineRule="auto"/>
        <w:tabs>
          <w:tab w:leader="none" w:pos="80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i w:val="1"/>
          <w:iCs w:val="1"/>
          <w:color w:val="auto"/>
        </w:rPr>
        <w:t>SARs</w:t>
      </w:r>
      <w:r>
        <w:rPr>
          <w:rFonts w:ascii="Arial" w:cs="Arial" w:eastAsia="Arial" w:hAnsi="Arial"/>
          <w:sz w:val="17"/>
          <w:szCs w:val="17"/>
          <w:color w:val="auto"/>
        </w:rPr>
        <w:t>. SARs entitle their holder, upon exercise, to receive from us an amount equal to the appreciation of the shares subject to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 w:lineRule="exact"/>
        <w:rPr>
          <w:rFonts w:ascii="Arial" w:cs="Arial" w:eastAsia="Arial" w:hAnsi="Arial"/>
          <w:sz w:val="24"/>
          <w:szCs w:val="24"/>
          <w:color w:val="auto"/>
          <w:vertAlign w:val="superscript"/>
        </w:rPr>
      </w:pPr>
    </w:p>
    <w:p>
      <w:pPr>
        <w:ind w:left="800" w:right="80" w:hanging="455"/>
        <w:spacing w:after="0" w:line="217" w:lineRule="auto"/>
        <w:tabs>
          <w:tab w:leader="none" w:pos="80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Restricted Stock and RSUs. </w:t>
      </w:r>
      <w:r>
        <w:rPr>
          <w:rFonts w:ascii="Arial" w:cs="Arial" w:eastAsia="Arial" w:hAnsi="Arial"/>
          <w:sz w:val="17"/>
          <w:szCs w:val="17"/>
          <w:color w:val="auto"/>
        </w:rPr>
        <w:t>Restricted stock is an award of nontransferable shares of our common stock that remain forfeitable unless and until</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5" w:lineRule="exact"/>
        <w:rPr>
          <w:rFonts w:ascii="Arial" w:cs="Arial" w:eastAsia="Arial" w:hAnsi="Arial"/>
          <w:sz w:val="24"/>
          <w:szCs w:val="24"/>
          <w:color w:val="auto"/>
          <w:vertAlign w:val="superscript"/>
        </w:rPr>
      </w:pPr>
    </w:p>
    <w:p>
      <w:pPr>
        <w:ind w:left="800" w:right="120" w:hanging="455"/>
        <w:spacing w:after="0" w:line="210" w:lineRule="auto"/>
        <w:tabs>
          <w:tab w:leader="none" w:pos="80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Other stock or cash awards are cash payments, cash bonus awards, stock payments, stock bonus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or incentive awards paid in cash, shares of our common stock or a combination of both, and may include deferred stock, deferred stock units, performance awards, retainers, committee fees and meeting based fees.</w:t>
      </w:r>
    </w:p>
    <w:p>
      <w:pPr>
        <w:spacing w:after="0" w:line="5" w:lineRule="exact"/>
        <w:rPr>
          <w:rFonts w:ascii="Arial" w:cs="Arial" w:eastAsia="Arial" w:hAnsi="Arial"/>
          <w:sz w:val="24"/>
          <w:szCs w:val="24"/>
          <w:color w:val="auto"/>
          <w:vertAlign w:val="superscript"/>
        </w:rPr>
      </w:pPr>
    </w:p>
    <w:p>
      <w:pPr>
        <w:ind w:left="800" w:right="120" w:hanging="455"/>
        <w:spacing w:after="0" w:line="215" w:lineRule="auto"/>
        <w:tabs>
          <w:tab w:leader="none" w:pos="80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Dividend equivalents represent the right to receive the equivalent value of dividends paid on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 Dividend equivalents may not be paid on awards granted under the Plan unless and until such awards have vested.</w:t>
      </w:r>
    </w:p>
    <w:p>
      <w:pPr>
        <w:spacing w:after="0" w:line="144"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plan administrator will determine whether any awards are intended to constitute “qualified performance-based compensation,” or QPBC, within the meaning of Section 162(m) of the Code, in which case (unless the award is a stock option or SAR) the applicable performance criteria will be selected from the list below in accordance with the requirements of Section 162(m) of the Code.</w:t>
      </w:r>
    </w:p>
    <w:p>
      <w:pPr>
        <w:spacing w:after="0" w:line="143"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Section 162(m) of the Code imposes a $1 million cap on the compensation deduction that a public company may take in respect of compensation paid to our “covered employees” (which should include our Chief Executive Officer and our next three most highly compensated employees other than our Chief Financial Officer), but excludes from the calculation of amounts subject to this limitation any amounts that constitute QPBC. Under current tax law, we do not expect Section 162(m) of the Code to apply to certain awards under the Plan until the earliest to occur of (1) our annual stockholders’ meeting at which members of our Board are to be elected that occurs after the close of the third calendar year following the calendar year in which occurred the first registration of our equity securities under Section 12 of the Exchange Act; (2) a material modification of the Plan; (3) an exhaustion of the share supply under the Plan; or (4) the expiration of the Plan. However, QPBC performance criteria may be used with respect to awards that are not intended to constitute QPBC. In addition, the Company may issue awards that are not intended to constitute QPBC even if such awards might be non-deductible as a result of Section 162(m) of the Code.</w:t>
      </w:r>
    </w:p>
    <w:p>
      <w:pPr>
        <w:spacing w:after="0" w:line="143"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In order to constitute QPBC under Section 162(m) of the Code, in addition to certain other requirements, the relevant amounts must be payable only upon the attainment of pre-established, objective performance goals set by our compensation committee and linked to stockholder-approved performance criteria. For purposes of the Plan, one or more of the following performance criteria will be used in setting performance goals applicable to QPBC, and may be used in setting performance goals applicable to other awards: (i) net earnings or losses (either before or after one or more of the following: (A) interest, (B) taxes, (C) depreciation, (D) amortization and (E) non-cash equity-based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00"/>
          </w:cols>
          <w:pgMar w:left="240" w:top="449"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(ii) gross or net sales or revenue or sales or revenue growth; (iii) net income (either before or after taxes); (iv) adjusted net income;</w:t>
      </w:r>
    </w:p>
    <w:p>
      <w:pPr>
        <w:jc w:val="both"/>
        <w:ind w:right="120" w:firstLine="5"/>
        <w:spacing w:after="0" w:line="239" w:lineRule="auto"/>
        <w:tabs>
          <w:tab w:leader="none" w:pos="239"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w:t>
      </w:r>
    </w:p>
    <w:p>
      <w:pPr>
        <w:jc w:val="both"/>
        <w:ind w:right="80" w:firstLine="5"/>
        <w:spacing w:after="0" w:line="239" w:lineRule="auto"/>
        <w:tabs>
          <w:tab w:leader="none" w:pos="313" w:val="left"/>
        </w:tabs>
        <w:numPr>
          <w:ilvl w:val="0"/>
          <w:numId w:val="64"/>
        </w:numPr>
        <w:rPr>
          <w:rFonts w:ascii="Arial" w:cs="Arial" w:eastAsia="Arial" w:hAnsi="Arial"/>
          <w:sz w:val="16"/>
          <w:szCs w:val="16"/>
          <w:color w:val="auto"/>
        </w:rPr>
      </w:pPr>
      <w:r>
        <w:rPr>
          <w:rFonts w:ascii="Arial" w:cs="Arial" w:eastAsia="Arial" w:hAnsi="Arial"/>
          <w:sz w:val="16"/>
          <w:szCs w:val="16"/>
          <w:color w:val="auto"/>
        </w:rPr>
        <w:t>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w:t>
      </w:r>
    </w:p>
    <w:p>
      <w:pPr>
        <w:ind w:right="80" w:firstLine="5"/>
        <w:spacing w:after="0" w:line="227" w:lineRule="auto"/>
        <w:tabs>
          <w:tab w:leader="none" w:pos="433"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indices.The Plan also permits the plan administrator to provide for objectively determinable adjustments to the applicable performance criteria in setting performance goals for QPBC awards.</w:t>
      </w:r>
    </w:p>
    <w:p>
      <w:pPr>
        <w:spacing w:after="0" w:line="12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i w:val="1"/>
          <w:iCs w:val="1"/>
          <w:color w:val="auto"/>
        </w:rPr>
        <w:t>Certain Transactions</w:t>
      </w:r>
      <w:r>
        <w:rPr>
          <w:rFonts w:ascii="Arial" w:cs="Arial" w:eastAsia="Arial" w:hAnsi="Arial"/>
          <w:sz w:val="16"/>
          <w:szCs w:val="16"/>
          <w:color w:val="auto"/>
        </w:rPr>
        <w:t>. The plan administrator has broad discretion to take action under the Plan, as well as make adjustments to the terms and conditions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Plan and outstanding awards. In the event of a change in control of our company (as defined in the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2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i w:val="1"/>
          <w:iCs w:val="1"/>
          <w:color w:val="auto"/>
        </w:rPr>
        <w:t>Foreign Participants, Claw-Back Provisions, Transferability, and Participant Payments</w:t>
      </w:r>
      <w:r>
        <w:rPr>
          <w:rFonts w:ascii="Arial" w:cs="Arial" w:eastAsia="Arial" w:hAnsi="Arial"/>
          <w:sz w:val="17"/>
          <w:szCs w:val="17"/>
          <w:color w:val="auto"/>
        </w:rPr>
        <w:t>. The plan administrator may modify award terms, establish subplans</w:t>
      </w:r>
      <w:r>
        <w:rPr>
          <w:rFonts w:ascii="Arial" w:cs="Arial" w:eastAsia="Arial" w:hAnsi="Arial"/>
          <w:sz w:val="17"/>
          <w:szCs w:val="17"/>
          <w:i w:val="1"/>
          <w:iCs w:val="1"/>
          <w:color w:val="auto"/>
        </w:rPr>
        <w:t xml:space="preserve"> </w:t>
      </w:r>
      <w:r>
        <w:rPr>
          <w:rFonts w:ascii="Arial" w:cs="Arial" w:eastAsia="Arial" w:hAnsi="Arial"/>
          <w:sz w:val="17"/>
          <w:szCs w:val="17"/>
          <w:color w:val="auto"/>
        </w:rPr>
        <w:t>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Plan are generally non-transferable prior to vesting, and are exercisable only by the participant. With regard to tax withholding, exercise price and purchase price obligations arising in connection with awards under the Plan, the plan administrator may, in its discretion, accept cash or check, shares of our common stock that meet specified conditions, a “market sell order” or such other consideration as it deems suitable.</w:t>
      </w:r>
    </w:p>
    <w:p>
      <w:pPr>
        <w:spacing w:after="0" w:line="125"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i w:val="1"/>
          <w:iCs w:val="1"/>
          <w:color w:val="auto"/>
        </w:rPr>
        <w:t>Plan Amendment and Termination</w:t>
      </w:r>
      <w:r>
        <w:rPr>
          <w:rFonts w:ascii="Arial" w:cs="Arial" w:eastAsia="Arial" w:hAnsi="Arial"/>
          <w:sz w:val="17"/>
          <w:szCs w:val="17"/>
          <w:color w:val="auto"/>
        </w:rPr>
        <w:t>. Our Board may amend or terminate the Plan at any time; however, except in connection with certain changes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structure, stockholder approval will be required for any amendment that increases the number of shares available under the Plan, “reprices” any stock option or SAR, or cancels any stock option or SAR in exchange for cash or another award when the option or SAR price per share exceeds the fair market value of the underlying shares. No award may be granted pursuant to the Plan after the tenth anniversary of the date on which our Board adopted the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Bonus Plan</w:t>
      </w:r>
    </w:p>
    <w:p>
      <w:pPr>
        <w:spacing w:after="0" w:line="76"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b w:val="1"/>
          <w:bCs w:val="1"/>
          <w:i w:val="1"/>
          <w:iCs w:val="1"/>
          <w:color w:val="auto"/>
        </w:rPr>
        <w:t xml:space="preserve">Executive Bonus Plan. </w:t>
      </w:r>
      <w:r>
        <w:rPr>
          <w:rFonts w:ascii="Arial" w:cs="Arial" w:eastAsia="Arial" w:hAnsi="Arial"/>
          <w:sz w:val="17"/>
          <w:szCs w:val="17"/>
          <w:color w:val="auto"/>
        </w:rPr>
        <w:t>We have adopted, and our stockholders have approved, a Senior Executive Incentive Bonus Plan, or the Executive Bonus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Executive Bonus Plan is designed to provide an incentive for superior work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00"/>
          </w:cols>
          <w:pgMar w:left="240" w:top="449"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800"/>
        <w:spacing w:after="0" w:line="231" w:lineRule="auto"/>
        <w:rPr>
          <w:sz w:val="20"/>
          <w:szCs w:val="20"/>
          <w:color w:val="auto"/>
        </w:rPr>
      </w:pPr>
      <w:r>
        <w:rPr>
          <w:rFonts w:ascii="Arial" w:cs="Arial" w:eastAsia="Arial" w:hAnsi="Arial"/>
          <w:sz w:val="17"/>
          <w:szCs w:val="17"/>
          <w:color w:val="auto"/>
        </w:rPr>
        <w:t>to motivate covered key executives toward even greater achievement and business results, to tie their goals and interests to those of us and our stockholders and to enable us to attract and retain highly qualified executives. The principal anticipated features of the Executive Bonus Plan are summarized below.</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Executive Bonus Plan is an incentive bonus plan under which certain key executives, including our NEOs, will be eligible to receive bonus payments with respect to a specified period (for example, our fiscal year). Bonuses will generally be payable under the Executive Bonus Plan upon the attainment of pre-established performance goals. Notwithstanding the foregoing, we may pay bonuses (including, without limitation, discretionary bonuses) to participants under the Executive Bonus Plan based upon such other terms and conditions as the compensation committee may in its discretion determine.</w:t>
      </w:r>
    </w:p>
    <w:p>
      <w:pPr>
        <w:spacing w:after="0" w:line="13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performance goals under the Executive Bonus Plan will relate to one or more financial, operational or other metrics with respect to individual or company performance with respect to us or any of our subsidiaries, including but not limited to the following possible performance goals: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w:t>
      </w:r>
    </w:p>
    <w:p>
      <w:pPr>
        <w:jc w:val="both"/>
        <w:ind w:right="120" w:firstLine="5"/>
        <w:spacing w:after="0" w:line="239" w:lineRule="auto"/>
        <w:tabs>
          <w:tab w:leader="none" w:pos="239"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w:t>
      </w:r>
    </w:p>
    <w:p>
      <w:pPr>
        <w:jc w:val="both"/>
        <w:ind w:right="80" w:firstLine="5"/>
        <w:spacing w:after="0" w:line="239" w:lineRule="auto"/>
        <w:tabs>
          <w:tab w:leader="none" w:pos="313" w:val="left"/>
        </w:tabs>
        <w:numPr>
          <w:ilvl w:val="0"/>
          <w:numId w:val="67"/>
        </w:numPr>
        <w:rPr>
          <w:rFonts w:ascii="Arial" w:cs="Arial" w:eastAsia="Arial" w:hAnsi="Arial"/>
          <w:sz w:val="16"/>
          <w:szCs w:val="16"/>
          <w:color w:val="auto"/>
        </w:rPr>
      </w:pPr>
      <w:r>
        <w:rPr>
          <w:rFonts w:ascii="Arial" w:cs="Arial" w:eastAsia="Arial" w:hAnsi="Arial"/>
          <w:sz w:val="16"/>
          <w:szCs w:val="16"/>
          <w:color w:val="auto"/>
        </w:rPr>
        <w:t>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w:t>
      </w:r>
    </w:p>
    <w:p>
      <w:pPr>
        <w:ind w:right="80" w:firstLine="5"/>
        <w:spacing w:after="0" w:line="228" w:lineRule="auto"/>
        <w:tabs>
          <w:tab w:leader="none" w:pos="433"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Executive Bonus Plan will be administered by the compensation committee. The compensation committee will select the participants in the Executive Bonus Plan and any performance goals to be utilized with respect to the participants, establish the bonus formulas for each participant’s annual bonus, and certify whether any applicable performance goals have been met with respect to a given performance period. The Executive Bonus Plan provides that we may amend or terminate the Executive Bonus Plan at any time in our sole discretion. Any amendments to the Executive Bonus Plan will require stockholder approval only to the extent required by applicable law, rule or regulation. The Executive Bonus Plan will expire on the earlier of:</w:t>
      </w:r>
    </w:p>
    <w:p>
      <w:pPr>
        <w:spacing w:after="0" w:line="102" w:lineRule="exact"/>
        <w:rPr>
          <w:sz w:val="20"/>
          <w:szCs w:val="20"/>
          <w:color w:val="auto"/>
        </w:rPr>
      </w:pPr>
    </w:p>
    <w:p>
      <w:pPr>
        <w:ind w:left="800" w:hanging="455"/>
        <w:spacing w:after="0"/>
        <w:tabs>
          <w:tab w:leader="none" w:pos="800" w:val="left"/>
        </w:tabs>
        <w:numPr>
          <w:ilvl w:val="0"/>
          <w:numId w:val="69"/>
        </w:numPr>
        <w:rPr>
          <w:rFonts w:ascii="Arial" w:cs="Arial" w:eastAsia="Arial" w:hAnsi="Arial"/>
          <w:sz w:val="24"/>
          <w:szCs w:val="24"/>
          <w:color w:val="auto"/>
          <w:vertAlign w:val="superscript"/>
        </w:rPr>
      </w:pPr>
      <w:r>
        <w:rPr>
          <w:rFonts w:ascii="Arial" w:cs="Arial" w:eastAsia="Arial" w:hAnsi="Arial"/>
          <w:sz w:val="17"/>
          <w:szCs w:val="17"/>
          <w:color w:val="auto"/>
        </w:rPr>
        <w:t>the material modification of the Executive Bonus Plan; and</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69"/>
        </w:numPr>
        <w:rPr>
          <w:rFonts w:ascii="Arial" w:cs="Arial" w:eastAsia="Arial" w:hAnsi="Arial"/>
          <w:sz w:val="23"/>
          <w:szCs w:val="23"/>
          <w:color w:val="auto"/>
          <w:vertAlign w:val="superscript"/>
        </w:rPr>
      </w:pPr>
      <w:r>
        <w:rPr>
          <w:rFonts w:ascii="Arial" w:cs="Arial" w:eastAsia="Arial" w:hAnsi="Arial"/>
          <w:sz w:val="16"/>
          <w:szCs w:val="16"/>
          <w:color w:val="auto"/>
        </w:rPr>
        <w:t>the first stockholders meeting at which members of our Board are elected during 2020.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00"/>
          </w:cols>
          <w:pgMar w:left="240" w:top="449" w:right="2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9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number of shares underlying outstanding stock options, the weighted-average exercise price of such outstanding options and the number of additional shares remaining available for future issuance under our equity plans, as of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REMAINING</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6"/>
              </w:rPr>
              <w:t>AVAILABLE FOR</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900"/>
              <w:spacing w:after="0" w:line="157" w:lineRule="exact"/>
              <w:rPr>
                <w:sz w:val="20"/>
                <w:szCs w:val="20"/>
                <w:color w:val="auto"/>
              </w:rPr>
            </w:pPr>
            <w:r>
              <w:rPr>
                <w:rFonts w:ascii="Arial" w:cs="Arial" w:eastAsia="Arial" w:hAnsi="Arial"/>
                <w:sz w:val="14"/>
                <w:szCs w:val="14"/>
                <w:b w:val="1"/>
                <w:bCs w:val="1"/>
                <w:color w:val="auto"/>
                <w:w w:val="99"/>
              </w:rPr>
              <w:t>WEIGHTED-</w:t>
            </w:r>
          </w:p>
        </w:tc>
        <w:tc>
          <w:tcPr>
            <w:tcW w:w="124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ISSUANCE</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6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9"/>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900"/>
              <w:spacing w:after="0" w:line="157" w:lineRule="exact"/>
              <w:rPr>
                <w:sz w:val="20"/>
                <w:szCs w:val="20"/>
                <w:color w:val="auto"/>
              </w:rPr>
            </w:pPr>
            <w:r>
              <w:rPr>
                <w:rFonts w:ascii="Arial" w:cs="Arial" w:eastAsia="Arial" w:hAnsi="Arial"/>
                <w:sz w:val="14"/>
                <w:szCs w:val="14"/>
                <w:b w:val="1"/>
                <w:bCs w:val="1"/>
                <w:color w:val="auto"/>
                <w:w w:val="98"/>
              </w:rPr>
              <w:t>AVERAGE</w:t>
            </w: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6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SECURITIES TO</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880"/>
              <w:spacing w:after="0" w:line="157" w:lineRule="exact"/>
              <w:rPr>
                <w:sz w:val="20"/>
                <w:szCs w:val="20"/>
                <w:color w:val="auto"/>
              </w:rPr>
            </w:pPr>
            <w:r>
              <w:rPr>
                <w:rFonts w:ascii="Arial" w:cs="Arial" w:eastAsia="Arial" w:hAnsi="Arial"/>
                <w:sz w:val="14"/>
                <w:szCs w:val="14"/>
                <w:b w:val="1"/>
                <w:bCs w:val="1"/>
                <w:color w:val="auto"/>
                <w:w w:val="98"/>
              </w:rPr>
              <w:t>EXERCISE</w:t>
            </w: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COMPENSATION</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6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BE ISSUED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880"/>
              <w:spacing w:after="0" w:line="157" w:lineRule="exact"/>
              <w:rPr>
                <w:sz w:val="20"/>
                <w:szCs w:val="20"/>
                <w:color w:val="auto"/>
              </w:rPr>
            </w:pPr>
            <w:r>
              <w:rPr>
                <w:rFonts w:ascii="Arial" w:cs="Arial" w:eastAsia="Arial" w:hAnsi="Arial"/>
                <w:sz w:val="14"/>
                <w:szCs w:val="14"/>
                <w:b w:val="1"/>
                <w:bCs w:val="1"/>
                <w:color w:val="auto"/>
                <w:w w:val="99"/>
              </w:rPr>
              <w:t>PRICE OF</w:t>
            </w: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6"/>
              </w:rPr>
              <w:t>PLANS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6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UPON EXERCISE</w:t>
            </w:r>
          </w:p>
        </w:tc>
        <w:tc>
          <w:tcPr>
            <w:tcW w:w="400" w:type="dxa"/>
            <w:vAlign w:val="bottom"/>
          </w:tcPr>
          <w:p>
            <w:pPr>
              <w:spacing w:after="0"/>
              <w:rPr>
                <w:sz w:val="13"/>
                <w:szCs w:val="13"/>
                <w:color w:val="auto"/>
              </w:rPr>
            </w:pPr>
          </w:p>
        </w:tc>
        <w:tc>
          <w:tcPr>
            <w:tcW w:w="1800" w:type="dxa"/>
            <w:vAlign w:val="bottom"/>
            <w:gridSpan w:val="3"/>
          </w:tcPr>
          <w:p>
            <w:pPr>
              <w:jc w:val="center"/>
              <w:ind w:right="800"/>
              <w:spacing w:after="0" w:line="157" w:lineRule="exact"/>
              <w:rPr>
                <w:sz w:val="20"/>
                <w:szCs w:val="20"/>
                <w:color w:val="auto"/>
              </w:rPr>
            </w:pPr>
            <w:r>
              <w:rPr>
                <w:rFonts w:ascii="Arial" w:cs="Arial" w:eastAsia="Arial" w:hAnsi="Arial"/>
                <w:sz w:val="14"/>
                <w:szCs w:val="14"/>
                <w:b w:val="1"/>
                <w:bCs w:val="1"/>
                <w:color w:val="auto"/>
                <w:w w:val="97"/>
              </w:rPr>
              <w:t>OUTSTANDING</w:t>
            </w: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(EXCLUDING</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6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8"/>
              </w:rPr>
              <w:t>OF OUTSTANDING</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900"/>
              <w:spacing w:after="0" w:line="157" w:lineRule="exact"/>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6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900"/>
              <w:spacing w:after="0" w:line="157" w:lineRule="exact"/>
              <w:rPr>
                <w:sz w:val="20"/>
                <w:szCs w:val="20"/>
                <w:color w:val="auto"/>
              </w:rPr>
            </w:pPr>
            <w:r>
              <w:rPr>
                <w:rFonts w:ascii="Arial" w:cs="Arial" w:eastAsia="Arial" w:hAnsi="Arial"/>
                <w:sz w:val="14"/>
                <w:szCs w:val="14"/>
                <w:b w:val="1"/>
                <w:bCs w:val="1"/>
                <w:color w:val="auto"/>
                <w:w w:val="97"/>
              </w:rPr>
              <w:t>WARRANTS</w:t>
            </w: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REFLECTED IN</w:t>
            </w:r>
          </w:p>
        </w:tc>
        <w:tc>
          <w:tcPr>
            <w:tcW w:w="0" w:type="dxa"/>
            <w:vAlign w:val="bottom"/>
          </w:tcPr>
          <w:p>
            <w:pPr>
              <w:spacing w:after="0"/>
              <w:rPr>
                <w:sz w:val="1"/>
                <w:szCs w:val="1"/>
                <w:color w:val="auto"/>
              </w:rPr>
            </w:pPr>
          </w:p>
        </w:tc>
      </w:tr>
      <w:tr>
        <w:trPr>
          <w:trHeight w:val="152"/>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w:t>
            </w:r>
          </w:p>
        </w:tc>
        <w:tc>
          <w:tcPr>
            <w:tcW w:w="1660" w:type="dxa"/>
            <w:vAlign w:val="bottom"/>
            <w:gridSpan w:val="2"/>
          </w:tcPr>
          <w:p>
            <w:pPr>
              <w:jc w:val="center"/>
              <w:ind w:right="380"/>
              <w:spacing w:after="0" w:line="152" w:lineRule="exact"/>
              <w:rPr>
                <w:sz w:val="20"/>
                <w:szCs w:val="20"/>
                <w:color w:val="auto"/>
              </w:rPr>
            </w:pPr>
            <w:r>
              <w:rPr>
                <w:rFonts w:ascii="Arial" w:cs="Arial" w:eastAsia="Arial" w:hAnsi="Arial"/>
                <w:sz w:val="14"/>
                <w:szCs w:val="14"/>
                <w:b w:val="1"/>
                <w:bCs w:val="1"/>
                <w:color w:val="auto"/>
              </w:rPr>
              <w:t>WARRANTS AND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880"/>
              <w:spacing w:after="0" w:line="152" w:lineRule="exact"/>
              <w:rPr>
                <w:sz w:val="20"/>
                <w:szCs w:val="20"/>
                <w:color w:val="auto"/>
              </w:rPr>
            </w:pPr>
            <w:r>
              <w:rPr>
                <w:rFonts w:ascii="Arial" w:cs="Arial" w:eastAsia="Arial" w:hAnsi="Arial"/>
                <w:sz w:val="14"/>
                <w:szCs w:val="14"/>
                <w:b w:val="1"/>
                <w:bCs w:val="1"/>
                <w:color w:val="auto"/>
                <w:w w:val="98"/>
              </w:rPr>
              <w:t>AND</w:t>
            </w:r>
          </w:p>
        </w:tc>
        <w:tc>
          <w:tcPr>
            <w:tcW w:w="124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rPr>
              <w:t>COLUMN(A))</w:t>
            </w:r>
          </w:p>
        </w:tc>
        <w:tc>
          <w:tcPr>
            <w:tcW w:w="0" w:type="dxa"/>
            <w:vAlign w:val="bottom"/>
          </w:tcPr>
          <w:p>
            <w:pPr>
              <w:spacing w:after="0"/>
              <w:rPr>
                <w:sz w:val="1"/>
                <w:szCs w:val="1"/>
                <w:color w:val="auto"/>
              </w:rPr>
            </w:pPr>
          </w:p>
        </w:tc>
      </w:tr>
      <w:tr>
        <w:trPr>
          <w:trHeight w:val="161"/>
        </w:trPr>
        <w:tc>
          <w:tcPr>
            <w:tcW w:w="6320" w:type="dxa"/>
            <w:vAlign w:val="bottom"/>
            <w:gridSpan w:val="2"/>
            <w:vMerge w:val="continue"/>
          </w:tcPr>
          <w:p>
            <w:pPr>
              <w:spacing w:after="0"/>
              <w:rPr>
                <w:sz w:val="13"/>
                <w:szCs w:val="13"/>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RIGHTS(A)</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9"/>
              </w:rPr>
              <w:t>RIGHTS(B)</w:t>
            </w:r>
          </w:p>
        </w:tc>
        <w:tc>
          <w:tcPr>
            <w:tcW w:w="1240" w:type="dxa"/>
            <w:vAlign w:val="bottom"/>
            <w:gridSpan w:val="2"/>
          </w:tcPr>
          <w:p>
            <w:pPr>
              <w:jc w:val="center"/>
              <w:ind w:right="100"/>
              <w:spacing w:after="0" w:line="161" w:lineRule="exact"/>
              <w:rPr>
                <w:sz w:val="20"/>
                <w:szCs w:val="20"/>
                <w:color w:val="auto"/>
              </w:rPr>
            </w:pPr>
            <w:r>
              <w:rPr>
                <w:rFonts w:ascii="Arial" w:cs="Arial" w:eastAsia="Arial" w:hAnsi="Arial"/>
                <w:sz w:val="11"/>
                <w:szCs w:val="11"/>
                <w:b w:val="1"/>
                <w:bCs w:val="1"/>
                <w:color w:val="auto"/>
              </w:rPr>
              <w:t xml:space="preserve">(C)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gridSpan w:val="2"/>
            <w:shd w:val="clear" w:color="auto" w:fill="CCEEFF"/>
          </w:tcPr>
          <w:p>
            <w:pPr>
              <w:spacing w:after="0" w:line="157" w:lineRule="exact"/>
              <w:rPr>
                <w:sz w:val="20"/>
                <w:szCs w:val="20"/>
                <w:color w:val="auto"/>
              </w:rPr>
            </w:pPr>
            <w:r>
              <w:rPr>
                <w:rFonts w:ascii="Arial" w:cs="Arial" w:eastAsia="Arial" w:hAnsi="Arial"/>
                <w:sz w:val="17"/>
                <w:szCs w:val="17"/>
                <w:color w:val="auto"/>
              </w:rPr>
              <w:t>Equity compensation plans approved by security holders</w:t>
            </w: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960" w:type="dxa"/>
            <w:vAlign w:val="bottom"/>
          </w:tcPr>
          <w:p>
            <w:pPr>
              <w:ind w:left="140"/>
              <w:spacing w:after="0" w:line="184" w:lineRule="exact"/>
              <w:rPr>
                <w:sz w:val="20"/>
                <w:szCs w:val="20"/>
                <w:color w:val="auto"/>
              </w:rPr>
            </w:pPr>
            <w:r>
              <w:rPr>
                <w:rFonts w:ascii="Arial" w:cs="Arial" w:eastAsia="Arial" w:hAnsi="Arial"/>
                <w:sz w:val="17"/>
                <w:szCs w:val="17"/>
                <w:color w:val="auto"/>
              </w:rPr>
              <w:t>2014 Equity Incentive Plan</w:t>
            </w:r>
          </w:p>
        </w:tc>
        <w:tc>
          <w:tcPr>
            <w:tcW w:w="166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1,794,709</w:t>
            </w:r>
          </w:p>
        </w:tc>
        <w:tc>
          <w:tcPr>
            <w:tcW w:w="50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780"/>
              <w:spacing w:after="0" w:line="184" w:lineRule="exact"/>
              <w:rPr>
                <w:sz w:val="20"/>
                <w:szCs w:val="20"/>
                <w:color w:val="auto"/>
              </w:rPr>
            </w:pPr>
            <w:r>
              <w:rPr>
                <w:rFonts w:ascii="Arial" w:cs="Arial" w:eastAsia="Arial" w:hAnsi="Arial"/>
                <w:sz w:val="17"/>
                <w:szCs w:val="17"/>
                <w:color w:val="auto"/>
              </w:rPr>
              <w:t>15.42</w:t>
            </w:r>
          </w:p>
        </w:tc>
        <w:tc>
          <w:tcPr>
            <w:tcW w:w="12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424,902</w:t>
            </w:r>
          </w:p>
        </w:tc>
        <w:tc>
          <w:tcPr>
            <w:tcW w:w="0" w:type="dxa"/>
            <w:vAlign w:val="bottom"/>
          </w:tcPr>
          <w:p>
            <w:pPr>
              <w:spacing w:after="0"/>
              <w:rPr>
                <w:sz w:val="1"/>
                <w:szCs w:val="1"/>
                <w:color w:val="auto"/>
              </w:rPr>
            </w:pPr>
          </w:p>
        </w:tc>
      </w:tr>
      <w:tr>
        <w:trPr>
          <w:trHeight w:val="183"/>
        </w:trPr>
        <w:tc>
          <w:tcPr>
            <w:tcW w:w="632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Equity compensation plans not approved by security holders</w:t>
            </w:r>
          </w:p>
        </w:tc>
        <w:tc>
          <w:tcPr>
            <w:tcW w:w="166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780"/>
              <w:spacing w:after="0" w:line="18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3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660" w:type="dxa"/>
            <w:vAlign w:val="bottom"/>
            <w:gridSpan w:val="2"/>
          </w:tcPr>
          <w:p>
            <w:pPr>
              <w:jc w:val="right"/>
              <w:ind w:right="400"/>
              <w:spacing w:after="0"/>
              <w:rPr>
                <w:sz w:val="20"/>
                <w:szCs w:val="20"/>
                <w:color w:val="auto"/>
              </w:rPr>
            </w:pPr>
            <w:r>
              <w:rPr>
                <w:rFonts w:ascii="Arial" w:cs="Arial" w:eastAsia="Arial" w:hAnsi="Arial"/>
                <w:sz w:val="17"/>
                <w:szCs w:val="17"/>
                <w:color w:val="auto"/>
              </w:rPr>
              <w:t>1,794,709</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780"/>
              <w:spacing w:after="0"/>
              <w:rPr>
                <w:sz w:val="20"/>
                <w:szCs w:val="20"/>
                <w:color w:val="auto"/>
              </w:rPr>
            </w:pPr>
            <w:r>
              <w:rPr>
                <w:rFonts w:ascii="Arial" w:cs="Arial" w:eastAsia="Arial" w:hAnsi="Arial"/>
                <w:sz w:val="17"/>
                <w:szCs w:val="17"/>
                <w:color w:val="auto"/>
              </w:rPr>
              <w:t>15.42</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424,902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4" w:lineRule="exact"/>
        <w:rPr>
          <w:sz w:val="20"/>
          <w:szCs w:val="20"/>
          <w:color w:val="auto"/>
        </w:rPr>
      </w:pPr>
    </w:p>
    <w:p>
      <w:pPr>
        <w:ind w:left="340" w:hanging="296"/>
        <w:spacing w:after="0"/>
        <w:tabs>
          <w:tab w:leader="none" w:pos="3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Includes securities that may be issued as stock options, restricted shares and restricted stock units.</w:t>
      </w:r>
    </w:p>
    <w:p>
      <w:pPr>
        <w:spacing w:after="0" w:line="130" w:lineRule="exact"/>
        <w:rPr>
          <w:rFonts w:ascii="Arial" w:cs="Arial" w:eastAsia="Arial" w:hAnsi="Arial"/>
          <w:sz w:val="24"/>
          <w:szCs w:val="24"/>
          <w:color w:val="auto"/>
          <w:vertAlign w:val="superscript"/>
        </w:rPr>
      </w:pPr>
    </w:p>
    <w:p>
      <w:pPr>
        <w:ind w:left="5580"/>
        <w:spacing w:after="0"/>
        <w:rPr>
          <w:rFonts w:ascii="Arial" w:cs="Arial" w:eastAsia="Arial" w:hAnsi="Arial"/>
          <w:sz w:val="24"/>
          <w:szCs w:val="24"/>
          <w:color w:val="auto"/>
          <w:vertAlign w:val="superscript"/>
        </w:rPr>
      </w:pPr>
      <w:r>
        <w:rPr>
          <w:rFonts w:ascii="Arial" w:cs="Arial" w:eastAsia="Arial" w:hAnsi="Arial"/>
          <w:sz w:val="16"/>
          <w:szCs w:val="16"/>
          <w:color w:val="auto"/>
        </w:rPr>
        <w:t>119</w:t>
      </w:r>
    </w:p>
    <w:p>
      <w:pPr>
        <w:sectPr>
          <w:pgSz w:w="11900" w:h="16838" w:orient="portrait"/>
          <w:cols w:equalWidth="0" w:num="1">
            <w:col w:w="11420"/>
          </w:cols>
          <w:pgMar w:left="240" w:top="449"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33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Set forth below is a description of certain relationships and related person transactions between us or our subsidiaries, and our directors, executive officers and holders of more than 5% of our voting securities since January 1, 2013. We believe that all of the following transactions were entered into with terms as favorable as could have been obtained from unaffiliated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Transaction</w:t>
      </w:r>
    </w:p>
    <w:p>
      <w:pPr>
        <w:spacing w:after="0" w:line="96"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April 2014, an affiliate of Cinven acquired 100% of the outstanding shares of Medpace IntermediateCo for an aggregate purchase price of $921.3 million. In connection with the acquisition, certain employees of the Company, through MPI, agreed to contribute shares held in Medpace IntermediateCo in exchange for a percentage stake in Medpace Holdings, Inc. Immediately following the Transaction, Cinven and MPI owned approximately 75% and 25%, respectively, of Medpace Holdings, Inc. Upon the completion of this offering, Cinven will own approximately % of the outstanding shares of our common stock (or % if the underwriters exercise their option to purchase additional shares in full).</w:t>
      </w:r>
    </w:p>
    <w:p>
      <w:pPr>
        <w:spacing w:after="0" w:line="194"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In addition, in connection with the Transaction and pursuant to the Agreement and Plan of Merger dated February 22, 2014, we agreed to indemnify former directors, officers, employees and certain other affiliates of our predecessor company with respect to all acts or omissions by them in their capacities as such.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 Fees</w:t>
      </w:r>
    </w:p>
    <w:p>
      <w:pPr>
        <w:spacing w:after="0" w:line="8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After the consummation of the Transaction, we entered into the Advisory Services Agreement with an affiliate of Cinven. Under the Advisory Services Agreement, we owe $0.3 million annually to such affiliate of Cinven in exchange for advisory and consulting services. For the Successor six months ended June 30, 2016 and June 30, 2015, the Successor year ended December 31, 2015 and the Successor nine month period ended December 31, 2014 we incurred Advisory Service Agreement management fees of $0.2 million, $0.2 million, $0.3 million and $0.2 million, and $0.1 million, $0.1 million, $0.1 million and $0.1 million in related travel expenses, respectively. As of June 30, 2016, December 31, 2015 and December 31, 2014, we had outstanding accounts payable to Cinven of $0.1 million, $0.1 million and $0.1 million, respectively. We paid $21.7 million in expenses related to the Transaction on behalf of or to Cinven and CCMP.</w:t>
      </w:r>
    </w:p>
    <w:p>
      <w:pPr>
        <w:spacing w:after="0" w:line="141"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We were obligated to pay management fees to a subsidiary of CCMP and incurred $0.1 million and $0.3 million in such fees for the Predecessor three month period ended March 31, 2014 and the Predecessor year ended December 31, 2013,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Advisory Services Agreement will terminate in connection with the consummation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Fees</w:t>
      </w:r>
    </w:p>
    <w:p>
      <w:pPr>
        <w:spacing w:after="0" w:line="83"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In 2014, we paid $1.7 million in consulting fees to Fairmount Partners LP in connection with the Transaction. A managing director of this firm, Cornelius McCarthy, was a member of our Board at the time the fee was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96"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380"/>
          </w:cols>
          <w:pgMar w:left="240" w:top="449" w:right="2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9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intend to enter into a Registration Rights Agreement with Cinven and Dr. Troendle in connection with this offering. The Registration Rights Agreement will provide Cinven and Dr. Troendle certain registration rights whereby, at any time following our initial public offering and the expiration of any related lock-up period, Cinven and Dr. Troendle can require us to register under the Securities Act shares of our common stock held by them. When we become and for so long as we are eligible to use Form S-3 under the Securities Act, Cinven and Dr. Troendle will have shelf registration rights requiring us to file a shelf registration statement and to maintain the effectiveness of such registration statement so as to allow sales thereunder from time to time. Cinven and</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Dr. Troendle are also entitled to participate on a pro rata basis in any registration of our common stock under the Securities Act that we may undertake. The registration rights agreement also provides that we will pay certain expenses relating to such registrations and indemnify Cinven and Dr. Troendle and members of management participating in any offering against certain liabilities which may arise under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Compensation</w:t>
      </w:r>
    </w:p>
    <w:p>
      <w:pPr>
        <w:spacing w:after="0" w:line="8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Our directors who are employed by us or our subsidiaries do not receive any compensation and will not receive compensation following this offering, except as limited to expense reimbursement. Our other directors will receive compensation for their service as members of our Board. See “Executive and Director Compensation—Director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83" w:lineRule="exact"/>
        <w:rPr>
          <w:sz w:val="20"/>
          <w:szCs w:val="20"/>
          <w:color w:val="auto"/>
        </w:rPr>
      </w:pPr>
    </w:p>
    <w:p>
      <w:pPr>
        <w:ind w:right="860"/>
        <w:spacing w:after="0" w:line="235" w:lineRule="auto"/>
        <w:rPr>
          <w:sz w:val="20"/>
          <w:szCs w:val="20"/>
          <w:color w:val="auto"/>
        </w:rPr>
      </w:pPr>
      <w:r>
        <w:rPr>
          <w:rFonts w:ascii="Arial" w:cs="Arial" w:eastAsia="Arial" w:hAnsi="Arial"/>
          <w:sz w:val="17"/>
          <w:szCs w:val="17"/>
          <w:color w:val="auto"/>
        </w:rPr>
        <w:t>We currently have an employment agreement with our Chief Executive Officer and founder, Dr. August J. Troendle. See “Executive and Director Compensation—Employment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96"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We intend to enter into new indemnification agreements with each of our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as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Agreements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Symplmed Pharmaceuticals, LLC, or Symplmed</w:t>
      </w:r>
    </w:p>
    <w:p>
      <w:pPr>
        <w:spacing w:after="0" w:line="47"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2013, we entered into a master services agreement, or the Symplmed MSA, with Symplmed, a private pharmaceutical development company that is majority owned by MPI. The Symplmed MSA provided that we would perform Symplmed’s clinical trials. In 2014, we entered into an amended master services agreement, or the Amended Symplmed MSA, with Symplmed. The Amended Symplmed MSA provides for a revised financing arrangement, which allows Symplmed to defer payments owed to us. In return, we can charge a premium for our services as consideration for the deferred payment concessions.</w:t>
      </w:r>
    </w:p>
    <w:p>
      <w:pPr>
        <w:spacing w:after="0" w:line="141" w:lineRule="exact"/>
        <w:rPr>
          <w:sz w:val="20"/>
          <w:szCs w:val="20"/>
          <w:color w:val="auto"/>
        </w:rPr>
      </w:pPr>
    </w:p>
    <w:p>
      <w:pPr>
        <w:jc w:val="both"/>
        <w:ind w:right="160"/>
        <w:spacing w:after="0" w:line="231" w:lineRule="auto"/>
        <w:rPr>
          <w:sz w:val="20"/>
          <w:szCs w:val="20"/>
          <w:color w:val="auto"/>
        </w:rPr>
      </w:pPr>
      <w:r>
        <w:rPr>
          <w:rFonts w:ascii="Arial" w:cs="Arial" w:eastAsia="Arial" w:hAnsi="Arial"/>
          <w:sz w:val="17"/>
          <w:szCs w:val="17"/>
          <w:color w:val="auto"/>
        </w:rPr>
        <w:t>At its inception in 2013, Symplmed was majority owned by our Chief Executive Officer, who was elected to Symplmed’s board of directors that year along with our Chief Financial Officer and our General Counsel. In 2014 and 2015, our Chief Executive Officer and other executives made equity investments in Symplmed, which are now held through MPI.</w:t>
      </w:r>
    </w:p>
    <w:p>
      <w:pPr>
        <w:spacing w:after="0" w:line="143"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For the Successor six months ended June 30, 2016 and June 30, 2015, the Successor year ended December 31, 2015, the Successor nine month period ended December 31, 2014, the Predecessor three month period ended March 31, 2014 and the Predecessor year ended December 31, 2013, we recognized related person transactions of $0.4 million, $0.5 million, $1.2 million, $1.2 million, less than $0.1 million and less than $0.1 million as net service revenue, respectively. As of June 30, 2016 and December 31, 2015, we had Symplmed related accounts receivable of $0.4 million and $0.3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Symplmed leases office space from us at our corporate headquarters in Cincinnati.</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380"/>
          </w:cols>
          <w:pgMar w:left="240" w:top="449" w:right="2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Coherus BioSciences, Inc., or Coherus, and MX II Associates, LLC, or MXII</w:t>
      </w:r>
    </w:p>
    <w:p>
      <w:pPr>
        <w:spacing w:after="0" w:line="47"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In 2011, MXII, an entity of which our Chief Executive Officer is the managing member, made an equity investment in Coherus, a biosimilar therapeutics developer. In early 2012, we made a $2.5 million equity investment in Coherus. Concurrent with its initial investment, MXII secured the exclusive rights for us to perform Phase I–III clinical trial work for certain of Coherus’ bio-similar drug compounds through a master services agreement, or the Coherus MSA. In return, we entered into a commission agreement with MXII, which provided that we would pay a 10% sales commission to MXII for cash received from Coherus. The commission agreement between us and MXII was terminated in 2015. The Coherus MSA remains in place.</w:t>
      </w:r>
    </w:p>
    <w:p>
      <w:pPr>
        <w:spacing w:after="0" w:line="13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paid $0.3 million in sales commissions to MXII in 2012 related to a $2.5 million advance payment received from Coherus. We also paid commissions of $1.1 million, $1.1 million, $0.6 million and $0.3 million for the Successor six months ended June 30, 2015, the Successor year ended December 31, 2015, the Successor nine month period ended December 31, 2014 and the Predecessor three month period ended March 31, 2014, respectively. For the Successor six months ended June 30, 2016 and June 30, 2015, the Successor year ended December 31, 2015, the Successor nine month period December 31, 2014, the Predecessor three month period ended March 31, 2014 and the Predecessor year ended December 31, 2013, we recognized net service revenue from Coherus of $11.4 million, $10.9 million, $22.1 million, $10.6 million, $2.0 million, and $3.3 million, respectively. In addition, we recognized reimbursed out-of-pocket revenue and reimbursed out-of-pocket expenses of $2.9 million, $4.2 million, $6.9 million, $2.0 million, $0.1 million and $0.1 million for the Successor six months ended June 30, 2016 and June 30, 2015, the Successor year ended December 31, 2015, the Successor nine month period ended December 31, 2014, the Predecessor three month period ended March 31, 2014 and the Predecessor year ended December 31, 2013, respectively. As of June 30, 2016, December 31, 2015 and December 31, 2014, we had recorded accounts receivable from Coherus of $2.6 million, $2.0 million and $0.7 million, respectively. We also reported advanced billings of $9.5 million, $8.4 million and $5.3 million and pre-funded study costs of $4.1 million, $3.5 million and $2.6 million from Coherus as of June 30, 2016, December 31, 2015 and 2014, respectively. Coherus was our largest customer for Successor six months ended June 30, 2016 and the Successor year ended December 31, 2015, accounting for 6.3% and 6.9% of our net service revenue, respectively.</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of December 31, 2013, we recorded an impairment loss of $2.3 million on our equity investment in Coherus in contemplation of the ultimate liquidation of this investment prior to the Transaction. In March 2014, the investment was sold to MPI for $0.3 million.</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Dr. Troendle directly and indirectly beneficially owns 5.4% of the outstanding common stock of Coherus according to public filings of Coherus. Such shares consist of 29,994 shares held directly by Dr. Troendle, 1,642,492 shares held by MXII, an entity for which Dr. Troendle serves as managing member, and 268,428 shares held by MPI, an entity for which Dr. Troendle serves as the manager. Dr. Troendle disclaims beneficial ownership of the shares held by MXII and MPI, except to the extent of his pecuniary interest therein. Additionally, MXII also holds $4.0 million in aggregate principal amount of Coherus’ 8.2% senior convertible notes due 2022.</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Xenon Pharmaceuticals, Inc., or Xenon</w:t>
      </w:r>
    </w:p>
    <w:p>
      <w:pPr>
        <w:spacing w:after="0" w:line="47"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Our Chief Executive Officer has an equity investment in Xenon, a clinical-stage biopharmaceutical company. Dr. Troendle was also a member of Xenon’s board of directors from 2007 to 2008. In June 2006, we entered into a master services agreement with Xenon. In July 2015, we entered into an amended master services agreement with Xenon to provide certain clinical development services to Xenon. For the Successor six months ended June 30, 2016 and June 30, 2015, and the Successor year ended December 31, 2015, we recognized net service revenue of $0.4 million, $0.1 million and $0.7 million related to Xenon, respectively. As of June 30, 2016 and December 31, 2015, we had $1.9 million and $1.8 million and $0.2 million and $0.2 million of advanced billings and pre-funded study costs, respectively, related to Xenon.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Medpace Investors, LLC</w:t>
      </w:r>
    </w:p>
    <w:p>
      <w:pPr>
        <w:spacing w:after="0" w:line="83" w:lineRule="exact"/>
        <w:rPr>
          <w:sz w:val="20"/>
          <w:szCs w:val="20"/>
          <w:color w:val="auto"/>
        </w:rPr>
      </w:pPr>
    </w:p>
    <w:p>
      <w:pPr>
        <w:ind w:right="360"/>
        <w:spacing w:after="0" w:line="230" w:lineRule="auto"/>
        <w:rPr>
          <w:sz w:val="20"/>
          <w:szCs w:val="20"/>
          <w:color w:val="auto"/>
        </w:rPr>
      </w:pPr>
      <w:r>
        <w:rPr>
          <w:rFonts w:ascii="Arial" w:cs="Arial" w:eastAsia="Arial" w:hAnsi="Arial"/>
          <w:sz w:val="17"/>
          <w:szCs w:val="17"/>
          <w:color w:val="auto"/>
        </w:rPr>
        <w:t>MPI is a noncontrolling shareholder of the Company that is owned by employees of the Company. Our Chief Executive Officer is the sole manager and holder of a majority of the units of MPI and our other executive officers and certain other employees are unit holders of MPI. Upon a distribution of our common stock held by MPI, our Chief Executive Officer would receive approximately 73% of such shares. We act as a paying agent for MPI with taxing authorities principally in instances when employee tax payments or remittance of withholdings related 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20"/>
          </w:cols>
          <w:pgMar w:left="240" w:top="449"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equity compensation are required. For the Successor six months ended June 30, 2016 and June 30, 2015, the Successor year ended December 31, 2015 and the Successor nine month period ended December 31, 2014, we paid $0.8 million, $0.9 million, $0.9 million and $1.4 million to various taxing authorities on behalf of MPI, respectively. No payments were made by the Company to various taxing authorities on behalf of MPI in the Predecessor three month period ended March 31, 2014 or the Predecessor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Leased Real Estate</w:t>
      </w:r>
    </w:p>
    <w:p>
      <w:pPr>
        <w:spacing w:after="0" w:line="96"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 October 2010, we entered into an operating lease with 100 Medpace Way, LLC, or 100 MW, which is wholly owned by our Chief Executive Officer. The lease has an initial term of 12 years with a renewal option for one 10-year term at prevailing market rates. We pay rent, taxes, insurance and maintenance expenses that arise from use of the property. The annual base rent in effect as of December 31, 2015 was $2.1 million. The lease allows for adjustments to the rental rate annually for increases in the consumer price index. For the Successor six months ended June 30, 2016 and June 30, 2015, the Successor year ended December 31, 2015, the Successor nine month period ended December 31, 2014, the Predecessor three month period ended March 31, 2014 and the Predecessor year ended December 31, 2013, lease expense for 100 MW of $1.1 million, $1.1 million, $2.1 million, $1.6 million, $0.5 million and $2.1 million, respectively, were recorded. Additionally, we prepaid $0.2 million in lease payments to 100 MW, which was recorded as a component of prepaid expenses and other current assets as of December 31, 2014.</w:t>
      </w:r>
    </w:p>
    <w:p>
      <w:pPr>
        <w:spacing w:after="0" w:line="14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entered into two leases of office space, commencing in July 2012 and September 2012, with 200 Medpace Way, LLC, or 200 MW, and 300 Medpace Way, LLC, or 300 MW, respectively. 200 MW and 300 MW are wholly owned by our Chief Executive Officer and certain of his immediate family members. Each lease has an initial term of 15 years with a renewal option for one 10-year term at prevailing market rates. The annual base rent in effect as of December 31, 2015 for the 200 MW lease and the 300 MW lease was $2.6 million and $1.1 million, respectively. The obligation was initially recorded by us at its net present value using the notional rates implicit in the lease agreements. We revalued the liability by calculating the net present value using our incremental borrowing rate at the time of the Transaction. For the Successor six months ended June 30, 2016 and June 30, 2015, the Successor year ended December 31, 2015, the Successor nine month period ended December 31, 2014, the Predecessor three month period ended March 31, 2014 and the year ended December 31, 2013, we recorded lease payments of $1.9 million, $1.6 million, $3.4 million, $3.1 million, $0.9 million and $2.7 million, respectively.</w:t>
      </w:r>
    </w:p>
    <w:p>
      <w:pPr>
        <w:spacing w:after="0" w:line="14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From time to time in the past we have entered into, and in the future we may enter into, lease arrangements with entities directly or indirectly controlled by our executive officers, including our Chief Executive Officer and founder.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Travel Services</w:t>
      </w:r>
    </w:p>
    <w:p>
      <w:pPr>
        <w:spacing w:after="0" w:line="83"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We incur expenses for travel services for company executives provided by a private aviation charter company, or ATSB Aviation, which is owned by our Chief Executive Officer and our Senior Vice President of Operations. We may contract directly with ATSB Aviation for the use of its aircraft or indirectly through a third party aircraft management and jet charter company, or Reynolds Jet Management. The travel services provided are primarily for business purposes, with any personal travel paid for as part of the executives’ compensation arrangements. Reynolds Jet Management also makes the ATSB Aviation aircraft available to other third parties. Medpace incurred travel expenses of $0.5 million, $0.5 million, $0.9 million, $0.5 million and $0.1 million for the Successor six months ended June 30, 2016 and June 30, 2015, the Successor year ended December 31, 2015, the Successor nine month period ended December 31, 2014 and the Predecessor three month period ended March 31, 2014, respectively, related to these travel services. For more information, see “Executive and Director Compensation—Narrative to Summary Compensation Table—Aircraft Usage.”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Purchases</w:t>
      </w:r>
    </w:p>
    <w:p>
      <w:pPr>
        <w:spacing w:after="0" w:line="83"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color w:val="auto"/>
        </w:rPr>
        <w:t>In 2013, our Chief Executive Officer entered into a stock purchase agreement with the Company that permitted him to purchase 120,000 shares of our common stock at the then-current market value for those shares. In exchange, our Chief Executive Officer agreed to forfeit his ownership of 80,000 unvested stock options that were originally scheduled to vest at various dates through 2016. Proceeds of $1.2 million from this stock purchase were reflected as stock issued and proceeds from sale of common stock for the Predecessor year ended December 31, 2013.</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340"/>
          </w:cols>
          <w:pgMar w:left="240" w:top="449" w:right="3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Obligations Related to Former Owners</w:t>
      </w:r>
    </w:p>
    <w:p>
      <w:pPr>
        <w:spacing w:after="0" w:line="96"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As part of the stock purchase agreement dated June 17, 2011, or the Predecessor Purchase Agreement, for the purchase of Medpace, Inc. by CCMP, the sellers (a group led by our current Chief Executive Officer, referred to as the “Former Owners”) and the buyers (led by CCMP) agreed to certain tax indemnifications regarding contingencies that could arise after the June 17, 2011 acquisition, and tax payments or refunds that were finalized after June 17, 2011, but which related to periods prior to that date. In February 2015, a settlement was reached with a local taxing authority regarding the refund of income tax payments made by the Company prior to June 17, 2011. As of June 30, 2016, December 31, 2015 and December 31, 2014, Medpace had $0.2 million, $0.4 million and $0.6 million in prepaid expenses and other current assets and other assets related to the tax refund due from the local taxing authority, and $0.2 million, $0.4 million and $0.6 million in other current liabilities and other long-term liabilities, representing an obligation to the Former Owners. We had $0.0 million, $0.1 million and $0.1 million in prepaid expenses and other current assets, and $0.0 million, $0.1 million and $0.3 million in other current liabilities as of June 30, 2016, December 31, 2015 and December 31, 2014, respectively, associated with refunds from various other taxing authorities that were generated prior to June 17, 2011.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83"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Our Chief Executive Officer and founder, Dr. August J. Troendle and our Senior Vice President of Operations, Susan E. Burwig, each of whom is an executive officer, cohabitate. For information regarding each of their compensation arrangements, see “Executive and Director Compensation.”</w:t>
      </w:r>
    </w:p>
    <w:p>
      <w:pPr>
        <w:spacing w:after="0" w:line="125"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We provided our former Chief Operating Officer, Kurt A. Brykman, with a cash severance and reimbursement of COBRA benefits of approximately $0.3 million in connection with his termination of employment in July 2015. For additional information, see “Executive and Director Compensation.”</w:t>
      </w:r>
    </w:p>
    <w:p>
      <w:pPr>
        <w:spacing w:after="0" w:line="193"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 million in shares of our common stock in this offering at the initial public offering price. Assuming an initial public offering price of $ per share, which is the midpoint of the price range set forth on the cover page of this prospectus, Dr. Troendle would purchase an aggregate of up to approximately of the shares in this offering</w:t>
      </w:r>
    </w:p>
    <w:p>
      <w:pPr>
        <w:ind w:right="60"/>
        <w:spacing w:after="0" w:line="231" w:lineRule="auto"/>
        <w:rPr>
          <w:sz w:val="20"/>
          <w:szCs w:val="20"/>
          <w:color w:val="auto"/>
        </w:rPr>
      </w:pPr>
      <w:r>
        <w:rPr>
          <w:rFonts w:ascii="Arial" w:cs="Arial" w:eastAsia="Arial" w:hAnsi="Arial"/>
          <w:sz w:val="17"/>
          <w:szCs w:val="17"/>
          <w:color w:val="auto"/>
        </w:rPr>
        <w:t>based on this indications of interest.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for Approval of Related Person Transactions</w:t>
      </w:r>
    </w:p>
    <w:p>
      <w:pPr>
        <w:spacing w:after="0" w:line="83" w:lineRule="exact"/>
        <w:rPr>
          <w:sz w:val="20"/>
          <w:szCs w:val="20"/>
          <w:color w:val="auto"/>
        </w:rPr>
      </w:pPr>
    </w:p>
    <w:p>
      <w:pPr>
        <w:jc w:val="both"/>
        <w:ind w:right="280"/>
        <w:spacing w:after="0" w:line="239" w:lineRule="auto"/>
        <w:rPr>
          <w:sz w:val="20"/>
          <w:szCs w:val="20"/>
          <w:color w:val="auto"/>
        </w:rPr>
      </w:pPr>
      <w:r>
        <w:rPr>
          <w:rFonts w:ascii="Arial" w:cs="Arial" w:eastAsia="Arial" w:hAnsi="Arial"/>
          <w:sz w:val="16"/>
          <w:szCs w:val="16"/>
          <w:color w:val="auto"/>
        </w:rPr>
        <w:t>In connection with this offering, we will adopt a written policy relating to the approval of related person transactions. Our audit committee will review and approve or ratify all relationships and related person transactions between us and (i) our directors, executive officers or their immediate family members,</w:t>
      </w:r>
    </w:p>
    <w:p>
      <w:pPr>
        <w:ind w:firstLine="5"/>
        <w:spacing w:after="0" w:line="228" w:lineRule="auto"/>
        <w:tabs>
          <w:tab w:leader="none" w:pos="23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5% record or beneficial owner of our common stock, or (iii) any immediate family member of any person specified in (i) and (ii) above. The audit committee will review all such related person transactions and, where the audit committee determines that such transactions are in our best interests, approve such transactions in advance of such related person transaction being given effect. 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whether the transaction is on terms comparable to those that could be obtained in an arm’s length transaction with an unrelated person, the extent of the related person’s interest in the transaction and various factors enumerated in the policy.</w:t>
      </w:r>
    </w:p>
    <w:p>
      <w:pPr>
        <w:spacing w:after="0" w:line="14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420"/>
          </w:cols>
          <w:pgMar w:left="240" w:top="449" w:right="2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SHAREHOLDERS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beneficial ownership of our common stock as of June 30, 2016 and immediately after the completion of this offering by</w:t>
      </w:r>
    </w:p>
    <w:p>
      <w:pPr>
        <w:ind w:right="360" w:firstLine="5"/>
        <w:spacing w:after="0" w:line="235" w:lineRule="auto"/>
        <w:tabs>
          <w:tab w:leader="none" w:pos="249"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 the beneficial owner of 5% or more of our outstanding common stock, (2) each of our directors, (3) each of our executive officers and (4) all of our directors and executive officers as a group.</w:t>
      </w:r>
    </w:p>
    <w:p>
      <w:pPr>
        <w:spacing w:after="0" w:line="141"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To our knowledge, each person named in the table has sole voting and investment power with respect to all of the securities shown as beneficially owned by such person, except as otherwise set forth in the notes to the table. The number of securities shown represents the number of securities the person “beneficially owns,” as determined by the rules of the SEC. The SEC has defined “beneficial” ownership of a security to mean the possession, directly or indirectly, of voting power and/or investment power. A security holder is also deemed to be, as of any date, the beneficial owner of all securities that such security holder has the right to acquire within 60 days after that date through (1) the exercise of any option, warrant or right, (2) the conversion of a security,</w:t>
      </w:r>
    </w:p>
    <w:p>
      <w:pPr>
        <w:spacing w:after="0" w:line="1" w:lineRule="exact"/>
        <w:rPr>
          <w:sz w:val="20"/>
          <w:szCs w:val="20"/>
          <w:color w:val="auto"/>
        </w:rPr>
      </w:pPr>
    </w:p>
    <w:p>
      <w:pPr>
        <w:ind w:right="360" w:firstLine="5"/>
        <w:spacing w:after="0" w:line="235" w:lineRule="auto"/>
        <w:tabs>
          <w:tab w:leader="none" w:pos="24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power to revoke a trust, discretionary account or similar arrangement, or (4) the automatic termination of a trust, discretionary account or similar arrangement.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reflect beneficial ownership immediately prior to and immediately after the completion of this offering as determined in accordance with</w:t>
      </w:r>
    </w:p>
    <w:p>
      <w:pPr>
        <w:spacing w:after="0"/>
        <w:tabs>
          <w:tab w:leader="none" w:pos="4720" w:val="left"/>
          <w:tab w:leader="none" w:pos="8860" w:val="left"/>
        </w:tabs>
        <w:rPr>
          <w:sz w:val="20"/>
          <w:szCs w:val="20"/>
          <w:color w:val="auto"/>
        </w:rPr>
      </w:pPr>
      <w:r>
        <w:rPr>
          <w:rFonts w:ascii="Arial" w:cs="Arial" w:eastAsia="Arial" w:hAnsi="Arial"/>
          <w:sz w:val="17"/>
          <w:szCs w:val="17"/>
          <w:color w:val="auto"/>
        </w:rPr>
        <w:t>Rule 13d-3 under the Exchange Act and are based on</w:t>
      </w:r>
      <w:r>
        <w:rPr>
          <w:sz w:val="20"/>
          <w:szCs w:val="20"/>
          <w:color w:val="auto"/>
        </w:rPr>
        <w:tab/>
      </w:r>
      <w:r>
        <w:rPr>
          <w:rFonts w:ascii="Arial" w:cs="Arial" w:eastAsia="Arial" w:hAnsi="Arial"/>
          <w:sz w:val="17"/>
          <w:szCs w:val="17"/>
          <w:color w:val="auto"/>
        </w:rPr>
        <w:t>shares of our common stock outstanding as of</w:t>
      </w:r>
      <w:r>
        <w:rPr>
          <w:sz w:val="20"/>
          <w:szCs w:val="20"/>
          <w:color w:val="auto"/>
        </w:rPr>
        <w:tab/>
      </w:r>
      <w:r>
        <w:rPr>
          <w:rFonts w:ascii="Arial" w:cs="Arial" w:eastAsia="Arial" w:hAnsi="Arial"/>
          <w:sz w:val="16"/>
          <w:szCs w:val="16"/>
          <w:color w:val="auto"/>
        </w:rPr>
        <w:t>, 2016 and assumes there</w:t>
      </w:r>
    </w:p>
    <w:p>
      <w:pPr>
        <w:spacing w:after="0" w:line="225" w:lineRule="auto"/>
        <w:tabs>
          <w:tab w:leader="none" w:pos="1000" w:val="left"/>
        </w:tabs>
        <w:rPr>
          <w:sz w:val="20"/>
          <w:szCs w:val="20"/>
          <w:color w:val="auto"/>
        </w:rPr>
      </w:pPr>
      <w:r>
        <w:rPr>
          <w:rFonts w:ascii="Arial" w:cs="Arial" w:eastAsia="Arial" w:hAnsi="Arial"/>
          <w:sz w:val="17"/>
          <w:szCs w:val="17"/>
          <w:color w:val="auto"/>
        </w:rPr>
        <w:t>are</w:t>
      </w:r>
      <w:r>
        <w:rPr>
          <w:sz w:val="20"/>
          <w:szCs w:val="20"/>
          <w:color w:val="auto"/>
        </w:rPr>
        <w:tab/>
      </w:r>
      <w:r>
        <w:rPr>
          <w:rFonts w:ascii="Arial" w:cs="Arial" w:eastAsia="Arial" w:hAnsi="Arial"/>
          <w:sz w:val="17"/>
          <w:szCs w:val="17"/>
          <w:color w:val="auto"/>
        </w:rPr>
        <w:t>shares of our common stock outstanding as of the date immediately following the completion of this offering, assuming no exercise by the</w:t>
      </w:r>
    </w:p>
    <w:p>
      <w:pPr>
        <w:spacing w:after="0"/>
        <w:tabs>
          <w:tab w:leader="none" w:pos="7600" w:val="left"/>
        </w:tabs>
        <w:rPr>
          <w:sz w:val="20"/>
          <w:szCs w:val="20"/>
          <w:color w:val="auto"/>
        </w:rPr>
      </w:pPr>
      <w:r>
        <w:rPr>
          <w:rFonts w:ascii="Arial" w:cs="Arial" w:eastAsia="Arial" w:hAnsi="Arial"/>
          <w:sz w:val="17"/>
          <w:szCs w:val="17"/>
          <w:color w:val="auto"/>
        </w:rPr>
        <w:t>underwriters of their option to purchase additional shares of our common stock, and there are</w:t>
      </w:r>
      <w:r>
        <w:rPr>
          <w:sz w:val="20"/>
          <w:szCs w:val="20"/>
          <w:color w:val="auto"/>
        </w:rPr>
        <w:tab/>
      </w:r>
      <w:r>
        <w:rPr>
          <w:rFonts w:ascii="Arial" w:cs="Arial" w:eastAsia="Arial" w:hAnsi="Arial"/>
          <w:sz w:val="16"/>
          <w:szCs w:val="16"/>
          <w:color w:val="auto"/>
        </w:rPr>
        <w:t>shares of our common stock outstanding as of the</w:t>
      </w:r>
    </w:p>
    <w:p>
      <w:pPr>
        <w:ind w:right="340"/>
        <w:spacing w:after="0" w:line="231" w:lineRule="auto"/>
        <w:rPr>
          <w:sz w:val="20"/>
          <w:szCs w:val="20"/>
          <w:color w:val="auto"/>
        </w:rPr>
      </w:pPr>
      <w:r>
        <w:rPr>
          <w:rFonts w:ascii="Arial" w:cs="Arial" w:eastAsia="Arial" w:hAnsi="Arial"/>
          <w:sz w:val="17"/>
          <w:szCs w:val="17"/>
          <w:color w:val="auto"/>
        </w:rPr>
        <w:t>date immediately following the completion of this offering, assuming full exercise by the underwriters of their option to purchase additional shares of our common stock. Except as noted below, the address for all beneficial owners in the table below is c/o Medpace Holdings, Inc. at 5375 Medpace Way, Cincinnati, Ohio 45227.</w:t>
      </w:r>
    </w:p>
    <w:p>
      <w:pPr>
        <w:spacing w:after="0" w:line="90"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Our Chief Executive Officer and founder, Dr. August J. Troendle, has indicated an interest in purchasing shares of our common stock in this offering at the initial public offering price. The following table does not reflect any such potential purchases. If any shares are purchased by Dr. Troendle, the number of shares of common stock beneficially owned after this offering and the percentage of common stock beneficially owned after this offering may differ from that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OF BENEFICIAL OWN</w:t>
      </w:r>
      <w:r>
        <w:rPr>
          <w:rFonts w:ascii="Arial" w:cs="Arial" w:eastAsia="Arial" w:hAnsi="Arial"/>
          <w:sz w:val="14"/>
          <w:szCs w:val="14"/>
          <w:b w:val="1"/>
          <w:bCs w:val="1"/>
          <w:color w:val="auto"/>
        </w:rPr>
        <w:t>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 Shareholders</w:t>
      </w:r>
    </w:p>
    <w:p>
      <w:pPr>
        <w:ind w:left="240" w:hanging="243"/>
        <w:spacing w:after="0" w:line="225" w:lineRule="auto"/>
        <w:rPr>
          <w:sz w:val="20"/>
          <w:szCs w:val="20"/>
          <w:color w:val="auto"/>
        </w:rPr>
      </w:pPr>
      <w:r>
        <w:rPr>
          <w:rFonts w:ascii="Arial" w:cs="Arial" w:eastAsia="Arial" w:hAnsi="Arial"/>
          <w:sz w:val="17"/>
          <w:szCs w:val="17"/>
          <w:color w:val="auto"/>
        </w:rPr>
        <w:t xml:space="preserve">Investment funds affiliated with Cinven Capital Management </w:t>
      </w:r>
      <w:r>
        <w:rPr>
          <w:rFonts w:ascii="Arial" w:cs="Arial" w:eastAsia="Arial" w:hAnsi="Arial"/>
          <w:sz w:val="14"/>
          <w:szCs w:val="14"/>
          <w:color w:val="auto"/>
        </w:rPr>
        <w:t>(1)</w:t>
      </w:r>
    </w:p>
    <w:p>
      <w:pPr>
        <w:spacing w:after="0"/>
        <w:rPr>
          <w:sz w:val="20"/>
          <w:szCs w:val="20"/>
          <w:color w:val="auto"/>
        </w:rPr>
      </w:pPr>
      <w:r>
        <w:rPr>
          <w:rFonts w:ascii="Arial" w:cs="Arial" w:eastAsia="Arial" w:hAnsi="Arial"/>
          <w:sz w:val="17"/>
          <w:szCs w:val="17"/>
          <w:color w:val="auto"/>
        </w:rPr>
        <w:t xml:space="preserve">Medpace Investors, LLC </w:t>
      </w:r>
      <w:r>
        <w:rPr>
          <w:rFonts w:ascii="Arial" w:cs="Arial" w:eastAsia="Arial" w:hAnsi="Arial"/>
          <w:sz w:val="14"/>
          <w:szCs w:val="14"/>
          <w:color w:val="auto"/>
        </w:rPr>
        <w:t>(2)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Named Executive Officers</w:t>
      </w:r>
    </w:p>
    <w:p>
      <w:pPr>
        <w:spacing w:after="0" w:line="234" w:lineRule="auto"/>
        <w:rPr>
          <w:sz w:val="20"/>
          <w:szCs w:val="20"/>
          <w:color w:val="auto"/>
        </w:rPr>
      </w:pPr>
      <w:r>
        <w:rPr>
          <w:rFonts w:ascii="Arial" w:cs="Arial" w:eastAsia="Arial" w:hAnsi="Arial"/>
          <w:sz w:val="17"/>
          <w:szCs w:val="17"/>
          <w:color w:val="auto"/>
        </w:rPr>
        <w:t xml:space="preserve">Dr. August J. Troendle </w:t>
      </w:r>
      <w:r>
        <w:rPr>
          <w:rFonts w:ascii="Arial" w:cs="Arial" w:eastAsia="Arial" w:hAnsi="Arial"/>
          <w:sz w:val="14"/>
          <w:szCs w:val="14"/>
          <w:color w:val="auto"/>
        </w:rPr>
        <w:t>(3)</w:t>
      </w:r>
    </w:p>
    <w:p>
      <w:pPr>
        <w:spacing w:after="0" w:line="225" w:lineRule="auto"/>
        <w:rPr>
          <w:sz w:val="20"/>
          <w:szCs w:val="20"/>
          <w:color w:val="auto"/>
        </w:rPr>
      </w:pPr>
      <w:r>
        <w:rPr>
          <w:rFonts w:ascii="Arial" w:cs="Arial" w:eastAsia="Arial" w:hAnsi="Arial"/>
          <w:sz w:val="17"/>
          <w:szCs w:val="17"/>
          <w:color w:val="auto"/>
        </w:rPr>
        <w:t xml:space="preserve">Jesse J. Geiger </w:t>
      </w:r>
      <w:r>
        <w:rPr>
          <w:rFonts w:ascii="Arial" w:cs="Arial" w:eastAsia="Arial" w:hAnsi="Arial"/>
          <w:sz w:val="14"/>
          <w:szCs w:val="14"/>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Susan E. Burwig </w:t>
      </w:r>
      <w:r>
        <w:rPr>
          <w:rFonts w:ascii="Arial" w:cs="Arial" w:eastAsia="Arial" w:hAnsi="Arial"/>
          <w:sz w:val="14"/>
          <w:szCs w:val="14"/>
          <w:color w:val="auto"/>
        </w:rPr>
        <w:t>(5)</w:t>
      </w:r>
    </w:p>
    <w:p>
      <w:pPr>
        <w:spacing w:after="0" w:line="73" w:lineRule="exact"/>
        <w:rPr>
          <w:sz w:val="20"/>
          <w:szCs w:val="20"/>
          <w:color w:val="auto"/>
        </w:rPr>
      </w:pPr>
    </w:p>
    <w:p>
      <w:pPr>
        <w:ind w:right="880"/>
        <w:spacing w:after="0" w:line="232" w:lineRule="auto"/>
        <w:rPr>
          <w:sz w:val="20"/>
          <w:szCs w:val="20"/>
          <w:color w:val="auto"/>
        </w:rPr>
      </w:pPr>
      <w:r>
        <w:rPr>
          <w:rFonts w:ascii="Arial" w:cs="Arial" w:eastAsia="Arial" w:hAnsi="Arial"/>
          <w:sz w:val="17"/>
          <w:szCs w:val="17"/>
          <w:b w:val="1"/>
          <w:bCs w:val="1"/>
          <w:i w:val="1"/>
          <w:iCs w:val="1"/>
          <w:color w:val="auto"/>
        </w:rPr>
        <w:t xml:space="preserve">Non-Employee Directors </w:t>
      </w:r>
      <w:r>
        <w:rPr>
          <w:rFonts w:ascii="Arial" w:cs="Arial" w:eastAsia="Arial" w:hAnsi="Arial"/>
          <w:sz w:val="17"/>
          <w:szCs w:val="17"/>
          <w:color w:val="auto"/>
        </w:rPr>
        <w:t>Dr. Supraj R. Rajagopalan Alexander F.S. Leslie Matthew R. Norton Robert O. Kraft Brian T. Carley</w:t>
      </w:r>
    </w:p>
    <w:p>
      <w:pPr>
        <w:spacing w:after="0" w:line="71" w:lineRule="exact"/>
        <w:rPr>
          <w:sz w:val="20"/>
          <w:szCs w:val="20"/>
          <w:color w:val="auto"/>
        </w:rPr>
      </w:pPr>
    </w:p>
    <w:p>
      <w:pPr>
        <w:jc w:val="both"/>
        <w:ind w:left="240" w:right="580" w:hanging="243"/>
        <w:spacing w:after="0"/>
        <w:rPr>
          <w:sz w:val="20"/>
          <w:szCs w:val="20"/>
          <w:color w:val="auto"/>
        </w:rPr>
      </w:pPr>
      <w:r>
        <w:rPr>
          <w:rFonts w:ascii="Arial" w:cs="Arial" w:eastAsia="Arial" w:hAnsi="Arial"/>
          <w:sz w:val="17"/>
          <w:szCs w:val="17"/>
          <w:b w:val="1"/>
          <w:bCs w:val="1"/>
          <w:i w:val="1"/>
          <w:iCs w:val="1"/>
          <w:color w:val="auto"/>
        </w:rPr>
        <w:t>All named executive officers and directors as a group (8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9"/>
              </w:rPr>
              <w:t>SHARES BENEFICIALLY OWNED</w:t>
            </w: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SHARES BENEFICIALLY OWNED</w:t>
            </w:r>
          </w:p>
        </w:tc>
      </w:tr>
      <w:tr>
        <w:trPr>
          <w:trHeight w:val="157"/>
        </w:trPr>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20" w:type="dxa"/>
            <w:vAlign w:val="bottom"/>
            <w:gridSpan w:val="4"/>
          </w:tcPr>
          <w:p>
            <w:pPr>
              <w:jc w:val="center"/>
              <w:ind w:right="480"/>
              <w:spacing w:after="0" w:line="157" w:lineRule="exact"/>
              <w:rPr>
                <w:sz w:val="20"/>
                <w:szCs w:val="20"/>
                <w:color w:val="auto"/>
              </w:rPr>
            </w:pPr>
            <w:r>
              <w:rPr>
                <w:rFonts w:ascii="Arial" w:cs="Arial" w:eastAsia="Arial" w:hAnsi="Arial"/>
                <w:sz w:val="14"/>
                <w:szCs w:val="14"/>
                <w:b w:val="1"/>
                <w:bCs w:val="1"/>
                <w:color w:val="auto"/>
                <w:w w:val="99"/>
              </w:rPr>
              <w:t>AFTER OFFERING (ASSUMING</w:t>
            </w:r>
          </w:p>
        </w:tc>
        <w:tc>
          <w:tcPr>
            <w:tcW w:w="256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rPr>
              <w:t>AFTER OFFERING (ASSUMING</w:t>
            </w:r>
          </w:p>
        </w:tc>
      </w:tr>
      <w:tr>
        <w:trPr>
          <w:trHeight w:val="157"/>
        </w:trPr>
        <w:tc>
          <w:tcPr>
            <w:tcW w:w="2500" w:type="dxa"/>
            <w:vAlign w:val="bottom"/>
            <w:gridSpan w:val="4"/>
          </w:tcPr>
          <w:p>
            <w:pPr>
              <w:jc w:val="center"/>
              <w:ind w:right="480"/>
              <w:spacing w:after="0" w:line="157" w:lineRule="exact"/>
              <w:rPr>
                <w:sz w:val="20"/>
                <w:szCs w:val="20"/>
                <w:color w:val="auto"/>
              </w:rPr>
            </w:pPr>
            <w:r>
              <w:rPr>
                <w:rFonts w:ascii="Arial" w:cs="Arial" w:eastAsia="Arial" w:hAnsi="Arial"/>
                <w:sz w:val="14"/>
                <w:szCs w:val="14"/>
                <w:b w:val="1"/>
                <w:bCs w:val="1"/>
                <w:color w:val="auto"/>
                <w:w w:val="98"/>
              </w:rPr>
              <w:t>SHARES BENEFICIALLY</w:t>
            </w:r>
          </w:p>
        </w:tc>
        <w:tc>
          <w:tcPr>
            <w:tcW w:w="3020" w:type="dxa"/>
            <w:vAlign w:val="bottom"/>
            <w:gridSpan w:val="4"/>
          </w:tcPr>
          <w:p>
            <w:pPr>
              <w:jc w:val="center"/>
              <w:ind w:right="460"/>
              <w:spacing w:after="0" w:line="157" w:lineRule="exact"/>
              <w:rPr>
                <w:sz w:val="20"/>
                <w:szCs w:val="20"/>
                <w:color w:val="auto"/>
              </w:rPr>
            </w:pPr>
            <w:r>
              <w:rPr>
                <w:rFonts w:ascii="Arial" w:cs="Arial" w:eastAsia="Arial" w:hAnsi="Arial"/>
                <w:sz w:val="14"/>
                <w:szCs w:val="14"/>
                <w:b w:val="1"/>
                <w:bCs w:val="1"/>
                <w:color w:val="auto"/>
                <w:w w:val="99"/>
              </w:rPr>
              <w:t>NO EXERCISE OF THE OPTION</w:t>
            </w:r>
          </w:p>
        </w:tc>
        <w:tc>
          <w:tcPr>
            <w:tcW w:w="256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8"/>
              </w:rPr>
              <w:t>FULL EXERCISE OF THE</w:t>
            </w:r>
          </w:p>
        </w:tc>
      </w:tr>
      <w:tr>
        <w:trPr>
          <w:trHeight w:val="157"/>
        </w:trPr>
        <w:tc>
          <w:tcPr>
            <w:tcW w:w="2500" w:type="dxa"/>
            <w:vAlign w:val="bottom"/>
            <w:gridSpan w:val="4"/>
          </w:tcPr>
          <w:p>
            <w:pPr>
              <w:jc w:val="center"/>
              <w:ind w:right="460"/>
              <w:spacing w:after="0" w:line="157" w:lineRule="exact"/>
              <w:rPr>
                <w:sz w:val="20"/>
                <w:szCs w:val="20"/>
                <w:color w:val="auto"/>
              </w:rPr>
            </w:pPr>
            <w:r>
              <w:rPr>
                <w:rFonts w:ascii="Arial" w:cs="Arial" w:eastAsia="Arial" w:hAnsi="Arial"/>
                <w:sz w:val="14"/>
                <w:szCs w:val="14"/>
                <w:b w:val="1"/>
                <w:bCs w:val="1"/>
                <w:color w:val="auto"/>
                <w:w w:val="98"/>
              </w:rPr>
              <w:t>OWNED PRIOR TO</w:t>
            </w:r>
          </w:p>
        </w:tc>
        <w:tc>
          <w:tcPr>
            <w:tcW w:w="3020" w:type="dxa"/>
            <w:vAlign w:val="bottom"/>
            <w:gridSpan w:val="4"/>
          </w:tcPr>
          <w:p>
            <w:pPr>
              <w:jc w:val="center"/>
              <w:ind w:right="460"/>
              <w:spacing w:after="0" w:line="157" w:lineRule="exact"/>
              <w:rPr>
                <w:sz w:val="20"/>
                <w:szCs w:val="20"/>
                <w:color w:val="auto"/>
              </w:rPr>
            </w:pPr>
            <w:r>
              <w:rPr>
                <w:rFonts w:ascii="Arial" w:cs="Arial" w:eastAsia="Arial" w:hAnsi="Arial"/>
                <w:sz w:val="14"/>
                <w:szCs w:val="14"/>
                <w:b w:val="1"/>
                <w:bCs w:val="1"/>
                <w:color w:val="auto"/>
                <w:w w:val="99"/>
              </w:rPr>
              <w:t>TO PURCHASE ADDITIONAL</w:t>
            </w:r>
          </w:p>
        </w:tc>
        <w:tc>
          <w:tcPr>
            <w:tcW w:w="256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rPr>
              <w:t>OPTION TO PURCHASE</w:t>
            </w:r>
          </w:p>
        </w:tc>
      </w:tr>
      <w:tr>
        <w:trPr>
          <w:trHeight w:val="169"/>
        </w:trPr>
        <w:tc>
          <w:tcPr>
            <w:tcW w:w="600" w:type="dxa"/>
            <w:vAlign w:val="bottom"/>
          </w:tcPr>
          <w:p>
            <w:pPr>
              <w:spacing w:after="0"/>
              <w:rPr>
                <w:sz w:val="14"/>
                <w:szCs w:val="14"/>
                <w:color w:val="auto"/>
              </w:rPr>
            </w:pPr>
          </w:p>
        </w:tc>
        <w:tc>
          <w:tcPr>
            <w:tcW w:w="19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tcPr>
          <w:p>
            <w:pPr>
              <w:spacing w:after="0"/>
              <w:rPr>
                <w:sz w:val="14"/>
                <w:szCs w:val="14"/>
                <w:color w:val="auto"/>
              </w:rPr>
            </w:pPr>
          </w:p>
        </w:tc>
        <w:tc>
          <w:tcPr>
            <w:tcW w:w="222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8"/>
              </w:rPr>
              <w:t>SHARES)</w:t>
            </w: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ADDITIONAL SHARES)</w:t>
            </w:r>
          </w:p>
        </w:tc>
      </w:tr>
      <w:tr>
        <w:trPr>
          <w:trHeight w:val="150"/>
        </w:trPr>
        <w:tc>
          <w:tcPr>
            <w:tcW w:w="600" w:type="dxa"/>
            <w:vAlign w:val="bottom"/>
            <w:tcBorders>
              <w:top w:val="single" w:sz="8" w:color="auto"/>
              <w:bottom w:val="single" w:sz="8" w:color="auto"/>
            </w:tcBorders>
          </w:tcPr>
          <w:p>
            <w:pPr>
              <w:spacing w:after="0" w:line="150" w:lineRule="exact"/>
              <w:rPr>
                <w:sz w:val="20"/>
                <w:szCs w:val="20"/>
                <w:color w:val="auto"/>
              </w:rPr>
            </w:pPr>
            <w:r>
              <w:rPr>
                <w:rFonts w:ascii="Arial" w:cs="Arial" w:eastAsia="Arial" w:hAnsi="Arial"/>
                <w:sz w:val="14"/>
                <w:szCs w:val="14"/>
                <w:b w:val="1"/>
                <w:bCs w:val="1"/>
                <w:color w:val="auto"/>
                <w:w w:val="94"/>
              </w:rPr>
              <w:t>NUMBER</w:t>
            </w: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20"/>
              <w:spacing w:after="0" w:line="150" w:lineRule="exact"/>
              <w:rPr>
                <w:sz w:val="20"/>
                <w:szCs w:val="20"/>
                <w:color w:val="auto"/>
              </w:rPr>
            </w:pPr>
            <w:r>
              <w:rPr>
                <w:rFonts w:ascii="Arial" w:cs="Arial" w:eastAsia="Arial" w:hAnsi="Arial"/>
                <w:sz w:val="14"/>
                <w:szCs w:val="14"/>
                <w:b w:val="1"/>
                <w:bCs w:val="1"/>
                <w:color w:val="auto"/>
                <w:w w:val="96"/>
              </w:rPr>
              <w:t>PERCENTAGE</w:t>
            </w:r>
          </w:p>
        </w:tc>
        <w:tc>
          <w:tcPr>
            <w:tcW w:w="46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80"/>
              <w:spacing w:after="0" w:line="150"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ind w:left="180"/>
              <w:spacing w:after="0" w:line="150" w:lineRule="exact"/>
              <w:rPr>
                <w:sz w:val="20"/>
                <w:szCs w:val="20"/>
                <w:color w:val="auto"/>
              </w:rPr>
            </w:pPr>
            <w:r>
              <w:rPr>
                <w:rFonts w:ascii="Arial" w:cs="Arial" w:eastAsia="Arial" w:hAnsi="Arial"/>
                <w:sz w:val="14"/>
                <w:szCs w:val="14"/>
                <w:b w:val="1"/>
                <w:bCs w:val="1"/>
                <w:color w:val="auto"/>
              </w:rPr>
              <w:t>PERCENTAGE</w:t>
            </w:r>
          </w:p>
        </w:tc>
        <w:tc>
          <w:tcPr>
            <w:tcW w:w="46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0"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ind w:left="180"/>
              <w:spacing w:after="0" w:line="150" w:lineRule="exact"/>
              <w:rPr>
                <w:sz w:val="20"/>
                <w:szCs w:val="20"/>
                <w:color w:val="auto"/>
              </w:rPr>
            </w:pPr>
            <w:r>
              <w:rPr>
                <w:rFonts w:ascii="Arial" w:cs="Arial" w:eastAsia="Arial" w:hAnsi="Arial"/>
                <w:sz w:val="14"/>
                <w:szCs w:val="14"/>
                <w:b w:val="1"/>
                <w:bCs w:val="1"/>
                <w:color w:val="auto"/>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-7620</wp:posOffset>
            </wp:positionV>
            <wp:extent cx="7250430" cy="1162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11620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340995</wp:posOffset>
            </wp:positionV>
            <wp:extent cx="7250430" cy="1162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11620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640080</wp:posOffset>
            </wp:positionV>
            <wp:extent cx="7250430" cy="1162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11620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873125</wp:posOffset>
            </wp:positionV>
            <wp:extent cx="7250430" cy="1162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11620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1172210</wp:posOffset>
            </wp:positionV>
            <wp:extent cx="7250430" cy="1162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11620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1405255</wp:posOffset>
            </wp:positionV>
            <wp:extent cx="7250430" cy="1162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11620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1638300</wp:posOffset>
            </wp:positionV>
            <wp:extent cx="7250430" cy="1162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125</w:t>
      </w:r>
    </w:p>
    <w:p>
      <w:pPr>
        <w:sectPr>
          <w:pgSz w:w="11900" w:h="16838" w:orient="portrait"/>
          <w:cols w:equalWidth="0" w:num="2">
            <w:col w:w="2820" w:space="480"/>
            <w:col w:w="8100"/>
          </w:cols>
          <w:pgMar w:left="240" w:top="449" w:right="259" w:bottom="1440" w:gutter="0" w:footer="0" w:header="0"/>
          <w:type w:val="continuous"/>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320" w:val="left"/>
          <w:tab w:leader="none" w:pos="1380" w:val="left"/>
          <w:tab w:leader="none" w:pos="618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Includes</w:t>
      </w:r>
      <w:r>
        <w:rPr>
          <w:sz w:val="20"/>
          <w:szCs w:val="20"/>
          <w:color w:val="auto"/>
        </w:rPr>
        <w:tab/>
      </w:r>
      <w:r>
        <w:rPr>
          <w:rFonts w:ascii="Arial" w:cs="Arial" w:eastAsia="Arial" w:hAnsi="Arial"/>
          <w:sz w:val="14"/>
          <w:szCs w:val="14"/>
          <w:color w:val="auto"/>
        </w:rPr>
        <w:t>shares held by Fifth Cinven Fund (No. 1) Limited Partnership (“LP1”),</w:t>
      </w:r>
      <w:r>
        <w:rPr>
          <w:sz w:val="20"/>
          <w:szCs w:val="20"/>
          <w:color w:val="auto"/>
        </w:rPr>
        <w:tab/>
      </w:r>
      <w:r>
        <w:rPr>
          <w:rFonts w:ascii="Arial" w:cs="Arial" w:eastAsia="Arial" w:hAnsi="Arial"/>
          <w:sz w:val="13"/>
          <w:szCs w:val="13"/>
          <w:color w:val="auto"/>
        </w:rPr>
        <w:t>shares held by Fifth Cinven Fund (No. 2) Limited Partnership (“LP2”),</w:t>
      </w:r>
    </w:p>
    <w:p>
      <w:pPr>
        <w:spacing w:after="0" w:line="3" w:lineRule="exact"/>
        <w:rPr>
          <w:sz w:val="20"/>
          <w:szCs w:val="20"/>
          <w:color w:val="auto"/>
        </w:rPr>
      </w:pPr>
    </w:p>
    <w:p>
      <w:pPr>
        <w:ind w:left="340"/>
        <w:spacing w:after="0"/>
        <w:tabs>
          <w:tab w:leader="none" w:pos="5120" w:val="left"/>
          <w:tab w:leader="none" w:pos="9920" w:val="left"/>
        </w:tabs>
        <w:rPr>
          <w:sz w:val="20"/>
          <w:szCs w:val="20"/>
          <w:color w:val="auto"/>
        </w:rPr>
      </w:pPr>
      <w:r>
        <w:rPr>
          <w:rFonts w:ascii="Arial" w:cs="Arial" w:eastAsia="Arial" w:hAnsi="Arial"/>
          <w:sz w:val="14"/>
          <w:szCs w:val="14"/>
          <w:color w:val="auto"/>
        </w:rPr>
        <w:t>shares held by Fifth Cinven Fund (No. 3) Limited Partnership (“LP3”),</w:t>
      </w:r>
      <w:r>
        <w:rPr>
          <w:sz w:val="20"/>
          <w:szCs w:val="20"/>
          <w:color w:val="auto"/>
        </w:rPr>
        <w:tab/>
      </w:r>
      <w:r>
        <w:rPr>
          <w:rFonts w:ascii="Arial" w:cs="Arial" w:eastAsia="Arial" w:hAnsi="Arial"/>
          <w:sz w:val="14"/>
          <w:szCs w:val="14"/>
          <w:color w:val="auto"/>
        </w:rPr>
        <w:t>shares held by Fifth Cinven Fund (No. 4) Limited Partnership (“LP4”),</w:t>
      </w:r>
      <w:r>
        <w:rPr>
          <w:sz w:val="20"/>
          <w:szCs w:val="20"/>
          <w:color w:val="auto"/>
        </w:rPr>
        <w:tab/>
      </w:r>
      <w:r>
        <w:rPr>
          <w:rFonts w:ascii="Arial" w:cs="Arial" w:eastAsia="Arial" w:hAnsi="Arial"/>
          <w:sz w:val="13"/>
          <w:szCs w:val="13"/>
          <w:color w:val="auto"/>
        </w:rPr>
        <w:t>shares held by Fifth</w:t>
      </w:r>
    </w:p>
    <w:p>
      <w:pPr>
        <w:ind w:left="340"/>
        <w:spacing w:after="0"/>
        <w:tabs>
          <w:tab w:leader="none" w:pos="3860" w:val="left"/>
        </w:tabs>
        <w:rPr>
          <w:sz w:val="20"/>
          <w:szCs w:val="20"/>
          <w:color w:val="auto"/>
        </w:rPr>
      </w:pPr>
      <w:r>
        <w:rPr>
          <w:rFonts w:ascii="Arial" w:cs="Arial" w:eastAsia="Arial" w:hAnsi="Arial"/>
          <w:sz w:val="14"/>
          <w:szCs w:val="14"/>
          <w:color w:val="auto"/>
        </w:rPr>
        <w:t>Cinven Fund (No. 5) Limited Partnership (“LP5”),</w:t>
      </w:r>
      <w:r>
        <w:rPr>
          <w:sz w:val="20"/>
          <w:szCs w:val="20"/>
          <w:color w:val="auto"/>
        </w:rPr>
        <w:tab/>
      </w:r>
      <w:r>
        <w:rPr>
          <w:rFonts w:ascii="Arial" w:cs="Arial" w:eastAsia="Arial" w:hAnsi="Arial"/>
          <w:sz w:val="13"/>
          <w:szCs w:val="13"/>
          <w:color w:val="auto"/>
        </w:rPr>
        <w:t>shares held by Fifth Cinven Fund (No. 6) Limited Partnership (“LP6” and, together with LP1, LP2, LP3, LP4 and LP5, the</w:t>
      </w:r>
    </w:p>
    <w:p>
      <w:pPr>
        <w:ind w:left="340"/>
        <w:spacing w:after="0"/>
        <w:tabs>
          <w:tab w:leader="none" w:pos="2300" w:val="left"/>
          <w:tab w:leader="none" w:pos="6260" w:val="left"/>
        </w:tabs>
        <w:rPr>
          <w:sz w:val="20"/>
          <w:szCs w:val="20"/>
          <w:color w:val="auto"/>
        </w:rPr>
      </w:pPr>
      <w:r>
        <w:rPr>
          <w:rFonts w:ascii="Arial" w:cs="Arial" w:eastAsia="Arial" w:hAnsi="Arial"/>
          <w:sz w:val="14"/>
          <w:szCs w:val="14"/>
          <w:color w:val="auto"/>
        </w:rPr>
        <w:t>“Limited Partnerships”),</w:t>
      </w:r>
      <w:r>
        <w:rPr>
          <w:sz w:val="20"/>
          <w:szCs w:val="20"/>
          <w:color w:val="auto"/>
        </w:rPr>
        <w:tab/>
      </w:r>
      <w:r>
        <w:rPr>
          <w:rFonts w:ascii="Arial" w:cs="Arial" w:eastAsia="Arial" w:hAnsi="Arial"/>
          <w:sz w:val="14"/>
          <w:szCs w:val="14"/>
          <w:color w:val="auto"/>
        </w:rPr>
        <w:t>shares held by Fifth Cinven Fund FCP-SIF (“FCP”) and</w:t>
      </w:r>
      <w:r>
        <w:rPr>
          <w:sz w:val="20"/>
          <w:szCs w:val="20"/>
          <w:color w:val="auto"/>
        </w:rPr>
        <w:tab/>
      </w:r>
      <w:r>
        <w:rPr>
          <w:rFonts w:ascii="Arial" w:cs="Arial" w:eastAsia="Arial" w:hAnsi="Arial"/>
          <w:sz w:val="13"/>
          <w:szCs w:val="13"/>
          <w:color w:val="auto"/>
        </w:rPr>
        <w:t>shares held by Fifth Cinven Fund Co-Investment Partnership (“CIP”). Each of the</w:t>
      </w:r>
    </w:p>
    <w:p>
      <w:pPr>
        <w:ind w:left="340"/>
        <w:spacing w:after="0" w:line="237" w:lineRule="auto"/>
        <w:rPr>
          <w:sz w:val="20"/>
          <w:szCs w:val="20"/>
          <w:color w:val="auto"/>
        </w:rPr>
      </w:pPr>
      <w:r>
        <w:rPr>
          <w:rFonts w:ascii="Arial" w:cs="Arial" w:eastAsia="Arial" w:hAnsi="Arial"/>
          <w:sz w:val="14"/>
          <w:szCs w:val="14"/>
          <w:color w:val="auto"/>
        </w:rPr>
        <w:t>Limited Partnerships is managed and controlled by Cinven Capital Management (V) Limited Partnership Incorporated (“GPLP”), their Managing General Partner. Cinven Capital Management (V) General Partner Limited (“Cinven MGP” and together with GPLP, CIP, FCP and the Limited Partnerships, the “Cinven Entities) is the Managing General Partner of GPLP. FCP is managed and controlled by Cinven Manco S.A.R.L. (“Manco”). Cinven MGP also exercises investment discretion and control over the shares held by each of FCP and CIP, which are subject to contractual commitments that each invest and divest side-by-side with the Limited Partnerships. Voting and investment determinations with respect to the shares held by the Cinven Entities are made by the majority vote of the board of directors of Cinven MGP, comprised of Brian Linden, Hayley Tanguy, John Boothman, Robin Hall, Rupert Dorey and William Scott. Each such director disclaims beneficial ownership of such shares.</w:t>
      </w:r>
    </w:p>
    <w:p>
      <w:pPr>
        <w:spacing w:after="0" w:line="28" w:lineRule="exact"/>
        <w:rPr>
          <w:sz w:val="20"/>
          <w:szCs w:val="20"/>
          <w:color w:val="auto"/>
        </w:rPr>
      </w:pPr>
    </w:p>
    <w:p>
      <w:pPr>
        <w:jc w:val="both"/>
        <w:ind w:left="340"/>
        <w:spacing w:after="0" w:line="239" w:lineRule="auto"/>
        <w:rPr>
          <w:sz w:val="20"/>
          <w:szCs w:val="20"/>
          <w:color w:val="auto"/>
        </w:rPr>
      </w:pPr>
      <w:r>
        <w:rPr>
          <w:rFonts w:ascii="Arial" w:cs="Arial" w:eastAsia="Arial" w:hAnsi="Arial"/>
          <w:sz w:val="14"/>
          <w:szCs w:val="14"/>
          <w:color w:val="auto"/>
        </w:rPr>
        <w:t>The principal business address for each of Cinven MGP, GPLP and the Limited Partnerships is East Wing, Trafalgar Court, Les Banques, St. Peter Port, Guernsey, GY1 3PP. The principal business address of CIP is Warwick Court, Paternoster Square, London, EC4M 7AG. The principal business address of each of Manco and FCP is 7, rue Lou Hemmer, L-1748, Luxembourg.</w:t>
      </w:r>
    </w:p>
    <w:p>
      <w:pPr>
        <w:ind w:left="340" w:hanging="296"/>
        <w:spacing w:after="0" w:line="187" w:lineRule="auto"/>
        <w:tabs>
          <w:tab w:leader="none" w:pos="340" w:val="left"/>
        </w:tabs>
        <w:numPr>
          <w:ilvl w:val="0"/>
          <w:numId w:val="74"/>
        </w:numPr>
        <w:rPr>
          <w:rFonts w:ascii="Arial" w:cs="Arial" w:eastAsia="Arial" w:hAnsi="Arial"/>
          <w:sz w:val="22"/>
          <w:szCs w:val="22"/>
          <w:color w:val="auto"/>
          <w:vertAlign w:val="superscript"/>
        </w:rPr>
      </w:pPr>
      <w:r>
        <w:rPr>
          <w:rFonts w:ascii="Arial" w:cs="Arial" w:eastAsia="Arial" w:hAnsi="Arial"/>
          <w:sz w:val="13"/>
          <w:szCs w:val="13"/>
          <w:color w:val="auto"/>
        </w:rPr>
        <w:t>Dr. August J. Troendle, as the sole manager of MPI, has sole voting and investment power with respect to these shares.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20" w:type="dxa"/>
            <w:vAlign w:val="bottom"/>
          </w:tcPr>
          <w:p>
            <w:pPr>
              <w:jc w:val="right"/>
              <w:ind w:right="21"/>
              <w:spacing w:after="0"/>
              <w:rPr>
                <w:sz w:val="20"/>
                <w:szCs w:val="20"/>
                <w:color w:val="auto"/>
              </w:rPr>
            </w:pPr>
            <w:r>
              <w:rPr>
                <w:rFonts w:ascii="Arial" w:cs="Arial" w:eastAsia="Arial" w:hAnsi="Arial"/>
                <w:sz w:val="12"/>
                <w:szCs w:val="12"/>
                <w:color w:val="auto"/>
                <w:w w:val="81"/>
              </w:rPr>
              <w:t>(3)</w:t>
            </w:r>
          </w:p>
        </w:tc>
        <w:tc>
          <w:tcPr>
            <w:tcW w:w="940" w:type="dxa"/>
            <w:vAlign w:val="bottom"/>
          </w:tcPr>
          <w:p>
            <w:pPr>
              <w:ind w:left="80"/>
              <w:spacing w:after="0"/>
              <w:rPr>
                <w:sz w:val="20"/>
                <w:szCs w:val="20"/>
                <w:color w:val="auto"/>
              </w:rPr>
            </w:pPr>
            <w:r>
              <w:rPr>
                <w:rFonts w:ascii="Arial" w:cs="Arial" w:eastAsia="Arial" w:hAnsi="Arial"/>
                <w:sz w:val="14"/>
                <w:szCs w:val="14"/>
                <w:color w:val="auto"/>
              </w:rPr>
              <w:t>Consists of</w:t>
            </w:r>
          </w:p>
        </w:tc>
        <w:tc>
          <w:tcPr>
            <w:tcW w:w="5880" w:type="dxa"/>
            <w:vAlign w:val="bottom"/>
          </w:tcPr>
          <w:p>
            <w:pPr>
              <w:ind w:left="360"/>
              <w:spacing w:after="0"/>
              <w:rPr>
                <w:sz w:val="20"/>
                <w:szCs w:val="20"/>
                <w:color w:val="auto"/>
              </w:rPr>
            </w:pPr>
            <w:r>
              <w:rPr>
                <w:rFonts w:ascii="Arial" w:cs="Arial" w:eastAsia="Arial" w:hAnsi="Arial"/>
                <w:sz w:val="14"/>
                <w:szCs w:val="14"/>
                <w:color w:val="auto"/>
              </w:rPr>
              <w:t>shares of common stock directly held by the August J. Troendle Revocable Trust and</w:t>
            </w:r>
          </w:p>
        </w:tc>
        <w:tc>
          <w:tcPr>
            <w:tcW w:w="4240" w:type="dxa"/>
            <w:vAlign w:val="bottom"/>
          </w:tcPr>
          <w:p>
            <w:pPr>
              <w:ind w:left="260"/>
              <w:spacing w:after="0"/>
              <w:rPr>
                <w:sz w:val="20"/>
                <w:szCs w:val="20"/>
                <w:color w:val="auto"/>
              </w:rPr>
            </w:pPr>
            <w:r>
              <w:rPr>
                <w:rFonts w:ascii="Arial" w:cs="Arial" w:eastAsia="Arial" w:hAnsi="Arial"/>
                <w:sz w:val="14"/>
                <w:szCs w:val="14"/>
                <w:color w:val="auto"/>
                <w:w w:val="98"/>
              </w:rPr>
              <w:t>shares of common stock directly held by MPI. Dr. Troendle is the</w:t>
            </w:r>
          </w:p>
        </w:tc>
      </w:tr>
      <w:tr>
        <w:trPr>
          <w:trHeight w:val="157"/>
        </w:trPr>
        <w:tc>
          <w:tcPr>
            <w:tcW w:w="220" w:type="dxa"/>
            <w:vAlign w:val="bottom"/>
          </w:tcPr>
          <w:p>
            <w:pPr>
              <w:spacing w:after="0"/>
              <w:rPr>
                <w:sz w:val="13"/>
                <w:szCs w:val="13"/>
                <w:color w:val="auto"/>
              </w:rPr>
            </w:pPr>
          </w:p>
        </w:tc>
        <w:tc>
          <w:tcPr>
            <w:tcW w:w="1106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9"/>
              </w:rPr>
              <w:t>sole trustee, sole beneficiary and settlor of the August J. Troendle Revocable Trust and has sole voting and investment power over the shares held by such trust. Dr. Troendle, as</w:t>
            </w:r>
          </w:p>
        </w:tc>
      </w:tr>
      <w:tr>
        <w:trPr>
          <w:trHeight w:val="168"/>
        </w:trPr>
        <w:tc>
          <w:tcPr>
            <w:tcW w:w="220" w:type="dxa"/>
            <w:vAlign w:val="bottom"/>
          </w:tcPr>
          <w:p>
            <w:pPr>
              <w:spacing w:after="0"/>
              <w:rPr>
                <w:sz w:val="14"/>
                <w:szCs w:val="14"/>
                <w:color w:val="auto"/>
              </w:rPr>
            </w:pPr>
          </w:p>
        </w:tc>
        <w:tc>
          <w:tcPr>
            <w:tcW w:w="6820" w:type="dxa"/>
            <w:vAlign w:val="bottom"/>
            <w:gridSpan w:val="2"/>
          </w:tcPr>
          <w:p>
            <w:pPr>
              <w:ind w:left="80"/>
              <w:spacing w:after="0"/>
              <w:rPr>
                <w:sz w:val="20"/>
                <w:szCs w:val="20"/>
                <w:color w:val="auto"/>
              </w:rPr>
            </w:pPr>
            <w:r>
              <w:rPr>
                <w:rFonts w:ascii="Arial" w:cs="Arial" w:eastAsia="Arial" w:hAnsi="Arial"/>
                <w:sz w:val="14"/>
                <w:szCs w:val="14"/>
                <w:color w:val="auto"/>
              </w:rPr>
              <w:t>the sole manager of MPI, has sole voting and dispositive power with respect to the shares held by MPI.</w:t>
            </w:r>
          </w:p>
        </w:tc>
        <w:tc>
          <w:tcPr>
            <w:tcW w:w="4240" w:type="dxa"/>
            <w:vAlign w:val="bottom"/>
          </w:tcPr>
          <w:p>
            <w:pPr>
              <w:spacing w:after="0"/>
              <w:rPr>
                <w:sz w:val="14"/>
                <w:szCs w:val="14"/>
                <w:color w:val="auto"/>
              </w:rPr>
            </w:pPr>
          </w:p>
        </w:tc>
      </w:tr>
      <w:tr>
        <w:trPr>
          <w:trHeight w:val="196"/>
        </w:trPr>
        <w:tc>
          <w:tcPr>
            <w:tcW w:w="220" w:type="dxa"/>
            <w:vAlign w:val="bottom"/>
          </w:tcPr>
          <w:p>
            <w:pPr>
              <w:jc w:val="right"/>
              <w:ind w:right="21"/>
              <w:spacing w:after="0"/>
              <w:rPr>
                <w:sz w:val="20"/>
                <w:szCs w:val="20"/>
                <w:color w:val="auto"/>
              </w:rPr>
            </w:pPr>
            <w:r>
              <w:rPr>
                <w:rFonts w:ascii="Arial" w:cs="Arial" w:eastAsia="Arial" w:hAnsi="Arial"/>
                <w:sz w:val="12"/>
                <w:szCs w:val="12"/>
                <w:color w:val="auto"/>
                <w:w w:val="81"/>
              </w:rPr>
              <w:t>(4)</w:t>
            </w:r>
          </w:p>
        </w:tc>
        <w:tc>
          <w:tcPr>
            <w:tcW w:w="940" w:type="dxa"/>
            <w:vAlign w:val="bottom"/>
          </w:tcPr>
          <w:p>
            <w:pPr>
              <w:ind w:left="80"/>
              <w:spacing w:after="0"/>
              <w:rPr>
                <w:sz w:val="20"/>
                <w:szCs w:val="20"/>
                <w:color w:val="auto"/>
              </w:rPr>
            </w:pPr>
            <w:r>
              <w:rPr>
                <w:rFonts w:ascii="Arial" w:cs="Arial" w:eastAsia="Arial" w:hAnsi="Arial"/>
                <w:sz w:val="14"/>
                <w:szCs w:val="14"/>
                <w:color w:val="auto"/>
              </w:rPr>
              <w:t>Includes</w:t>
            </w:r>
          </w:p>
        </w:tc>
        <w:tc>
          <w:tcPr>
            <w:tcW w:w="10120" w:type="dxa"/>
            <w:vAlign w:val="bottom"/>
            <w:gridSpan w:val="2"/>
          </w:tcPr>
          <w:p>
            <w:pPr>
              <w:ind w:left="200"/>
              <w:spacing w:after="0"/>
              <w:rPr>
                <w:sz w:val="20"/>
                <w:szCs w:val="20"/>
                <w:color w:val="auto"/>
              </w:rPr>
            </w:pPr>
            <w:r>
              <w:rPr>
                <w:rFonts w:ascii="Arial" w:cs="Arial" w:eastAsia="Arial" w:hAnsi="Arial"/>
                <w:sz w:val="14"/>
                <w:szCs w:val="14"/>
                <w:color w:val="auto"/>
              </w:rPr>
              <w:t>shares of common stock which may be acquired upon the exercise of stock options which have vested or will vest within 60 days of the filing of this prospectus.</w:t>
            </w:r>
          </w:p>
        </w:tc>
      </w:tr>
      <w:tr>
        <w:trPr>
          <w:trHeight w:val="196"/>
        </w:trPr>
        <w:tc>
          <w:tcPr>
            <w:tcW w:w="220" w:type="dxa"/>
            <w:vAlign w:val="bottom"/>
          </w:tcPr>
          <w:p>
            <w:pPr>
              <w:jc w:val="right"/>
              <w:ind w:right="21"/>
              <w:spacing w:after="0"/>
              <w:rPr>
                <w:sz w:val="20"/>
                <w:szCs w:val="20"/>
                <w:color w:val="auto"/>
              </w:rPr>
            </w:pPr>
            <w:r>
              <w:rPr>
                <w:rFonts w:ascii="Arial" w:cs="Arial" w:eastAsia="Arial" w:hAnsi="Arial"/>
                <w:sz w:val="12"/>
                <w:szCs w:val="12"/>
                <w:color w:val="auto"/>
                <w:w w:val="81"/>
              </w:rPr>
              <w:t>(5)</w:t>
            </w:r>
          </w:p>
        </w:tc>
        <w:tc>
          <w:tcPr>
            <w:tcW w:w="940" w:type="dxa"/>
            <w:vAlign w:val="bottom"/>
          </w:tcPr>
          <w:p>
            <w:pPr>
              <w:ind w:left="80"/>
              <w:spacing w:after="0"/>
              <w:rPr>
                <w:sz w:val="20"/>
                <w:szCs w:val="20"/>
                <w:color w:val="auto"/>
              </w:rPr>
            </w:pPr>
            <w:r>
              <w:rPr>
                <w:rFonts w:ascii="Arial" w:cs="Arial" w:eastAsia="Arial" w:hAnsi="Arial"/>
                <w:sz w:val="14"/>
                <w:szCs w:val="14"/>
                <w:color w:val="auto"/>
              </w:rPr>
              <w:t>Includes</w:t>
            </w:r>
          </w:p>
        </w:tc>
        <w:tc>
          <w:tcPr>
            <w:tcW w:w="10120" w:type="dxa"/>
            <w:vAlign w:val="bottom"/>
            <w:gridSpan w:val="2"/>
          </w:tcPr>
          <w:p>
            <w:pPr>
              <w:ind w:left="200"/>
              <w:spacing w:after="0"/>
              <w:rPr>
                <w:sz w:val="20"/>
                <w:szCs w:val="20"/>
                <w:color w:val="auto"/>
              </w:rPr>
            </w:pPr>
            <w:r>
              <w:rPr>
                <w:rFonts w:ascii="Arial" w:cs="Arial" w:eastAsia="Arial" w:hAnsi="Arial"/>
                <w:sz w:val="14"/>
                <w:szCs w:val="14"/>
                <w:color w:val="auto"/>
              </w:rPr>
              <w:t>shares of common stock which may be acquired upon the exercise of stock options which have vested or will vest within 60 days of the filing of this prospectus.</w:t>
            </w:r>
          </w:p>
        </w:tc>
      </w:tr>
      <w:tr>
        <w:trPr>
          <w:trHeight w:val="318"/>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80" w:type="dxa"/>
            <w:vAlign w:val="bottom"/>
          </w:tcPr>
          <w:p>
            <w:pPr>
              <w:jc w:val="right"/>
              <w:ind w:right="1168"/>
              <w:spacing w:after="0"/>
              <w:rPr>
                <w:sz w:val="20"/>
                <w:szCs w:val="20"/>
                <w:color w:val="auto"/>
              </w:rPr>
            </w:pPr>
            <w:r>
              <w:rPr>
                <w:rFonts w:ascii="Arial" w:cs="Arial" w:eastAsia="Arial" w:hAnsi="Arial"/>
                <w:sz w:val="16"/>
                <w:szCs w:val="16"/>
                <w:color w:val="auto"/>
              </w:rPr>
              <w:t>126</w:t>
            </w:r>
          </w:p>
        </w:tc>
        <w:tc>
          <w:tcPr>
            <w:tcW w:w="4240" w:type="dxa"/>
            <w:vAlign w:val="bottom"/>
          </w:tcPr>
          <w:p>
            <w:pPr>
              <w:spacing w:after="0"/>
              <w:rPr>
                <w:sz w:val="24"/>
                <w:szCs w:val="24"/>
                <w:color w:val="auto"/>
              </w:rPr>
            </w:pPr>
          </w:p>
        </w:tc>
      </w:tr>
    </w:tbl>
    <w:p>
      <w:pPr>
        <w:sectPr>
          <w:pgSz w:w="11900" w:h="16838" w:orient="portrait"/>
          <w:cols w:equalWidth="0" w:num="1">
            <w:col w:w="11380"/>
          </w:cols>
          <w:pgMar w:left="240" w:top="449" w:right="2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CAPITAL STOCK</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6"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prior to the consummation of this offering, copies of which are filed as exhibits to the registration statement of which this prospectus is a part.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As of the consummation of this offering, our authorized capital stock will consist of:</w:t>
      </w:r>
    </w:p>
    <w:p>
      <w:pPr>
        <w:spacing w:after="0" w:line="100" w:lineRule="exact"/>
        <w:rPr>
          <w:sz w:val="20"/>
          <w:szCs w:val="20"/>
          <w:color w:val="auto"/>
        </w:rPr>
      </w:pPr>
    </w:p>
    <w:p>
      <w:pPr>
        <w:ind w:left="340"/>
        <w:spacing w:after="0"/>
        <w:tabs>
          <w:tab w:leader="none" w:pos="780" w:val="left"/>
          <w:tab w:leader="none" w:pos="7000" w:val="left"/>
        </w:tabs>
        <w:rPr>
          <w:sz w:val="20"/>
          <w:szCs w:val="20"/>
          <w:color w:val="auto"/>
        </w:rPr>
      </w:pPr>
      <w:r>
        <w:rPr>
          <w:rFonts w:ascii="Arial" w:cs="Arial" w:eastAsia="Arial" w:hAnsi="Arial"/>
          <w:sz w:val="24"/>
          <w:szCs w:val="24"/>
          <w:color w:val="auto"/>
          <w:vertAlign w:val="superscript"/>
        </w:rPr>
        <w:t>n</w:t>
      </w:r>
      <w:r>
        <w:rPr>
          <w:sz w:val="20"/>
          <w:szCs w:val="20"/>
          <w:color w:val="auto"/>
        </w:rPr>
        <w:tab/>
      </w:r>
      <w:r>
        <w:rPr>
          <w:rFonts w:ascii="Arial" w:cs="Arial" w:eastAsia="Arial" w:hAnsi="Arial"/>
          <w:sz w:val="17"/>
          <w:szCs w:val="17"/>
          <w:color w:val="auto"/>
        </w:rPr>
        <w:t>250,000,000 shares of common stock, par value $0.01 per share, of which</w:t>
      </w:r>
      <w:r>
        <w:rPr>
          <w:sz w:val="20"/>
          <w:szCs w:val="20"/>
          <w:color w:val="auto"/>
        </w:rPr>
        <w:tab/>
      </w:r>
      <w:r>
        <w:rPr>
          <w:rFonts w:ascii="Arial" w:cs="Arial" w:eastAsia="Arial" w:hAnsi="Arial"/>
          <w:sz w:val="16"/>
          <w:szCs w:val="16"/>
          <w:color w:val="auto"/>
        </w:rPr>
        <w:t>shares will be issued and outstanding, and;</w:t>
      </w:r>
    </w:p>
    <w:p>
      <w:pPr>
        <w:spacing w:after="0" w:line="31" w:lineRule="exact"/>
        <w:rPr>
          <w:sz w:val="20"/>
          <w:szCs w:val="20"/>
          <w:color w:val="auto"/>
        </w:rPr>
      </w:pPr>
    </w:p>
    <w:p>
      <w:pPr>
        <w:ind w:right="2460" w:firstLine="345"/>
        <w:spacing w:after="0" w:line="324" w:lineRule="auto"/>
        <w:tabs>
          <w:tab w:leader="none" w:pos="786"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5,000,000 shares of preferred stock, par value $0.01 per share, of which no shares are issued and outstanding. Unless our Board determines otherwise, we will issue all shares of our capital stock in uncertificated form.</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4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Holders of our common stock are entitled to one vote for each share held of record on all matters to which shareholders are entitled to vote generally, including the election or removal of directors. The holders of our common stock do not have cumulative voting rights in the election of directors. Accordingly, a holder or group of holders of a majority of the shares of our common stock are able to elect all of the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dividends, if any, as may be declared from time to time by our Board out of legally available funds.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4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7"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consummation of the offering will be fully paid and non-assessable. The rights, powers, preferences and privileges of holders of our common stock will be subject to and may be adversely affected by the rights of the holders of any shares of our preferred stock we may authorize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83"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Our amended and restated certificate of incorporation provides that our Board has the authority, without action by the shareholders, to designate and issue up to 5,000,000 shares of preferred stock in one or more classes or series and to fix the powers, rights, preferences, and privileges of each class or series of preferred stock, including dividend rights, conversion rights, voting rights, terms of redemption,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purpose of authorizing our Board to issue preferred stock and determine its rights and preferences is to eliminate delays associated with a shareholder vote on specific issuances. The issuance of preferred stock, while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400"/>
          </w:cols>
          <w:pgMar w:left="240" w:top="449" w:right="25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liquidation rights of our common stock. As a result of these or other factors, the issuance of preferred stock could have an adverse impact on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Venue</w:t>
      </w:r>
    </w:p>
    <w:p>
      <w:pPr>
        <w:spacing w:after="0" w:line="96"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Our amended and restated certificate of incorporation, as it will be in effect upon the closing of this offering, will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our amended and restated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 Any person or entity purchasing or otherwise acquiring any interest in shares of our capital stock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4"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37"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our company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73"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shareholder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47"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Our amended and restated certificate of incorporation provides that our Board will be divided into three classes of directors, with the classes to be as nearly equal in number as possible, and with the directors serving three-year terms. As a result, approximately one-third of our Board is elected each year. In addition, our amended and restated certificate of incorporation will provide that directors may only be removed from our Board for cause by the affirmative vote of at least a majority of our common stock. See “Management—Board of Directors.” The classification of directors will have the effect of making it more difficult for shareholders to change the composition of our Board. Our amended and restated certificate of incorporation and amended and restated bylaws provide that, subject to any rights of holders of preferred stock to elect additional directors under specified circumstances, the number of directors are fixed from time to time exclusively pursuant to a resolution adopted by the Board.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420"/>
          </w:cols>
          <w:pgMar w:left="240" w:top="449"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86"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73"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Accordingly, a holder or group of holders of a majority of the shares of our common stock are able to elect all of the directors.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Shareholder Meetings, Director Nominations and Shareholder Proposals</w:t>
      </w:r>
    </w:p>
    <w:p>
      <w:pPr>
        <w:spacing w:after="0" w:line="73"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Our amended and restated certificate of incorporation will provide that shareholders at an annual meeting may only consider proposals or nominations specified in the notice of meeting or brought before the meeting by or at the direction of our Board or by a qualified shareholder of record on the record date for the meeting, who is entitled to vote at the meeting and who has delivered timely written notice in proper form to our secretary of the shareholder’s intention to bring such business before the meeting. Our amended and restated certificate of incorporation will provide that, subject to applicable law, special meetings of the shareholders may be called only by a resolution adopted by the affirmative vote of the majority of the directors then in office. Our bylaws will prohibit the conduct of any business at a special meeting other than as specified in the notice for such meeting. In addition, any shareholder who wishes to bring business before an annual meeting or nominate directors must comply with the advance notice and duration of ownership requirements set forth in our bylaws and provide us with certain information. These provisions may have the effect of deferring, delaying or discouraging hostile takeovers or changes in control of us or our management.</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amended and restated bylaws establish advance notice procedures with respect to shareholder proposals and the nomination of candidates for election as directors, other than nominations made by or at the direction of the Board or a committee of the Board. In order for any matter to be “properly brought” before a meeting, a shareholder will have to comply with advance notice requirements and provide us with certain information. Our amended and restated bylaws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Action by Written Consent</w:t>
      </w:r>
    </w:p>
    <w:p>
      <w:pPr>
        <w:spacing w:after="0" w:line="86"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shareholders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provide that shareholder action by written consent will be permitted only if the action to be effected by such written consent and the taking of such action by such written consent have been previously approved by the board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Amended and Restated Certificate of Incorporation or Amended and Restated Bylaws</w:t>
      </w:r>
    </w:p>
    <w:p>
      <w:pPr>
        <w:spacing w:after="0" w:line="73"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consummation of this offering, our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449"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amended and restated bylaws may be amended or repealed by a majority vote of our Board or by the affirmative vote of the holders of at least 66-2/3% of the votes which all our shareholders would be entitled to cast in any annual election of directors. In addition, the affirmative vote of the holders of at least 66-2/3% of the votes which all our shareholders would be entitled to cast in any election of directors will be required to amend or repeal or to adopt any provisions inconsistent with any of the provisions of our certificate described above.</w:t>
      </w:r>
    </w:p>
    <w:p>
      <w:pPr>
        <w:spacing w:after="0" w:line="141"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The foregoing provisions of our amended and restated certificate of incorporation and amended and restated bylaws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shares of our common stock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96"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Under the DGCL, with certain exceptions, our shareholders have appraisal rights in connection with a merger or consolidation of us. Pursuant to the DGCL, shareholders who properly request and perfect appraisal rights in connection with such merger or consolidation will have the right to receive payment of the fair value of their shares as determined by the Delaware Court of Chancery.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Derivative Actions</w:t>
      </w:r>
    </w:p>
    <w:p>
      <w:pPr>
        <w:spacing w:after="0" w:line="83"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Under the DGCL, any of our shareholders may bring an action in our name to procure a judgment in our favor, also known as a derivative action, provided that the shareholder bringing the action is a holder of shares of our common stock at the time of the transaction to which the action relates or such shareholder’s stock thereafter devolved by operation of law and such suit is brought in the Court of Chancery in the State of Delaware. See “—Exclusive Venue”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8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shareholders.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shareholders or their respective affiliates, other than those officers, directors, shareholders or affiliates who are our or our subsidiaries’ employees. Our amended and restated certificate of incorporation provides that, to the fullest extent permitted by law, each of Cinven or any of its affiliates or any director who is not employed by us (including any non-employee director who serves as one of our officers in both his director and officer capacities) or his or her affiliates has no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Cinven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00"/>
          </w:cols>
          <w:pgMar w:left="240" w:top="449" w:right="25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9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indemnification for our directors and officers to the fullest extent permitted by the DGCL. Prior to the completion of this offering, we intend to enter into indemnification agreements with each of our directors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shareholders in derivative suits to recover monetary damages against a director for breach of fiduciary duties as a director, except that a director will be personally liable for:</w:t>
      </w:r>
    </w:p>
    <w:p>
      <w:pPr>
        <w:spacing w:after="0" w:line="103" w:lineRule="exact"/>
        <w:rPr>
          <w:sz w:val="20"/>
          <w:szCs w:val="20"/>
          <w:color w:val="auto"/>
        </w:rPr>
      </w:pPr>
    </w:p>
    <w:p>
      <w:pPr>
        <w:ind w:left="800" w:hanging="455"/>
        <w:spacing w:after="0"/>
        <w:tabs>
          <w:tab w:leader="none" w:pos="800" w:val="left"/>
        </w:tabs>
        <w:numPr>
          <w:ilvl w:val="0"/>
          <w:numId w:val="76"/>
        </w:numPr>
        <w:rPr>
          <w:rFonts w:ascii="Arial" w:cs="Arial" w:eastAsia="Arial" w:hAnsi="Arial"/>
          <w:sz w:val="24"/>
          <w:szCs w:val="24"/>
          <w:color w:val="auto"/>
          <w:vertAlign w:val="superscript"/>
        </w:rPr>
      </w:pPr>
      <w:r>
        <w:rPr>
          <w:rFonts w:ascii="Arial" w:cs="Arial" w:eastAsia="Arial" w:hAnsi="Arial"/>
          <w:sz w:val="17"/>
          <w:szCs w:val="17"/>
          <w:color w:val="auto"/>
        </w:rPr>
        <w:t>any breach of his duty of loyalty to us or our shareholders;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76"/>
        </w:numPr>
        <w:rPr>
          <w:rFonts w:ascii="Arial" w:cs="Arial" w:eastAsia="Arial" w:hAnsi="Arial"/>
          <w:sz w:val="23"/>
          <w:szCs w:val="23"/>
          <w:color w:val="auto"/>
          <w:vertAlign w:val="superscript"/>
        </w:rPr>
      </w:pPr>
      <w:r>
        <w:rPr>
          <w:rFonts w:ascii="Arial" w:cs="Arial" w:eastAsia="Arial" w:hAnsi="Arial"/>
          <w:sz w:val="16"/>
          <w:szCs w:val="16"/>
          <w:color w:val="auto"/>
        </w:rPr>
        <w:t>acts or omissions not in good faith or which involve intentional misconduct or a knowing violation of law;</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76"/>
        </w:numPr>
        <w:rPr>
          <w:rFonts w:ascii="Arial" w:cs="Arial" w:eastAsia="Arial" w:hAnsi="Arial"/>
          <w:sz w:val="23"/>
          <w:szCs w:val="23"/>
          <w:color w:val="auto"/>
          <w:vertAlign w:val="superscript"/>
        </w:rPr>
      </w:pPr>
      <w:r>
        <w:rPr>
          <w:rFonts w:ascii="Arial" w:cs="Arial" w:eastAsia="Arial" w:hAnsi="Arial"/>
          <w:sz w:val="16"/>
          <w:szCs w:val="16"/>
          <w:color w:val="auto"/>
        </w:rPr>
        <w:t>any transaction from which the director derived an improper personal benefit; or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76"/>
        </w:numPr>
        <w:rPr>
          <w:rFonts w:ascii="Arial" w:cs="Arial" w:eastAsia="Arial" w:hAnsi="Arial"/>
          <w:sz w:val="23"/>
          <w:szCs w:val="23"/>
          <w:color w:val="auto"/>
          <w:vertAlign w:val="superscript"/>
        </w:rPr>
      </w:pPr>
      <w:r>
        <w:rPr>
          <w:rFonts w:ascii="Arial" w:cs="Arial" w:eastAsia="Arial" w:hAnsi="Arial"/>
          <w:sz w:val="16"/>
          <w:szCs w:val="16"/>
          <w:color w:val="auto"/>
        </w:rPr>
        <w:t>improper distributions to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may be held not to be enforceable for violations of the federal securities laws of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8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We understand that, substantially concurrently with the closing of this offering, Cinven and Dr. August J. Troendle, our Chief Executive Officer and founder, intend to enter into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 See “Certain Relationships and Related Person Transactions—Voting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83"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connection with this offering, we will enter into the Registration Rights Agreement with Cinven and Dr. August J. Troendle, our Chief Executive Officer and founder, pursuant to which such holders will have specified rights to require us to register all or any portion of their shares under the Securities Act. See “Certain Relationships and Related Person Transactions—Registration Rights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will be American Stock Transfer &amp; Trust Company, LLC.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list our common stock on NASDAQ under the symbol “MEDP.”</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420"/>
          </w:cols>
          <w:pgMar w:left="240" w:top="449"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SHARES ELIGIBLE FOR FUTURE SALE</w:t>
      </w:r>
    </w:p>
    <w:p>
      <w:pPr>
        <w:spacing w:after="0" w:line="175"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w:t>
      </w:r>
    </w:p>
    <w:p>
      <w:pPr>
        <w:spacing w:after="0" w:line="143"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Upon the closing of this offering, we will have outstanding an aggregate of shares of common stock, assuming the issuance of shares of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1"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3" w:lineRule="exact"/>
        <w:rPr>
          <w:sz w:val="20"/>
          <w:szCs w:val="20"/>
          <w:color w:val="auto"/>
        </w:rPr>
      </w:pPr>
    </w:p>
    <w:p>
      <w:pPr>
        <w:jc w:val="right"/>
        <w:spacing w:after="0" w:line="225" w:lineRule="auto"/>
        <w:rPr>
          <w:sz w:val="20"/>
          <w:szCs w:val="20"/>
          <w:color w:val="auto"/>
        </w:rPr>
      </w:pPr>
      <w:r>
        <w:rPr>
          <w:rFonts w:ascii="Arial" w:cs="Arial" w:eastAsia="Arial" w:hAnsi="Arial"/>
          <w:sz w:val="17"/>
          <w:szCs w:val="17"/>
          <w:color w:val="auto"/>
        </w:rPr>
        <w:t>In addition, of the         shares of our common stock that will be subject to stock options outstanding immediately after this offering, options to purchase shares of common stock will be vested immediately after this offering and, upon exercise, these shares will be eligible for sale subject to the lock–</w:t>
      </w:r>
    </w:p>
    <w:p>
      <w:pPr>
        <w:spacing w:after="0"/>
        <w:rPr>
          <w:sz w:val="20"/>
          <w:szCs w:val="20"/>
          <w:color w:val="auto"/>
        </w:rPr>
      </w:pPr>
      <w:r>
        <w:rPr>
          <w:rFonts w:ascii="Arial" w:cs="Arial" w:eastAsia="Arial" w:hAnsi="Arial"/>
          <w:sz w:val="17"/>
          <w:szCs w:val="17"/>
          <w:color w:val="auto"/>
        </w:rPr>
        <w:t>up agreements described below and the holding requirements of Rules 144 and 701 under the Securities Act.</w:t>
      </w:r>
    </w:p>
    <w:p>
      <w:pPr>
        <w:spacing w:after="0" w:line="197"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In addition, under the Plan, we intend to grant to certain of our employees in connection with this offering equity awards with respect to an aggregate of up to 2% of our fully diluted shares of common stock outstanding immediately following the completion of the offering. We have not yet determined the allocation of such equity awards among the individuals. The shares issuable with respect to these awards not held by our affiliates will be freely tradable without restriction under the Securities Act, however, they will be subject to the 180-day lock-up arrangements described under “—Lock-Up Agreements.” See “Executive and Director Compensation—Narrative to Summary Compensation Table—Offering Grants to Employees under the 2016 Incentive Award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96"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We, our officers, directors and holders of substantially all of our outstanding capital stock have agreed, subject to specified exceptions, not to directly or indirectly:</w:t>
      </w:r>
    </w:p>
    <w:p>
      <w:pPr>
        <w:spacing w:after="0" w:line="180" w:lineRule="exact"/>
        <w:rPr>
          <w:sz w:val="20"/>
          <w:szCs w:val="20"/>
          <w:color w:val="auto"/>
        </w:rPr>
      </w:pPr>
    </w:p>
    <w:p>
      <w:pPr>
        <w:ind w:left="800" w:right="300" w:hanging="455"/>
        <w:spacing w:after="0" w:line="195" w:lineRule="auto"/>
        <w:tabs>
          <w:tab w:leader="none" w:pos="800"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22" w:lineRule="exact"/>
        <w:rPr>
          <w:rFonts w:ascii="Arial" w:cs="Arial" w:eastAsia="Arial" w:hAnsi="Arial"/>
          <w:sz w:val="24"/>
          <w:szCs w:val="24"/>
          <w:color w:val="auto"/>
          <w:vertAlign w:val="superscript"/>
        </w:rPr>
      </w:pPr>
    </w:p>
    <w:p>
      <w:pPr>
        <w:ind w:left="800" w:right="560" w:hanging="455"/>
        <w:spacing w:after="0" w:line="205" w:lineRule="auto"/>
        <w:tabs>
          <w:tab w:leader="none" w:pos="800" w:val="left"/>
        </w:tabs>
        <w:numPr>
          <w:ilvl w:val="0"/>
          <w:numId w:val="77"/>
        </w:numPr>
        <w:rPr>
          <w:rFonts w:ascii="Arial" w:cs="Arial" w:eastAsia="Arial" w:hAnsi="Arial"/>
          <w:sz w:val="23"/>
          <w:szCs w:val="23"/>
          <w:color w:val="auto"/>
          <w:vertAlign w:val="superscript"/>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2" w:lineRule="exact"/>
        <w:rPr>
          <w:rFonts w:ascii="Arial" w:cs="Arial" w:eastAsia="Arial" w:hAnsi="Arial"/>
          <w:sz w:val="23"/>
          <w:szCs w:val="23"/>
          <w:color w:val="auto"/>
          <w:vertAlign w:val="superscript"/>
        </w:rPr>
      </w:pPr>
    </w:p>
    <w:p>
      <w:pPr>
        <w:ind w:left="800" w:right="540" w:hanging="455"/>
        <w:spacing w:after="0" w:line="195" w:lineRule="auto"/>
        <w:tabs>
          <w:tab w:leader="none" w:pos="800"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180th day after the date of this prospectus.</w:t>
      </w:r>
    </w:p>
    <w:p>
      <w:pPr>
        <w:spacing w:after="0" w:line="14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4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Upon the expiration of the applicable lock-up periods, substantially all of the shares subject to such lock-up restrictions will become eligible for sale, subject to the limitations discussed above.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00"/>
          </w:cols>
          <w:pgMar w:left="240" w:top="449" w:right="25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3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380"/>
          </w:cols>
          <w:pgMar w:left="240" w:top="449" w:right="279" w:bottom="1440" w:gutter="0" w:footer="0" w:header="0"/>
        </w:sectPr>
      </w:pPr>
    </w:p>
    <w:p>
      <w:pPr>
        <w:spacing w:after="0" w:line="172" w:lineRule="exact"/>
        <w:rPr>
          <w:sz w:val="20"/>
          <w:szCs w:val="20"/>
          <w:color w:val="auto"/>
        </w:rPr>
      </w:pPr>
    </w:p>
    <w:p>
      <w:pPr>
        <w:ind w:left="340"/>
        <w:spacing w:after="0"/>
        <w:rPr>
          <w:sz w:val="20"/>
          <w:szCs w:val="20"/>
          <w:color w:val="auto"/>
        </w:rPr>
      </w:pPr>
      <w:r>
        <w:rPr>
          <w:rFonts w:ascii="Arial" w:cs="Arial" w:eastAsia="Arial" w:hAnsi="Arial"/>
          <w:sz w:val="10"/>
          <w:szCs w:val="10"/>
          <w:color w:val="auto"/>
        </w:rPr>
        <w:t>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221" w:lineRule="exact"/>
        <w:rPr>
          <w:sz w:val="20"/>
          <w:szCs w:val="20"/>
          <w:color w:val="auto"/>
        </w:rPr>
      </w:pPr>
    </w:p>
    <w:p>
      <w:pPr>
        <w:sectPr>
          <w:pgSz w:w="11900" w:h="16838" w:orient="portrait"/>
          <w:cols w:equalWidth="0" w:num="3">
            <w:col w:w="400" w:space="400"/>
            <w:col w:w="7260" w:space="720"/>
            <w:col w:w="2600"/>
          </w:cols>
          <w:pgMar w:left="240" w:top="449" w:right="279" w:bottom="1440" w:gutter="0" w:footer="0" w:header="0"/>
          <w:type w:val="continuous"/>
        </w:sectPr>
      </w:pPr>
    </w:p>
    <w:p>
      <w:pPr>
        <w:ind w:left="800" w:right="260" w:hanging="455"/>
        <w:spacing w:after="0" w:line="195" w:lineRule="auto"/>
        <w:tabs>
          <w:tab w:leader="none" w:pos="800" w:val="left"/>
        </w:tabs>
        <w:numPr>
          <w:ilvl w:val="0"/>
          <w:numId w:val="78"/>
        </w:numPr>
        <w:rPr>
          <w:rFonts w:ascii="Arial" w:cs="Arial" w:eastAsia="Arial" w:hAnsi="Arial"/>
          <w:sz w:val="24"/>
          <w:szCs w:val="24"/>
          <w:color w:val="auto"/>
          <w:vertAlign w:val="superscript"/>
        </w:rPr>
      </w:pPr>
      <w:r>
        <w:rPr>
          <w:rFonts w:ascii="Arial" w:cs="Arial" w:eastAsia="Arial" w:hAnsi="Arial"/>
          <w:sz w:val="17"/>
          <w:szCs w:val="17"/>
          <w:color w:val="auto"/>
        </w:rPr>
        <w:t>the average weekly trading volume in our common stock on NASDAQ during the four calendar weeks preceding the filing of a notice on Form 144 with respect to such sale.</w:t>
      </w:r>
    </w:p>
    <w:p>
      <w:pPr>
        <w:spacing w:after="0" w:line="14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34"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shares of our common stock for at least one year, such person can resell under Rule 144(b)(1) without regard to any Rule 144 restrictions, including the 90-day public company requirement and the current public information requirement.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96"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4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83"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the Plan. We expect to file the registration statement covering shares offered pursuant to the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83"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Upon the closing of this offering, the holders of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“Certain Relationships and Related Person Transactions—Registration Rights Agreement” for additional information. Shares covered by a registration statement will be eligible for sale in the public market upon the expiration or release from the terms of the lock-up agreement.</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380"/>
          </w:cols>
          <w:pgMar w:left="240" w:top="449" w:right="279" w:bottom="1440" w:gutter="0" w:footer="0" w:header="0"/>
          <w:type w:val="continuous"/>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MATERIAL U.S. FEDERAL INCOME TAX CONSEQUENCES TO NON-U.S. HOLDERS</w:t>
      </w:r>
    </w:p>
    <w:p>
      <w:pPr>
        <w:spacing w:after="0" w:line="33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43"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04" w:lineRule="exact"/>
        <w:rPr>
          <w:sz w:val="20"/>
          <w:szCs w:val="20"/>
          <w:color w:val="auto"/>
        </w:rPr>
      </w:pPr>
    </w:p>
    <w:p>
      <w:pPr>
        <w:ind w:left="800" w:hanging="455"/>
        <w:spacing w:after="0"/>
        <w:tabs>
          <w:tab w:leader="none" w:pos="800" w:val="left"/>
        </w:tabs>
        <w:numPr>
          <w:ilvl w:val="0"/>
          <w:numId w:val="79"/>
        </w:numPr>
        <w:rPr>
          <w:rFonts w:ascii="Arial" w:cs="Arial" w:eastAsia="Arial" w:hAnsi="Arial"/>
          <w:sz w:val="24"/>
          <w:szCs w:val="24"/>
          <w:color w:val="auto"/>
          <w:vertAlign w:val="superscript"/>
        </w:rPr>
      </w:pPr>
      <w:r>
        <w:rPr>
          <w:rFonts w:ascii="Arial" w:cs="Arial" w:eastAsia="Arial" w:hAnsi="Arial"/>
          <w:sz w:val="17"/>
          <w:szCs w:val="17"/>
          <w:color w:val="auto"/>
        </w:rPr>
        <w:t>U.S. expatriates and former citizens or long-term residents of the United States;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persons subject to the alternative minimum tax;</w:t>
      </w:r>
    </w:p>
    <w:p>
      <w:pPr>
        <w:spacing w:after="0" w:line="23" w:lineRule="exact"/>
        <w:rPr>
          <w:rFonts w:ascii="Arial" w:cs="Arial" w:eastAsia="Arial" w:hAnsi="Arial"/>
          <w:sz w:val="23"/>
          <w:szCs w:val="23"/>
          <w:color w:val="auto"/>
          <w:vertAlign w:val="superscript"/>
        </w:rPr>
      </w:pPr>
    </w:p>
    <w:p>
      <w:pPr>
        <w:ind w:left="800" w:right="220" w:hanging="455"/>
        <w:spacing w:after="0" w:line="195" w:lineRule="auto"/>
        <w:tabs>
          <w:tab w:leader="none" w:pos="800" w:val="left"/>
        </w:tabs>
        <w:numPr>
          <w:ilvl w:val="0"/>
          <w:numId w:val="79"/>
        </w:numPr>
        <w:rPr>
          <w:rFonts w:ascii="Arial" w:cs="Arial" w:eastAsia="Arial" w:hAnsi="Arial"/>
          <w:sz w:val="24"/>
          <w:szCs w:val="24"/>
          <w:color w:val="auto"/>
          <w:vertAlign w:val="superscript"/>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ind w:left="800" w:hanging="455"/>
        <w:spacing w:after="0" w:line="193" w:lineRule="auto"/>
        <w:tabs>
          <w:tab w:leader="none" w:pos="800" w:val="left"/>
        </w:tabs>
        <w:numPr>
          <w:ilvl w:val="0"/>
          <w:numId w:val="79"/>
        </w:numPr>
        <w:rPr>
          <w:rFonts w:ascii="Arial" w:cs="Arial" w:eastAsia="Arial" w:hAnsi="Arial"/>
          <w:sz w:val="24"/>
          <w:szCs w:val="24"/>
          <w:color w:val="auto"/>
          <w:vertAlign w:val="superscript"/>
        </w:rPr>
      </w:pPr>
      <w:r>
        <w:rPr>
          <w:rFonts w:ascii="Arial" w:cs="Arial" w:eastAsia="Arial" w:hAnsi="Arial"/>
          <w:sz w:val="17"/>
          <w:szCs w:val="17"/>
          <w:color w:val="auto"/>
        </w:rPr>
        <w:t>banks, insurance companies, and other financial institutions;</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brokers, dealers or traders in securities;</w:t>
      </w:r>
    </w:p>
    <w:p>
      <w:pPr>
        <w:spacing w:after="0" w:line="23" w:lineRule="exact"/>
        <w:rPr>
          <w:rFonts w:ascii="Arial" w:cs="Arial" w:eastAsia="Arial" w:hAnsi="Arial"/>
          <w:sz w:val="23"/>
          <w:szCs w:val="23"/>
          <w:color w:val="auto"/>
          <w:vertAlign w:val="superscript"/>
        </w:rPr>
      </w:pPr>
    </w:p>
    <w:p>
      <w:pPr>
        <w:ind w:left="800" w:right="400" w:hanging="455"/>
        <w:spacing w:after="0" w:line="195" w:lineRule="auto"/>
        <w:tabs>
          <w:tab w:leader="none" w:pos="800" w:val="left"/>
        </w:tabs>
        <w:numPr>
          <w:ilvl w:val="0"/>
          <w:numId w:val="79"/>
        </w:numPr>
        <w:rPr>
          <w:rFonts w:ascii="Arial" w:cs="Arial" w:eastAsia="Arial" w:hAnsi="Arial"/>
          <w:sz w:val="24"/>
          <w:szCs w:val="24"/>
          <w:color w:val="auto"/>
          <w:vertAlign w:val="superscript"/>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ind w:left="800" w:hanging="455"/>
        <w:spacing w:after="0" w:line="193" w:lineRule="auto"/>
        <w:tabs>
          <w:tab w:leader="none" w:pos="800" w:val="left"/>
        </w:tabs>
        <w:numPr>
          <w:ilvl w:val="0"/>
          <w:numId w:val="79"/>
        </w:numPr>
        <w:rPr>
          <w:rFonts w:ascii="Arial" w:cs="Arial" w:eastAsia="Arial" w:hAnsi="Arial"/>
          <w:sz w:val="24"/>
          <w:szCs w:val="24"/>
          <w:color w:val="auto"/>
          <w:vertAlign w:val="superscript"/>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23"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tax-exempt organizations or governmental organizations;</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persons deemed to sell our common stock under the constructive sale provisions of the Code;</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tax-qualified retirement plans.</w:t>
      </w:r>
    </w:p>
    <w:p>
      <w:pPr>
        <w:spacing w:after="0" w:line="14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320"/>
          </w:cols>
          <w:pgMar w:left="240" w:top="449" w:right="3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a Non-U.S. Holder</w:t>
      </w:r>
    </w:p>
    <w:p>
      <w:pPr>
        <w:spacing w:after="0" w:line="96"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800" w:hanging="455"/>
        <w:spacing w:after="0"/>
        <w:tabs>
          <w:tab w:leader="none" w:pos="800" w:val="left"/>
        </w:tabs>
        <w:numPr>
          <w:ilvl w:val="0"/>
          <w:numId w:val="80"/>
        </w:numPr>
        <w:rPr>
          <w:rFonts w:ascii="Arial" w:cs="Arial" w:eastAsia="Arial" w:hAnsi="Arial"/>
          <w:sz w:val="24"/>
          <w:szCs w:val="24"/>
          <w:color w:val="auto"/>
          <w:vertAlign w:val="superscript"/>
        </w:rPr>
      </w:pPr>
      <w:r>
        <w:rPr>
          <w:rFonts w:ascii="Arial" w:cs="Arial" w:eastAsia="Arial" w:hAnsi="Arial"/>
          <w:sz w:val="17"/>
          <w:szCs w:val="17"/>
          <w:color w:val="auto"/>
        </w:rPr>
        <w:t>an individual who is a citizen or resident of the United States;</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80"/>
        </w:numPr>
        <w:rPr>
          <w:rFonts w:ascii="Arial" w:cs="Arial" w:eastAsia="Arial" w:hAnsi="Arial"/>
          <w:sz w:val="23"/>
          <w:szCs w:val="23"/>
          <w:color w:val="auto"/>
          <w:vertAlign w:val="superscript"/>
        </w:rPr>
      </w:pPr>
      <w:r>
        <w:rPr>
          <w:rFonts w:ascii="Arial" w:cs="Arial" w:eastAsia="Arial" w:hAnsi="Arial"/>
          <w:sz w:val="16"/>
          <w:szCs w:val="16"/>
          <w:color w:val="auto"/>
        </w:rPr>
        <w:t>a corporation created or organized under the laws of the United States, any state thereof, or the District of Columbia;</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80"/>
        </w:numPr>
        <w:rPr>
          <w:rFonts w:ascii="Arial" w:cs="Arial" w:eastAsia="Arial" w:hAnsi="Arial"/>
          <w:sz w:val="23"/>
          <w:szCs w:val="23"/>
          <w:color w:val="auto"/>
          <w:vertAlign w:val="superscript"/>
        </w:rPr>
      </w:pPr>
      <w:r>
        <w:rPr>
          <w:rFonts w:ascii="Arial" w:cs="Arial" w:eastAsia="Arial" w:hAnsi="Arial"/>
          <w:sz w:val="16"/>
          <w:szCs w:val="16"/>
          <w:color w:val="auto"/>
        </w:rPr>
        <w:t>an estate, the income of which is subject to U.S. federal income tax regardless of its source; or</w:t>
      </w:r>
    </w:p>
    <w:p>
      <w:pPr>
        <w:spacing w:after="0" w:line="23" w:lineRule="exact"/>
        <w:rPr>
          <w:rFonts w:ascii="Arial" w:cs="Arial" w:eastAsia="Arial" w:hAnsi="Arial"/>
          <w:sz w:val="23"/>
          <w:szCs w:val="23"/>
          <w:color w:val="auto"/>
          <w:vertAlign w:val="superscript"/>
        </w:rPr>
      </w:pPr>
    </w:p>
    <w:p>
      <w:pPr>
        <w:ind w:left="800" w:right="40" w:hanging="455"/>
        <w:spacing w:after="0" w:line="203" w:lineRule="auto"/>
        <w:tabs>
          <w:tab w:leader="none" w:pos="800" w:val="left"/>
        </w:tabs>
        <w:numPr>
          <w:ilvl w:val="0"/>
          <w:numId w:val="80"/>
        </w:numPr>
        <w:rPr>
          <w:rFonts w:ascii="Arial" w:cs="Arial" w:eastAsia="Arial" w:hAnsi="Arial"/>
          <w:sz w:val="24"/>
          <w:szCs w:val="24"/>
          <w:color w:val="auto"/>
          <w:vertAlign w:val="superscript"/>
        </w:rPr>
      </w:pPr>
      <w:r>
        <w:rPr>
          <w:rFonts w:ascii="Arial" w:cs="Arial" w:eastAsia="Arial" w:hAnsi="Arial"/>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83"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3"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41" w:lineRule="exact"/>
        <w:rPr>
          <w:sz w:val="20"/>
          <w:szCs w:val="20"/>
          <w:color w:val="auto"/>
        </w:rPr>
      </w:pPr>
    </w:p>
    <w:p>
      <w:pPr>
        <w:jc w:val="both"/>
        <w:ind w:right="60"/>
        <w:spacing w:after="0" w:line="230"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or Other Taxable Disposition</w:t>
      </w:r>
    </w:p>
    <w:p>
      <w:pPr>
        <w:spacing w:after="0" w:line="123"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Subject to the discussion below regarding FATCA, a Non-U.S. Holder will not be subject to U.S. federal income tax on any gain realized upon the sale or other taxable disposition of our common stock unless:</w:t>
      </w:r>
    </w:p>
    <w:p>
      <w:pPr>
        <w:spacing w:after="0" w:line="180" w:lineRule="exact"/>
        <w:rPr>
          <w:sz w:val="20"/>
          <w:szCs w:val="20"/>
          <w:color w:val="auto"/>
        </w:rPr>
      </w:pPr>
    </w:p>
    <w:p>
      <w:pPr>
        <w:ind w:left="800" w:right="100" w:hanging="455"/>
        <w:spacing w:after="0" w:line="205" w:lineRule="auto"/>
        <w:tabs>
          <w:tab w:leader="none" w:pos="800" w:val="left"/>
        </w:tabs>
        <w:numPr>
          <w:ilvl w:val="0"/>
          <w:numId w:val="81"/>
        </w:numPr>
        <w:rPr>
          <w:rFonts w:ascii="Arial" w:cs="Arial" w:eastAsia="Arial" w:hAnsi="Arial"/>
          <w:sz w:val="23"/>
          <w:szCs w:val="23"/>
          <w:color w:val="auto"/>
          <w:vertAlign w:val="superscript"/>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2" w:lineRule="exact"/>
        <w:rPr>
          <w:rFonts w:ascii="Arial" w:cs="Arial" w:eastAsia="Arial" w:hAnsi="Arial"/>
          <w:sz w:val="23"/>
          <w:szCs w:val="23"/>
          <w:color w:val="auto"/>
          <w:vertAlign w:val="superscript"/>
        </w:rPr>
      </w:pPr>
    </w:p>
    <w:p>
      <w:pPr>
        <w:ind w:left="800" w:right="40" w:hanging="455"/>
        <w:spacing w:after="0" w:line="195" w:lineRule="auto"/>
        <w:tabs>
          <w:tab w:leader="none" w:pos="800" w:val="left"/>
        </w:tabs>
        <w:numPr>
          <w:ilvl w:val="0"/>
          <w:numId w:val="81"/>
        </w:numPr>
        <w:rPr>
          <w:rFonts w:ascii="Arial" w:cs="Arial" w:eastAsia="Arial" w:hAnsi="Arial"/>
          <w:sz w:val="24"/>
          <w:szCs w:val="24"/>
          <w:color w:val="auto"/>
          <w:vertAlign w:val="superscript"/>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360"/>
          </w:cols>
          <w:pgMar w:left="240" w:top="449" w:right="29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800" w:right="380" w:hanging="455"/>
        <w:spacing w:after="0" w:line="195" w:lineRule="auto"/>
        <w:tabs>
          <w:tab w:leader="none" w:pos="800" w:val="left"/>
        </w:tabs>
        <w:numPr>
          <w:ilvl w:val="0"/>
          <w:numId w:val="82"/>
        </w:numPr>
        <w:rPr>
          <w:rFonts w:ascii="Arial" w:cs="Arial" w:eastAsia="Arial" w:hAnsi="Arial"/>
          <w:sz w:val="24"/>
          <w:szCs w:val="24"/>
          <w:color w:val="auto"/>
          <w:vertAlign w:val="superscript"/>
        </w:rPr>
      </w:pPr>
      <w:r>
        <w:rPr>
          <w:rFonts w:ascii="Arial" w:cs="Arial" w:eastAsia="Arial" w:hAnsi="Arial"/>
          <w:sz w:val="17"/>
          <w:szCs w:val="17"/>
          <w:color w:val="auto"/>
        </w:rPr>
        <w:t>our common stock constitutes a U.S. real property interest, or USRPI, by reason of our status as a U.S. real property holding corporation, or USRPHC, for U.S. federal income tax purposes.</w:t>
      </w: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43"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and/or constructively, 5% or less of our common stock throughout the shorter of the five-year period ending on the date of the sale or other taxable disposition or the Non-U.S. Holder’s holding period.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9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4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1"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8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00"/>
          </w:cols>
          <w:pgMar w:left="240" w:top="449" w:right="2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have any “substantial United States owners” (as defined in the Code) or furnishes identifying information regarding each substantial United States owner, or</w:t>
      </w:r>
    </w:p>
    <w:p>
      <w:pPr>
        <w:ind w:right="80" w:firstLine="5"/>
        <w:spacing w:after="0" w:line="228" w:lineRule="auto"/>
        <w:tabs>
          <w:tab w:leader="none" w:pos="24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3" w:lineRule="exact"/>
        <w:rPr>
          <w:sz w:val="20"/>
          <w:szCs w:val="20"/>
          <w:color w:val="auto"/>
        </w:rPr>
      </w:pPr>
    </w:p>
    <w:p>
      <w:pPr>
        <w:ind w:right="500"/>
        <w:spacing w:after="0" w:line="23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w:t>
      </w:r>
    </w:p>
    <w:p>
      <w:pPr>
        <w:spacing w:after="0" w:line="141" w:lineRule="exact"/>
        <w:rPr>
          <w:sz w:val="20"/>
          <w:szCs w:val="20"/>
          <w:color w:val="auto"/>
        </w:rPr>
      </w:pPr>
    </w:p>
    <w:p>
      <w:pPr>
        <w:ind w:right="660"/>
        <w:spacing w:after="0" w:line="235"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tax under FATCA to their investment in our common stock.</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00"/>
          </w:cols>
          <w:pgMar w:left="240" w:top="449" w:right="2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332" w:lineRule="exact"/>
        <w:rPr>
          <w:sz w:val="20"/>
          <w:szCs w:val="20"/>
          <w:color w:val="auto"/>
        </w:rPr>
      </w:pPr>
    </w:p>
    <w:p>
      <w:pPr>
        <w:jc w:val="both"/>
        <w:ind w:right="80"/>
        <w:spacing w:after="0" w:line="231" w:lineRule="auto"/>
        <w:rPr>
          <w:sz w:val="20"/>
          <w:szCs w:val="20"/>
          <w:color w:val="auto"/>
        </w:rPr>
      </w:pPr>
      <w:r>
        <w:rPr>
          <w:rFonts w:ascii="Arial" w:cs="Arial" w:eastAsia="Arial" w:hAnsi="Arial"/>
          <w:sz w:val="17"/>
          <w:szCs w:val="17"/>
          <w:color w:val="auto"/>
        </w:rPr>
        <w:t>Subject to the terms and conditions set forth in the underwriting agreement, dated , 2016, among us and Jefferies LLC and Credit Suisse Securities (USA) LLC, as the representatives of the underwriters named below,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75"/>
        </w:trPr>
        <w:tc>
          <w:tcPr>
            <w:tcW w:w="10540" w:type="dxa"/>
            <w:vAlign w:val="bottom"/>
            <w:gridSpan w:val="2"/>
            <w:vMerge w:val="continue"/>
          </w:tcPr>
          <w:p>
            <w:pPr>
              <w:spacing w:after="0"/>
              <w:rPr>
                <w:sz w:val="15"/>
                <w:szCs w:val="15"/>
                <w:color w:val="auto"/>
              </w:rPr>
            </w:pPr>
          </w:p>
        </w:tc>
        <w:tc>
          <w:tcPr>
            <w:tcW w:w="88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56"/>
        </w:trPr>
        <w:tc>
          <w:tcPr>
            <w:tcW w:w="10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rPr>
              <w:t>Jefferies LLC</w:t>
            </w:r>
          </w:p>
        </w:tc>
        <w:tc>
          <w:tcPr>
            <w:tcW w:w="94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540" w:type="dxa"/>
            <w:vAlign w:val="bottom"/>
            <w:gridSpan w:val="2"/>
          </w:tcPr>
          <w:p>
            <w:pPr>
              <w:spacing w:after="0" w:line="184" w:lineRule="exact"/>
              <w:rPr>
                <w:sz w:val="20"/>
                <w:szCs w:val="20"/>
                <w:color w:val="auto"/>
              </w:rPr>
            </w:pPr>
            <w:r>
              <w:rPr>
                <w:rFonts w:ascii="Arial" w:cs="Arial" w:eastAsia="Arial" w:hAnsi="Arial"/>
                <w:sz w:val="17"/>
                <w:szCs w:val="17"/>
                <w:color w:val="auto"/>
              </w:rPr>
              <w:t>Credit Suisse Securities (USA) LLC</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54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UBS Securities LLC</w:t>
            </w: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540" w:type="dxa"/>
            <w:vAlign w:val="bottom"/>
            <w:gridSpan w:val="2"/>
          </w:tcPr>
          <w:p>
            <w:pPr>
              <w:spacing w:after="0" w:line="184" w:lineRule="exact"/>
              <w:rPr>
                <w:sz w:val="20"/>
                <w:szCs w:val="20"/>
                <w:color w:val="auto"/>
              </w:rPr>
            </w:pPr>
            <w:r>
              <w:rPr>
                <w:rFonts w:ascii="Arial" w:cs="Arial" w:eastAsia="Arial" w:hAnsi="Arial"/>
                <w:sz w:val="17"/>
                <w:szCs w:val="17"/>
                <w:color w:val="auto"/>
              </w:rPr>
              <w:t>Wells Fargo Securities, LLC</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54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Robert W. Baird &amp; Co. Incorporated</w:t>
            </w: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540" w:type="dxa"/>
            <w:vAlign w:val="bottom"/>
            <w:gridSpan w:val="2"/>
          </w:tcPr>
          <w:p>
            <w:pPr>
              <w:spacing w:after="0" w:line="184" w:lineRule="exact"/>
              <w:rPr>
                <w:sz w:val="20"/>
                <w:szCs w:val="20"/>
                <w:color w:val="auto"/>
              </w:rPr>
            </w:pPr>
            <w:r>
              <w:rPr>
                <w:rFonts w:ascii="Arial" w:cs="Arial" w:eastAsia="Arial" w:hAnsi="Arial"/>
                <w:sz w:val="17"/>
                <w:szCs w:val="17"/>
                <w:color w:val="auto"/>
              </w:rPr>
              <w:t>William Blair &amp; Company, L.L.C.</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540" w:type="dxa"/>
            <w:vAlign w:val="bottom"/>
            <w:gridSpan w:val="2"/>
            <w:shd w:val="clear" w:color="auto" w:fill="CCEEFF"/>
          </w:tcPr>
          <w:p>
            <w:pPr>
              <w:ind w:left="260"/>
              <w:spacing w:after="0" w:line="184" w:lineRule="exact"/>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8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80"/>
        <w:spacing w:after="0" w:line="228"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3"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The shares of common stock will constitute a new class of securities with no established trading market. 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41"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the shares of common stock to the public at the initial public offering price set forth on the cover</w:t>
      </w:r>
    </w:p>
    <w:p>
      <w:pPr>
        <w:ind w:right="440"/>
        <w:spacing w:after="0" w:line="225" w:lineRule="auto"/>
        <w:rPr>
          <w:sz w:val="20"/>
          <w:szCs w:val="20"/>
          <w:color w:val="auto"/>
        </w:rPr>
      </w:pPr>
      <w:r>
        <w:rPr>
          <w:rFonts w:ascii="Arial" w:cs="Arial" w:eastAsia="Arial" w:hAnsi="Arial"/>
          <w:sz w:val="17"/>
          <w:szCs w:val="17"/>
          <w:color w:val="auto"/>
        </w:rPr>
        <w:t>page of this prospectus and to certain dealers, which may include the underwriters, at that price less a concession not in excess of $ per share of common stock. The underwriters may allow, and certain dealers may reallow, a discount from the concession not in excess of $ per share of</w:t>
      </w:r>
    </w:p>
    <w:p>
      <w:pPr>
        <w:ind w:right="160"/>
        <w:spacing w:after="0" w:line="260" w:lineRule="auto"/>
        <w:rPr>
          <w:sz w:val="20"/>
          <w:szCs w:val="20"/>
          <w:color w:val="auto"/>
        </w:rPr>
      </w:pPr>
      <w:r>
        <w:rPr>
          <w:rFonts w:ascii="Arial" w:cs="Arial" w:eastAsia="Arial" w:hAnsi="Arial"/>
          <w:sz w:val="16"/>
          <w:szCs w:val="16"/>
          <w:color w:val="auto"/>
        </w:rPr>
        <w:t>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20"/>
          </w:cols>
          <w:pgMar w:left="240" w:top="449"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2440" w:type="dxa"/>
            <w:vAlign w:val="bottom"/>
            <w:gridSpan w:val="3"/>
          </w:tcPr>
          <w:p>
            <w:pPr>
              <w:jc w:val="right"/>
              <w:ind w:right="749"/>
              <w:spacing w:after="0"/>
              <w:rPr>
                <w:sz w:val="20"/>
                <w:szCs w:val="20"/>
                <w:color w:val="auto"/>
              </w:rPr>
            </w:pPr>
            <w:r>
              <w:rPr>
                <w:rFonts w:ascii="Arial" w:cs="Arial" w:eastAsia="Arial" w:hAnsi="Arial"/>
                <w:sz w:val="14"/>
                <w:szCs w:val="14"/>
                <w:b w:val="1"/>
                <w:bCs w:val="1"/>
                <w:color w:val="auto"/>
              </w:rPr>
              <w:t>PER SHARE</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r>
      <w:tr>
        <w:trPr>
          <w:trHeight w:val="139"/>
        </w:trPr>
        <w:tc>
          <w:tcPr>
            <w:tcW w:w="5740" w:type="dxa"/>
            <w:vAlign w:val="bottom"/>
          </w:tcPr>
          <w:p>
            <w:pPr>
              <w:spacing w:after="0"/>
              <w:rPr>
                <w:sz w:val="12"/>
                <w:szCs w:val="12"/>
                <w:color w:val="auto"/>
              </w:rPr>
            </w:pPr>
          </w:p>
        </w:tc>
        <w:tc>
          <w:tcPr>
            <w:tcW w:w="1580" w:type="dxa"/>
            <w:vAlign w:val="bottom"/>
            <w:tcBorders>
              <w:top w:val="single" w:sz="8" w:color="auto"/>
            </w:tcBorders>
            <w:gridSpan w:val="2"/>
          </w:tcPr>
          <w:p>
            <w:pPr>
              <w:jc w:val="center"/>
              <w:ind w:right="720"/>
              <w:spacing w:after="0" w:line="139" w:lineRule="exact"/>
              <w:rPr>
                <w:sz w:val="20"/>
                <w:szCs w:val="20"/>
                <w:color w:val="auto"/>
              </w:rPr>
            </w:pPr>
            <w:r>
              <w:rPr>
                <w:rFonts w:ascii="Arial" w:cs="Arial" w:eastAsia="Arial" w:hAnsi="Arial"/>
                <w:sz w:val="14"/>
                <w:szCs w:val="14"/>
                <w:b w:val="1"/>
                <w:bCs w:val="1"/>
                <w:color w:val="auto"/>
              </w:rPr>
              <w:t>WITHOUT</w:t>
            </w:r>
          </w:p>
        </w:tc>
        <w:tc>
          <w:tcPr>
            <w:tcW w:w="8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w:t>
            </w:r>
          </w:p>
        </w:tc>
        <w:tc>
          <w:tcPr>
            <w:tcW w:w="700" w:type="dxa"/>
            <w:vAlign w:val="bottom"/>
          </w:tcPr>
          <w:p>
            <w:pPr>
              <w:spacing w:after="0"/>
              <w:rPr>
                <w:sz w:val="12"/>
                <w:szCs w:val="12"/>
                <w:color w:val="auto"/>
              </w:rPr>
            </w:pPr>
          </w:p>
        </w:tc>
        <w:tc>
          <w:tcPr>
            <w:tcW w:w="8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WITHOUT</w:t>
            </w:r>
          </w:p>
        </w:tc>
        <w:tc>
          <w:tcPr>
            <w:tcW w:w="7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2"/>
                <w:szCs w:val="12"/>
                <w:color w:val="auto"/>
              </w:rPr>
            </w:pPr>
          </w:p>
        </w:tc>
      </w:tr>
      <w:tr>
        <w:trPr>
          <w:trHeight w:val="157"/>
        </w:trPr>
        <w:tc>
          <w:tcPr>
            <w:tcW w:w="5740" w:type="dxa"/>
            <w:vAlign w:val="bottom"/>
          </w:tcPr>
          <w:p>
            <w:pPr>
              <w:spacing w:after="0"/>
              <w:rPr>
                <w:sz w:val="13"/>
                <w:szCs w:val="13"/>
                <w:color w:val="auto"/>
              </w:rPr>
            </w:pPr>
          </w:p>
        </w:tc>
        <w:tc>
          <w:tcPr>
            <w:tcW w:w="1580" w:type="dxa"/>
            <w:vAlign w:val="bottom"/>
            <w:gridSpan w:val="2"/>
          </w:tcPr>
          <w:p>
            <w:pPr>
              <w:jc w:val="center"/>
              <w:ind w:right="700"/>
              <w:spacing w:after="0" w:line="157" w:lineRule="exact"/>
              <w:rPr>
                <w:sz w:val="20"/>
                <w:szCs w:val="20"/>
                <w:color w:val="auto"/>
              </w:rPr>
            </w:pPr>
            <w:r>
              <w:rPr>
                <w:rFonts w:ascii="Arial" w:cs="Arial" w:eastAsia="Arial" w:hAnsi="Arial"/>
                <w:sz w:val="14"/>
                <w:szCs w:val="14"/>
                <w:b w:val="1"/>
                <w:bCs w:val="1"/>
                <w:color w:val="auto"/>
                <w:w w:val="98"/>
              </w:rPr>
              <w:t>OPTION TO</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OPTION TO</w:t>
            </w:r>
          </w:p>
        </w:tc>
        <w:tc>
          <w:tcPr>
            <w:tcW w:w="70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OPTION TO</w:t>
            </w:r>
          </w:p>
        </w:tc>
        <w:tc>
          <w:tcPr>
            <w:tcW w:w="720" w:type="dxa"/>
            <w:vAlign w:val="bottom"/>
          </w:tcPr>
          <w:p>
            <w:pPr>
              <w:spacing w:after="0"/>
              <w:rPr>
                <w:sz w:val="13"/>
                <w:szCs w:val="13"/>
                <w:color w:val="auto"/>
              </w:rPr>
            </w:pP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OPTION TO</w:t>
            </w:r>
          </w:p>
        </w:tc>
      </w:tr>
      <w:tr>
        <w:trPr>
          <w:trHeight w:val="157"/>
        </w:trPr>
        <w:tc>
          <w:tcPr>
            <w:tcW w:w="5740" w:type="dxa"/>
            <w:vAlign w:val="bottom"/>
          </w:tcPr>
          <w:p>
            <w:pPr>
              <w:spacing w:after="0"/>
              <w:rPr>
                <w:sz w:val="13"/>
                <w:szCs w:val="13"/>
                <w:color w:val="auto"/>
              </w:rPr>
            </w:pPr>
          </w:p>
        </w:tc>
        <w:tc>
          <w:tcPr>
            <w:tcW w:w="158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w w:val="99"/>
              </w:rPr>
              <w:t>PURCHASE</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PURCHASE</w:t>
            </w:r>
          </w:p>
        </w:tc>
        <w:tc>
          <w:tcPr>
            <w:tcW w:w="70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PURCHASE</w:t>
            </w:r>
          </w:p>
        </w:tc>
        <w:tc>
          <w:tcPr>
            <w:tcW w:w="720" w:type="dxa"/>
            <w:vAlign w:val="bottom"/>
          </w:tcPr>
          <w:p>
            <w:pPr>
              <w:spacing w:after="0"/>
              <w:rPr>
                <w:sz w:val="13"/>
                <w:szCs w:val="13"/>
                <w:color w:val="auto"/>
              </w:rPr>
            </w:pPr>
          </w:p>
        </w:tc>
        <w:tc>
          <w:tcPr>
            <w:tcW w:w="9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PURCHASE</w:t>
            </w:r>
          </w:p>
        </w:tc>
      </w:tr>
      <w:tr>
        <w:trPr>
          <w:trHeight w:val="157"/>
        </w:trPr>
        <w:tc>
          <w:tcPr>
            <w:tcW w:w="5740" w:type="dxa"/>
            <w:vAlign w:val="bottom"/>
          </w:tcPr>
          <w:p>
            <w:pPr>
              <w:spacing w:after="0"/>
              <w:rPr>
                <w:sz w:val="13"/>
                <w:szCs w:val="13"/>
                <w:color w:val="auto"/>
              </w:rPr>
            </w:pPr>
          </w:p>
        </w:tc>
        <w:tc>
          <w:tcPr>
            <w:tcW w:w="158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w w:val="99"/>
              </w:rPr>
              <w:t>ADDITIONAL</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70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720" w:type="dxa"/>
            <w:vAlign w:val="bottom"/>
          </w:tcPr>
          <w:p>
            <w:pPr>
              <w:spacing w:after="0"/>
              <w:rPr>
                <w:sz w:val="13"/>
                <w:szCs w:val="13"/>
                <w:color w:val="auto"/>
              </w:rPr>
            </w:pPr>
          </w:p>
        </w:tc>
        <w:tc>
          <w:tcPr>
            <w:tcW w:w="9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69"/>
        </w:trPr>
        <w:tc>
          <w:tcPr>
            <w:tcW w:w="5740" w:type="dxa"/>
            <w:vAlign w:val="bottom"/>
          </w:tcPr>
          <w:p>
            <w:pPr>
              <w:spacing w:after="0"/>
              <w:rPr>
                <w:sz w:val="14"/>
                <w:szCs w:val="14"/>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SHARES</w:t>
            </w:r>
          </w:p>
        </w:tc>
        <w:tc>
          <w:tcPr>
            <w:tcW w:w="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SHARES</w:t>
            </w:r>
          </w:p>
        </w:tc>
        <w:tc>
          <w:tcPr>
            <w:tcW w:w="7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SHARES</w:t>
            </w:r>
          </w:p>
        </w:tc>
      </w:tr>
      <w:tr>
        <w:trPr>
          <w:trHeight w:val="176"/>
        </w:trPr>
        <w:tc>
          <w:tcPr>
            <w:tcW w:w="57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Public offering price</w:t>
            </w:r>
          </w:p>
        </w:tc>
        <w:tc>
          <w:tcPr>
            <w:tcW w:w="860" w:type="dxa"/>
            <w:vAlign w:val="bottom"/>
            <w:tcBorders>
              <w:top w:val="single" w:sz="8" w:color="auto"/>
            </w:tcBorders>
            <w:shd w:val="clear" w:color="auto" w:fill="CCEEFF"/>
          </w:tcPr>
          <w:p>
            <w:pPr>
              <w:jc w:val="right"/>
              <w:ind w:right="686"/>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88"/>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5740" w:type="dxa"/>
            <w:vAlign w:val="bottom"/>
          </w:tcPr>
          <w:p>
            <w:pPr>
              <w:spacing w:after="0" w:line="184" w:lineRule="exact"/>
              <w:rPr>
                <w:sz w:val="20"/>
                <w:szCs w:val="20"/>
                <w:color w:val="auto"/>
              </w:rPr>
            </w:pPr>
            <w:r>
              <w:rPr>
                <w:rFonts w:ascii="Arial" w:cs="Arial" w:eastAsia="Arial" w:hAnsi="Arial"/>
                <w:sz w:val="17"/>
                <w:szCs w:val="17"/>
                <w:color w:val="auto"/>
              </w:rPr>
              <w:t>Underwriting discounts and commissions paid by us</w:t>
            </w:r>
          </w:p>
        </w:tc>
        <w:tc>
          <w:tcPr>
            <w:tcW w:w="860" w:type="dxa"/>
            <w:vAlign w:val="bottom"/>
          </w:tcPr>
          <w:p>
            <w:pPr>
              <w:jc w:val="right"/>
              <w:ind w:right="686"/>
              <w:spacing w:after="0" w:line="184" w:lineRule="exact"/>
              <w:rPr>
                <w:sz w:val="20"/>
                <w:szCs w:val="20"/>
                <w:color w:val="auto"/>
              </w:rPr>
            </w:pPr>
            <w:r>
              <w:rPr>
                <w:rFonts w:ascii="Arial" w:cs="Arial" w:eastAsia="Arial" w:hAnsi="Arial"/>
                <w:sz w:val="17"/>
                <w:szCs w:val="17"/>
                <w:color w:val="auto"/>
                <w:w w:val="84"/>
              </w:rPr>
              <w:t>$</w:t>
            </w:r>
          </w:p>
        </w:tc>
        <w:tc>
          <w:tcPr>
            <w:tcW w:w="720" w:type="dxa"/>
            <w:vAlign w:val="bottom"/>
          </w:tcPr>
          <w:p>
            <w:pPr>
              <w:spacing w:after="0"/>
              <w:rPr>
                <w:sz w:val="15"/>
                <w:szCs w:val="15"/>
                <w:color w:val="auto"/>
              </w:rPr>
            </w:pPr>
          </w:p>
        </w:tc>
        <w:tc>
          <w:tcPr>
            <w:tcW w:w="860" w:type="dxa"/>
            <w:vAlign w:val="bottom"/>
          </w:tcPr>
          <w:p>
            <w:pPr>
              <w:jc w:val="right"/>
              <w:ind w:right="709"/>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8"/>
              <w:spacing w:after="0" w:line="184"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710"/>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r>
      <w:tr>
        <w:trPr>
          <w:trHeight w:val="183"/>
        </w:trPr>
        <w:tc>
          <w:tcPr>
            <w:tcW w:w="57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Proceeds to us, before expenses</w:t>
            </w:r>
          </w:p>
        </w:tc>
        <w:tc>
          <w:tcPr>
            <w:tcW w:w="860" w:type="dxa"/>
            <w:vAlign w:val="bottom"/>
            <w:shd w:val="clear" w:color="auto" w:fill="CCEEFF"/>
          </w:tcPr>
          <w:p>
            <w:pPr>
              <w:jc w:val="right"/>
              <w:ind w:right="686"/>
              <w:spacing w:after="0" w:line="184"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88"/>
              <w:spacing w:after="0" w:line="184"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710"/>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ind w:right="80"/>
        <w:spacing w:after="0" w:line="235" w:lineRule="auto"/>
        <w:rPr>
          <w:sz w:val="20"/>
          <w:szCs w:val="20"/>
          <w:color w:val="auto"/>
        </w:rPr>
      </w:pPr>
      <w:r>
        <w:rPr>
          <w:rFonts w:ascii="Arial" w:cs="Arial" w:eastAsia="Arial" w:hAnsi="Arial"/>
          <w:sz w:val="17"/>
          <w:szCs w:val="17"/>
          <w:color w:val="auto"/>
        </w:rPr>
        <w:t>approximately $ . We have also agreed to reimburse the underwriters for certain expenses, including up to an aggregate of $ in connection with the clearance of this offering with the Financial Industry Regulatory Authority, as set forth in the underwriting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83"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listed on NASDAQ under the trading symbol “MEDP.”</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175" w:lineRule="exact"/>
        <w:rPr>
          <w:sz w:val="20"/>
          <w:szCs w:val="20"/>
          <w:color w:val="auto"/>
        </w:rPr>
      </w:pPr>
    </w:p>
    <w:p>
      <w:pPr>
        <w:ind w:right="680"/>
        <w:spacing w:after="0" w:line="235"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83"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83" w:lineRule="exact"/>
        <w:rPr>
          <w:sz w:val="20"/>
          <w:szCs w:val="20"/>
          <w:color w:val="auto"/>
        </w:rPr>
      </w:pPr>
    </w:p>
    <w:p>
      <w:pPr>
        <w:ind w:right="760"/>
        <w:spacing w:after="0" w:line="235"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80" w:lineRule="exact"/>
        <w:rPr>
          <w:sz w:val="20"/>
          <w:szCs w:val="20"/>
          <w:color w:val="auto"/>
        </w:rPr>
      </w:pPr>
    </w:p>
    <w:p>
      <w:pPr>
        <w:ind w:left="800" w:right="320" w:hanging="455"/>
        <w:spacing w:after="0" w:line="195" w:lineRule="auto"/>
        <w:tabs>
          <w:tab w:leader="none" w:pos="800" w:val="left"/>
        </w:tabs>
        <w:numPr>
          <w:ilvl w:val="0"/>
          <w:numId w:val="84"/>
        </w:numPr>
        <w:rPr>
          <w:rFonts w:ascii="Arial" w:cs="Arial" w:eastAsia="Arial" w:hAnsi="Arial"/>
          <w:sz w:val="24"/>
          <w:szCs w:val="24"/>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20"/>
          </w:cols>
          <w:pgMar w:left="240" w:top="449"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800" w:right="560" w:hanging="455"/>
        <w:spacing w:after="0" w:line="205" w:lineRule="auto"/>
        <w:tabs>
          <w:tab w:leader="none" w:pos="800" w:val="left"/>
        </w:tabs>
        <w:numPr>
          <w:ilvl w:val="0"/>
          <w:numId w:val="85"/>
        </w:numPr>
        <w:rPr>
          <w:rFonts w:ascii="Arial" w:cs="Arial" w:eastAsia="Arial" w:hAnsi="Arial"/>
          <w:sz w:val="23"/>
          <w:szCs w:val="23"/>
          <w:color w:val="auto"/>
          <w:vertAlign w:val="superscript"/>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2" w:lineRule="exact"/>
        <w:rPr>
          <w:rFonts w:ascii="Arial" w:cs="Arial" w:eastAsia="Arial" w:hAnsi="Arial"/>
          <w:sz w:val="23"/>
          <w:szCs w:val="23"/>
          <w:color w:val="auto"/>
          <w:vertAlign w:val="superscript"/>
        </w:rPr>
      </w:pPr>
    </w:p>
    <w:p>
      <w:pPr>
        <w:ind w:left="800" w:right="540" w:hanging="455"/>
        <w:spacing w:after="0" w:line="195" w:lineRule="auto"/>
        <w:tabs>
          <w:tab w:leader="none" w:pos="800"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4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96"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1"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41"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5"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00"/>
          </w:cols>
          <w:pgMar w:left="240" w:top="449" w:right="25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96"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83"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The underwriter and certain of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4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In particular, an affiliate of Jefferies LLC serves as the administrative agent, swingline lender and co-documentation agent of our Senior Secured Credit Facilities and certain affiliates of Jefferies LLC, Credit Suisse Securities (USA) LLC, UBS Securities LLC and Wells Fargo Securities, LLC serve as joint lead arrangers, joint bookrunners and syndication agents of our Senior Secured Credit Facilities and certain affiliates of Jefferies LLC, Credit Suisse Securities (USA) LLC and Wells Fargo Securities, LLC serve as lenders under our Senior Secured Credit Facilities. As described in “Use of Proceeds” we</w:t>
      </w:r>
    </w:p>
    <w:p>
      <w:pPr>
        <w:ind w:right="160"/>
        <w:spacing w:after="0" w:line="231" w:lineRule="auto"/>
        <w:rPr>
          <w:sz w:val="20"/>
          <w:szCs w:val="20"/>
          <w:color w:val="auto"/>
        </w:rPr>
      </w:pPr>
      <w:r>
        <w:rPr>
          <w:rFonts w:ascii="Arial" w:cs="Arial" w:eastAsia="Arial" w:hAnsi="Arial"/>
          <w:sz w:val="17"/>
          <w:szCs w:val="17"/>
          <w:color w:val="auto"/>
        </w:rPr>
        <w:t>intend to use the net proceeds of this offering to repay $ million in aggregate principal amount of outstanding borrowings under our Senior Secured Term Loan Facility. Because of their affiliates’ lending relationships Jefferies LLC and Wells Fargo Securities, LLC will receive some of the net proceeds of this offering.</w:t>
      </w:r>
    </w:p>
    <w:p>
      <w:pPr>
        <w:spacing w:after="0" w:line="14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customers that they acquire, long and/or short positions in such securities and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83"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or any other offering or publicity material relating to the shares of common stock in any country or jurisdiction (other than the United States) where any such action for that purpose is required. Accordingly, each underwriter has undertaken that it will not, directly or indirectly, offer or sell any shares of common stock or have in its possession, distribute or publish any prospectus, form of application, advertisement or other document or information in any country or jurisdiction except under circumstances that will, to the best 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49"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its knowledge and belief, result in compliance with any applicable laws and regulations and all offers and sales of the shares of common stock by it will be made on the same terms.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3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104" w:lineRule="exact"/>
        <w:rPr>
          <w:sz w:val="20"/>
          <w:szCs w:val="20"/>
          <w:color w:val="auto"/>
        </w:rPr>
      </w:pPr>
    </w:p>
    <w:p>
      <w:pPr>
        <w:ind w:left="800" w:hanging="455"/>
        <w:spacing w:after="0"/>
        <w:tabs>
          <w:tab w:leader="none" w:pos="800"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to any legal entity which is a “qualified investor” as defined in the Prospectus Directive;</w:t>
      </w:r>
    </w:p>
    <w:p>
      <w:pPr>
        <w:spacing w:after="0" w:line="22" w:lineRule="exact"/>
        <w:rPr>
          <w:rFonts w:ascii="Arial" w:cs="Arial" w:eastAsia="Arial" w:hAnsi="Arial"/>
          <w:sz w:val="24"/>
          <w:szCs w:val="24"/>
          <w:color w:val="auto"/>
          <w:vertAlign w:val="superscript"/>
        </w:rPr>
      </w:pPr>
    </w:p>
    <w:p>
      <w:pPr>
        <w:ind w:left="800" w:right="160" w:hanging="455"/>
        <w:spacing w:after="0" w:line="203" w:lineRule="auto"/>
        <w:tabs>
          <w:tab w:leader="none" w:pos="800"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 w:lineRule="exact"/>
        <w:rPr>
          <w:rFonts w:ascii="Arial" w:cs="Arial" w:eastAsia="Arial" w:hAnsi="Arial"/>
          <w:sz w:val="24"/>
          <w:szCs w:val="24"/>
          <w:color w:val="auto"/>
          <w:vertAlign w:val="superscript"/>
        </w:rPr>
      </w:pPr>
    </w:p>
    <w:p>
      <w:pPr>
        <w:ind w:left="800" w:hanging="455"/>
        <w:spacing w:after="0" w:line="193" w:lineRule="auto"/>
        <w:tabs>
          <w:tab w:leader="none" w:pos="800"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in any other circumstances falling within Article 3(2) of the Prospectus Directive,</w:t>
      </w:r>
    </w:p>
    <w:p>
      <w:pPr>
        <w:spacing w:after="0" w:line="141"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 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3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3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the Corporations Act, has not been lodged with the Australian Securities &amp; Investments Commission and is only directed to the categories of exempt persons set out below. Accordingly, if you receive this prospectus in Australia: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08" w:lineRule="exact"/>
        <w:rPr>
          <w:sz w:val="20"/>
          <w:szCs w:val="20"/>
          <w:color w:val="auto"/>
        </w:rPr>
      </w:pPr>
    </w:p>
    <w:p>
      <w:pPr>
        <w:ind w:left="800" w:hanging="455"/>
        <w:spacing w:after="0"/>
        <w:tabs>
          <w:tab w:leader="none" w:pos="800"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color w:val="auto"/>
        </w:rPr>
        <w:t>a “sophisticated investor” under section 708(8)(a) or (b) of the Corporations Act;</w:t>
      </w:r>
    </w:p>
    <w:p>
      <w:pPr>
        <w:spacing w:after="0" w:line="22" w:lineRule="exact"/>
        <w:rPr>
          <w:rFonts w:ascii="Arial" w:cs="Arial" w:eastAsia="Arial" w:hAnsi="Arial"/>
          <w:sz w:val="24"/>
          <w:szCs w:val="24"/>
          <w:color w:val="auto"/>
          <w:vertAlign w:val="superscript"/>
        </w:rPr>
      </w:pPr>
    </w:p>
    <w:p>
      <w:pPr>
        <w:ind w:left="800" w:right="80" w:hanging="455"/>
        <w:spacing w:after="0" w:line="203" w:lineRule="auto"/>
        <w:tabs>
          <w:tab w:leader="none" w:pos="800"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 w:lineRule="exact"/>
        <w:rPr>
          <w:rFonts w:ascii="Arial" w:cs="Arial" w:eastAsia="Arial" w:hAnsi="Arial"/>
          <w:sz w:val="24"/>
          <w:szCs w:val="24"/>
          <w:color w:val="auto"/>
          <w:vertAlign w:val="superscript"/>
        </w:rPr>
      </w:pPr>
    </w:p>
    <w:p>
      <w:pPr>
        <w:ind w:left="800" w:hanging="455"/>
        <w:spacing w:after="0" w:line="193" w:lineRule="auto"/>
        <w:tabs>
          <w:tab w:leader="none" w:pos="800"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color w:val="auto"/>
        </w:rPr>
        <w:t>a person associated with the Company under Section 708(12) of the Corporations Act; or</w:t>
      </w:r>
    </w:p>
    <w:p>
      <w:pPr>
        <w:spacing w:after="0" w:line="6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87"/>
        </w:numPr>
        <w:rPr>
          <w:rFonts w:ascii="Arial" w:cs="Arial" w:eastAsia="Arial" w:hAnsi="Arial"/>
          <w:sz w:val="23"/>
          <w:szCs w:val="23"/>
          <w:color w:val="auto"/>
          <w:vertAlign w:val="superscript"/>
        </w:rPr>
      </w:pPr>
      <w:r>
        <w:rPr>
          <w:rFonts w:ascii="Arial" w:cs="Arial" w:eastAsia="Arial" w:hAnsi="Arial"/>
          <w:sz w:val="16"/>
          <w:szCs w:val="16"/>
          <w:color w:val="auto"/>
        </w:rPr>
        <w:t>a “professional investor” within the meaning of section 708(11)(a) or (b) of the Corporations Act.</w:t>
      </w:r>
    </w:p>
    <w:p>
      <w:pPr>
        <w:spacing w:after="0" w:line="1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380"/>
          </w:cols>
          <w:pgMar w:left="240" w:top="449" w:right="27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34"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or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3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3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184" w:lineRule="exact"/>
        <w:rPr>
          <w:sz w:val="20"/>
          <w:szCs w:val="20"/>
          <w:color w:val="auto"/>
        </w:rPr>
      </w:pPr>
    </w:p>
    <w:p>
      <w:pPr>
        <w:ind w:left="800" w:right="220" w:hanging="455"/>
        <w:spacing w:after="0" w:line="195" w:lineRule="auto"/>
        <w:tabs>
          <w:tab w:leader="none" w:pos="800" w:val="left"/>
        </w:tabs>
        <w:numPr>
          <w:ilvl w:val="0"/>
          <w:numId w:val="88"/>
        </w:numPr>
        <w:rPr>
          <w:rFonts w:ascii="Arial" w:cs="Arial" w:eastAsia="Arial" w:hAnsi="Arial"/>
          <w:sz w:val="24"/>
          <w:szCs w:val="24"/>
          <w:color w:val="auto"/>
          <w:vertAlign w:val="superscript"/>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Arial" w:cs="Arial" w:eastAsia="Arial" w:hAnsi="Arial"/>
          <w:sz w:val="24"/>
          <w:szCs w:val="24"/>
          <w:color w:val="auto"/>
          <w:vertAlign w:val="superscript"/>
        </w:rPr>
      </w:pPr>
    </w:p>
    <w:p>
      <w:pPr>
        <w:ind w:left="800" w:right="620" w:hanging="455"/>
        <w:spacing w:after="0" w:line="195" w:lineRule="auto"/>
        <w:tabs>
          <w:tab w:leader="none" w:pos="800" w:val="left"/>
        </w:tabs>
        <w:numPr>
          <w:ilvl w:val="0"/>
          <w:numId w:val="88"/>
        </w:numPr>
        <w:rPr>
          <w:rFonts w:ascii="Arial" w:cs="Arial" w:eastAsia="Arial" w:hAnsi="Arial"/>
          <w:sz w:val="24"/>
          <w:szCs w:val="24"/>
          <w:color w:val="auto"/>
          <w:vertAlign w:val="superscript"/>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1"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82" w:lineRule="exact"/>
        <w:rPr>
          <w:sz w:val="20"/>
          <w:szCs w:val="20"/>
          <w:color w:val="auto"/>
        </w:rPr>
      </w:pPr>
    </w:p>
    <w:p>
      <w:pPr>
        <w:ind w:left="800" w:right="520" w:hanging="455"/>
        <w:spacing w:after="0" w:line="195" w:lineRule="auto"/>
        <w:tabs>
          <w:tab w:leader="none" w:pos="800" w:val="left"/>
        </w:tabs>
        <w:numPr>
          <w:ilvl w:val="0"/>
          <w:numId w:val="89"/>
        </w:numPr>
        <w:rPr>
          <w:rFonts w:ascii="Arial" w:cs="Arial" w:eastAsia="Arial" w:hAnsi="Arial"/>
          <w:sz w:val="24"/>
          <w:szCs w:val="24"/>
          <w:color w:val="auto"/>
          <w:vertAlign w:val="superscript"/>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380"/>
          </w:cols>
          <w:pgMar w:left="240" w:top="449" w:right="2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38" w:lineRule="exact"/>
        <w:rPr>
          <w:sz w:val="20"/>
          <w:szCs w:val="20"/>
          <w:color w:val="auto"/>
        </w:rPr>
      </w:pPr>
    </w:p>
    <w:p>
      <w:pPr>
        <w:ind w:left="800" w:hanging="455"/>
        <w:spacing w:after="0"/>
        <w:tabs>
          <w:tab w:leader="none" w:pos="800" w:val="left"/>
        </w:tabs>
        <w:numPr>
          <w:ilvl w:val="0"/>
          <w:numId w:val="90"/>
        </w:numPr>
        <w:rPr>
          <w:rFonts w:ascii="Arial" w:cs="Arial" w:eastAsia="Arial" w:hAnsi="Arial"/>
          <w:sz w:val="24"/>
          <w:szCs w:val="24"/>
          <w:color w:val="auto"/>
          <w:vertAlign w:val="superscript"/>
        </w:rPr>
      </w:pPr>
      <w:r>
        <w:rPr>
          <w:rFonts w:ascii="Arial" w:cs="Arial" w:eastAsia="Arial" w:hAnsi="Arial"/>
          <w:sz w:val="17"/>
          <w:szCs w:val="17"/>
          <w:color w:val="auto"/>
        </w:rPr>
        <w:t>where no consideration is or will be given for the transfer;</w:t>
      </w:r>
    </w:p>
    <w:p>
      <w:pPr>
        <w:spacing w:after="0" w:line="22" w:lineRule="exact"/>
        <w:rPr>
          <w:rFonts w:ascii="Arial" w:cs="Arial" w:eastAsia="Arial" w:hAnsi="Arial"/>
          <w:sz w:val="24"/>
          <w:szCs w:val="24"/>
          <w:color w:val="auto"/>
          <w:vertAlign w:val="superscript"/>
        </w:rPr>
      </w:pPr>
    </w:p>
    <w:p>
      <w:pPr>
        <w:ind w:left="800" w:hanging="455"/>
        <w:spacing w:after="0" w:line="181" w:lineRule="auto"/>
        <w:tabs>
          <w:tab w:leader="none" w:pos="800" w:val="left"/>
        </w:tabs>
        <w:numPr>
          <w:ilvl w:val="0"/>
          <w:numId w:val="90"/>
        </w:numPr>
        <w:rPr>
          <w:rFonts w:ascii="Arial" w:cs="Arial" w:eastAsia="Arial" w:hAnsi="Arial"/>
          <w:sz w:val="23"/>
          <w:szCs w:val="23"/>
          <w:color w:val="auto"/>
          <w:vertAlign w:val="superscript"/>
        </w:rPr>
      </w:pPr>
      <w:r>
        <w:rPr>
          <w:rFonts w:ascii="Arial" w:cs="Arial" w:eastAsia="Arial" w:hAnsi="Arial"/>
          <w:sz w:val="16"/>
          <w:szCs w:val="16"/>
          <w:color w:val="auto"/>
        </w:rPr>
        <w:t>where the transfer is by operation of law;</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90"/>
        </w:numPr>
        <w:rPr>
          <w:rFonts w:ascii="Arial" w:cs="Arial" w:eastAsia="Arial" w:hAnsi="Arial"/>
          <w:sz w:val="23"/>
          <w:szCs w:val="23"/>
          <w:color w:val="auto"/>
          <w:vertAlign w:val="superscript"/>
        </w:rPr>
      </w:pPr>
      <w:r>
        <w:rPr>
          <w:rFonts w:ascii="Arial" w:cs="Arial" w:eastAsia="Arial" w:hAnsi="Arial"/>
          <w:sz w:val="16"/>
          <w:szCs w:val="16"/>
          <w:color w:val="auto"/>
        </w:rPr>
        <w:t>as specified in Section 276(7) of the SFA; or</w:t>
      </w:r>
    </w:p>
    <w:p>
      <w:pPr>
        <w:spacing w:after="0" w:line="23" w:lineRule="exact"/>
        <w:rPr>
          <w:rFonts w:ascii="Arial" w:cs="Arial" w:eastAsia="Arial" w:hAnsi="Arial"/>
          <w:sz w:val="23"/>
          <w:szCs w:val="23"/>
          <w:color w:val="auto"/>
          <w:vertAlign w:val="superscript"/>
        </w:rPr>
      </w:pPr>
    </w:p>
    <w:p>
      <w:pPr>
        <w:ind w:left="800" w:hanging="455"/>
        <w:spacing w:after="0" w:line="181" w:lineRule="auto"/>
        <w:tabs>
          <w:tab w:leader="none" w:pos="800" w:val="left"/>
        </w:tabs>
        <w:numPr>
          <w:ilvl w:val="0"/>
          <w:numId w:val="90"/>
        </w:numPr>
        <w:rPr>
          <w:rFonts w:ascii="Arial" w:cs="Arial" w:eastAsia="Arial" w:hAnsi="Arial"/>
          <w:sz w:val="23"/>
          <w:szCs w:val="23"/>
          <w:color w:val="auto"/>
          <w:vertAlign w:val="superscript"/>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1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3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41"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00"/>
          </w:cols>
          <w:pgMar w:left="240" w:top="449" w:right="25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33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Certain legal matters in connection with this offering, including the validity of the shares of our common stock offered hereby, will be passed upon for us by Latham &amp; Watkins LLP, New York, New York. The underwriters are being represented by Gibson, Dunn &amp; Crutcher LLP, New York, New York.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33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The consolidated financial statements of Medpace Holdings, Inc. and subsidiaries as of December 31, 2015 and 2014 (Successor) and for the year ended December 31, 2015 (Successor), and the periods from April 1, 2014 through December 31, 2014 (Successor), January 1, 2014 through March 31, 2014 (Predecessor), and the year ended December 31, 2013 (Predecessor)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33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us and the shares of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When we complete this offering, we will be required to file annual, quarterly and current reports, proxy statements and other information with the SEC. Our SEC filings, including our registration statement and the exhibits and schedules thereto, may be inspected without charge at the public reference room maintained by the SEC located at 100 F Street, N.E., Room 1580, Washington, D.C. 20549. Copies of all or any portion of the registration statements and the filings may be obtained from such offices upon payment of prescribed fees. The public may obtain information on the operation of the public reference room by calling the SEC at 1-800-SEC-0330 or (202) 551-8090. The SEC maintains a website at </w:t>
      </w:r>
      <w:r>
        <w:rPr>
          <w:rFonts w:ascii="Arial" w:cs="Arial" w:eastAsia="Arial" w:hAnsi="Arial"/>
          <w:sz w:val="16"/>
          <w:szCs w:val="16"/>
          <w:i w:val="1"/>
          <w:iCs w:val="1"/>
          <w:color w:val="auto"/>
        </w:rPr>
        <w:t xml:space="preserve">www.sec.gov </w:t>
      </w:r>
      <w:r>
        <w:rPr>
          <w:rFonts w:ascii="Arial" w:cs="Arial" w:eastAsia="Arial" w:hAnsi="Arial"/>
          <w:sz w:val="16"/>
          <w:szCs w:val="16"/>
          <w:color w:val="auto"/>
        </w:rPr>
        <w:t>that contains reports, proxy and information statements and other information regarding registrants that file electronically with the SEC.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You may also obtain a copy of any of our filings, at no cost, by writing or telephoning us at: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Medpace Holdings, Inc.</w:t>
      </w:r>
    </w:p>
    <w:p>
      <w:pPr>
        <w:jc w:val="center"/>
        <w:ind w:right="-19"/>
        <w:spacing w:after="0" w:line="225" w:lineRule="auto"/>
        <w:rPr>
          <w:sz w:val="20"/>
          <w:szCs w:val="20"/>
          <w:color w:val="auto"/>
        </w:rPr>
      </w:pPr>
      <w:r>
        <w:rPr>
          <w:rFonts w:ascii="Arial" w:cs="Arial" w:eastAsia="Arial" w:hAnsi="Arial"/>
          <w:sz w:val="17"/>
          <w:szCs w:val="17"/>
          <w:color w:val="auto"/>
        </w:rPr>
        <w:t>5375 Medpace Way</w:t>
      </w:r>
    </w:p>
    <w:p>
      <w:pPr>
        <w:jc w:val="center"/>
        <w:ind w:right="-19"/>
        <w:spacing w:after="0" w:line="225" w:lineRule="auto"/>
        <w:rPr>
          <w:sz w:val="20"/>
          <w:szCs w:val="20"/>
          <w:color w:val="auto"/>
        </w:rPr>
      </w:pPr>
      <w:r>
        <w:rPr>
          <w:rFonts w:ascii="Arial" w:cs="Arial" w:eastAsia="Arial" w:hAnsi="Arial"/>
          <w:sz w:val="17"/>
          <w:szCs w:val="17"/>
          <w:color w:val="auto"/>
        </w:rPr>
        <w:t>Cincinnati, Ohio 45227</w:t>
      </w:r>
    </w:p>
    <w:p>
      <w:pPr>
        <w:ind w:left="5580" w:hanging="433"/>
        <w:spacing w:after="0"/>
        <w:tabs>
          <w:tab w:leader="none" w:pos="5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579-9911</w:t>
      </w:r>
    </w:p>
    <w:p>
      <w:pPr>
        <w:spacing w:after="0" w:line="13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6"/>
          <w:szCs w:val="16"/>
          <w:color w:val="auto"/>
        </w:rPr>
        <w:t>145</w:t>
      </w:r>
    </w:p>
    <w:p>
      <w:pPr>
        <w:sectPr>
          <w:pgSz w:w="11900" w:h="16838" w:orient="portrait"/>
          <w:cols w:equalWidth="0" w:num="1">
            <w:col w:w="11400"/>
          </w:cols>
          <w:pgMar w:left="240" w:top="449" w:right="2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920" w:type="dxa"/>
            <w:vAlign w:val="bottom"/>
            <w:gridSpan w:val="12"/>
            <w:vMerge w:val="restart"/>
          </w:tcPr>
          <w:p>
            <w:pPr>
              <w:spacing w:after="0"/>
              <w:rPr>
                <w:rFonts w:ascii="Arial" w:cs="Arial" w:eastAsia="Arial" w:hAnsi="Arial"/>
                <w:sz w:val="17"/>
                <w:szCs w:val="17"/>
                <w:color w:val="0000EE"/>
              </w:rPr>
            </w:pPr>
            <w:hyperlink w:anchor="page153">
              <w:r>
                <w:rPr>
                  <w:rFonts w:ascii="Arial" w:cs="Arial" w:eastAsia="Arial" w:hAnsi="Arial"/>
                  <w:sz w:val="17"/>
                  <w:szCs w:val="17"/>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0920" w:type="dxa"/>
            <w:vAlign w:val="bottom"/>
            <w:gridSpan w:val="12"/>
            <w:vMerge w:val="continue"/>
          </w:tcPr>
          <w:p>
            <w:pPr>
              <w:spacing w:after="0"/>
              <w:rPr>
                <w:sz w:val="11"/>
                <w:szCs w:val="11"/>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3"/>
                <w:szCs w:val="13"/>
                <w:color w:val="auto"/>
              </w:rPr>
              <w:t>F-2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20" w:type="dxa"/>
            <w:vAlign w:val="bottom"/>
            <w:gridSpan w:val="12"/>
          </w:tcPr>
          <w:p>
            <w:pPr>
              <w:spacing w:after="0" w:line="176" w:lineRule="exact"/>
              <w:rPr>
                <w:rFonts w:ascii="Arial" w:cs="Arial" w:eastAsia="Arial" w:hAnsi="Arial"/>
                <w:sz w:val="17"/>
                <w:szCs w:val="17"/>
                <w:color w:val="0000EE"/>
              </w:rPr>
            </w:pPr>
            <w:hyperlink w:anchor="page154">
              <w:r>
                <w:rPr>
                  <w:rFonts w:ascii="Arial" w:cs="Arial" w:eastAsia="Arial" w:hAnsi="Arial"/>
                  <w:sz w:val="17"/>
                  <w:szCs w:val="17"/>
                  <w:color w:val="0000EE"/>
                </w:rPr>
                <w:t>Consolidated Balance Sheets as of December 31, 2015 and 2014</w:t>
              </w:r>
            </w:hyperlink>
          </w:p>
        </w:tc>
        <w:tc>
          <w:tcPr>
            <w:tcW w:w="400" w:type="dxa"/>
            <w:vAlign w:val="bottom"/>
          </w:tcPr>
          <w:p>
            <w:pPr>
              <w:jc w:val="right"/>
              <w:spacing w:after="0" w:line="176" w:lineRule="exact"/>
              <w:rPr>
                <w:sz w:val="20"/>
                <w:szCs w:val="20"/>
                <w:color w:val="auto"/>
              </w:rPr>
            </w:pPr>
            <w:r>
              <w:rPr>
                <w:rFonts w:ascii="Arial" w:cs="Arial" w:eastAsia="Arial" w:hAnsi="Arial"/>
                <w:sz w:val="17"/>
                <w:szCs w:val="17"/>
                <w:color w:val="auto"/>
              </w:rPr>
              <w:t>F-3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920" w:type="dxa"/>
            <w:vAlign w:val="bottom"/>
            <w:gridSpan w:val="12"/>
          </w:tcPr>
          <w:p>
            <w:pPr>
              <w:spacing w:after="0" w:line="163" w:lineRule="exact"/>
              <w:rPr>
                <w:rFonts w:ascii="Arial" w:cs="Arial" w:eastAsia="Arial" w:hAnsi="Arial"/>
                <w:sz w:val="17"/>
                <w:szCs w:val="17"/>
                <w:color w:val="0000EE"/>
              </w:rPr>
            </w:pPr>
            <w:hyperlink w:anchor="page155">
              <w:r>
                <w:rPr>
                  <w:rFonts w:ascii="Arial" w:cs="Arial" w:eastAsia="Arial" w:hAnsi="Arial"/>
                  <w:sz w:val="17"/>
                  <w:szCs w:val="17"/>
                  <w:color w:val="0000EE"/>
                </w:rPr>
                <w:t>Consolidated Statements of Operations for the fiscal year ended December 31, 2015, for the Periods April 1, 2014 through December 31,</w:t>
              </w:r>
            </w:hyperlink>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F-4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Borders>
              <w:top w:val="single" w:sz="8" w:color="0000EE"/>
            </w:tcBorders>
          </w:tcPr>
          <w:p>
            <w:pPr>
              <w:spacing w:after="0"/>
              <w:rPr>
                <w:sz w:val="14"/>
                <w:szCs w:val="14"/>
                <w:color w:val="auto"/>
              </w:rPr>
            </w:pPr>
          </w:p>
        </w:tc>
        <w:tc>
          <w:tcPr>
            <w:tcW w:w="7400" w:type="dxa"/>
            <w:vAlign w:val="bottom"/>
            <w:tcBorders>
              <w:top w:val="single" w:sz="8" w:color="0000EE"/>
              <w:bottom w:val="single" w:sz="8" w:color="0000EE"/>
            </w:tcBorders>
            <w:gridSpan w:val="5"/>
          </w:tcPr>
          <w:p>
            <w:pPr>
              <w:spacing w:after="0" w:line="163" w:lineRule="exact"/>
              <w:rPr>
                <w:rFonts w:ascii="Arial" w:cs="Arial" w:eastAsia="Arial" w:hAnsi="Arial"/>
                <w:sz w:val="17"/>
                <w:szCs w:val="17"/>
                <w:color w:val="0000EE"/>
                <w:w w:val="97"/>
              </w:rPr>
            </w:pPr>
            <w:hyperlink w:anchor="page155">
              <w:r>
                <w:rPr>
                  <w:rFonts w:ascii="Arial" w:cs="Arial" w:eastAsia="Arial" w:hAnsi="Arial"/>
                  <w:sz w:val="17"/>
                  <w:szCs w:val="17"/>
                  <w:color w:val="0000EE"/>
                  <w:w w:val="97"/>
                </w:rPr>
                <w:t>2014 and January 1, 2014 through March 31, 2014 and for the fiscal year ended December 31, 2013</w:t>
              </w:r>
            </w:hyperlink>
          </w:p>
        </w:tc>
        <w:tc>
          <w:tcPr>
            <w:tcW w:w="2460" w:type="dxa"/>
            <w:vAlign w:val="bottom"/>
            <w:tcBorders>
              <w:top w:val="single" w:sz="8" w:color="0000EE"/>
            </w:tcBorders>
            <w:gridSpan w:val="3"/>
          </w:tcPr>
          <w:p>
            <w:pPr>
              <w:spacing w:after="0"/>
              <w:rPr>
                <w:sz w:val="14"/>
                <w:szCs w:val="14"/>
                <w:color w:val="auto"/>
              </w:rPr>
            </w:pPr>
          </w:p>
        </w:tc>
        <w:tc>
          <w:tcPr>
            <w:tcW w:w="820" w:type="dxa"/>
            <w:vAlign w:val="bottom"/>
            <w:gridSpan w:val="3"/>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20" w:type="dxa"/>
            <w:vAlign w:val="bottom"/>
            <w:tcBorders>
              <w:bottom w:val="single" w:sz="8" w:color="0000EE"/>
            </w:tcBorders>
            <w:gridSpan w:val="11"/>
          </w:tcPr>
          <w:p>
            <w:pPr>
              <w:spacing w:after="0" w:line="163" w:lineRule="exact"/>
              <w:rPr>
                <w:rFonts w:ascii="Arial" w:cs="Arial" w:eastAsia="Arial" w:hAnsi="Arial"/>
                <w:sz w:val="17"/>
                <w:szCs w:val="17"/>
                <w:color w:val="0000EE"/>
                <w:w w:val="97"/>
              </w:rPr>
            </w:pPr>
            <w:hyperlink w:anchor="page156">
              <w:r>
                <w:rPr>
                  <w:rFonts w:ascii="Arial" w:cs="Arial" w:eastAsia="Arial" w:hAnsi="Arial"/>
                  <w:sz w:val="17"/>
                  <w:szCs w:val="17"/>
                  <w:color w:val="0000EE"/>
                  <w:w w:val="97"/>
                </w:rPr>
                <w:t>Consolidated Statements of Comprehensive (Loss) Income for the fiscal year ended December 31, 2015, for the Periods April 1, 2014 through</w:t>
              </w:r>
            </w:hyperlink>
          </w:p>
        </w:tc>
        <w:tc>
          <w:tcPr>
            <w:tcW w:w="5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F-5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10680" w:type="dxa"/>
            <w:vAlign w:val="bottom"/>
            <w:gridSpan w:val="11"/>
          </w:tcPr>
          <w:p>
            <w:pPr>
              <w:spacing w:after="0" w:line="163" w:lineRule="exact"/>
              <w:rPr>
                <w:rFonts w:ascii="Arial" w:cs="Arial" w:eastAsia="Arial" w:hAnsi="Arial"/>
                <w:sz w:val="17"/>
                <w:szCs w:val="17"/>
                <w:color w:val="0000EE"/>
              </w:rPr>
            </w:pPr>
            <w:hyperlink w:anchor="page156">
              <w:r>
                <w:rPr>
                  <w:rFonts w:ascii="Arial" w:cs="Arial" w:eastAsia="Arial" w:hAnsi="Arial"/>
                  <w:sz w:val="17"/>
                  <w:szCs w:val="17"/>
                  <w:color w:val="0000EE"/>
                </w:rPr>
                <w:t>December 31, 2014 and January 1, 2014 through March 31, 2014 and for the fiscal year ended December 31, 2013</w:t>
              </w:r>
            </w:hyperlink>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920" w:type="dxa"/>
            <w:vAlign w:val="bottom"/>
            <w:gridSpan w:val="12"/>
          </w:tcPr>
          <w:p>
            <w:pPr>
              <w:spacing w:after="0" w:line="163" w:lineRule="exact"/>
              <w:rPr>
                <w:rFonts w:ascii="Arial" w:cs="Arial" w:eastAsia="Arial" w:hAnsi="Arial"/>
                <w:sz w:val="17"/>
                <w:szCs w:val="17"/>
                <w:color w:val="0000EE"/>
              </w:rPr>
            </w:pPr>
            <w:hyperlink w:anchor="page157">
              <w:r>
                <w:rPr>
                  <w:rFonts w:ascii="Arial" w:cs="Arial" w:eastAsia="Arial" w:hAnsi="Arial"/>
                  <w:sz w:val="17"/>
                  <w:szCs w:val="17"/>
                  <w:color w:val="0000EE"/>
                </w:rPr>
                <w:t>Consolidated Statements of Shareholders’ Equity for the fiscal year ended December 31, 2015, for the Periods April 1, 2014 through</w:t>
              </w:r>
            </w:hyperlink>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F-6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Borders>
              <w:top w:val="single" w:sz="8" w:color="0000EE"/>
            </w:tcBorders>
          </w:tcPr>
          <w:p>
            <w:pPr>
              <w:spacing w:after="0"/>
              <w:rPr>
                <w:sz w:val="14"/>
                <w:szCs w:val="14"/>
                <w:color w:val="auto"/>
              </w:rPr>
            </w:pPr>
          </w:p>
        </w:tc>
        <w:tc>
          <w:tcPr>
            <w:tcW w:w="9440" w:type="dxa"/>
            <w:vAlign w:val="bottom"/>
            <w:tcBorders>
              <w:top w:val="single" w:sz="8" w:color="0000EE"/>
            </w:tcBorders>
            <w:gridSpan w:val="7"/>
          </w:tcPr>
          <w:p>
            <w:pPr>
              <w:spacing w:after="0" w:line="163" w:lineRule="exact"/>
              <w:rPr>
                <w:rFonts w:ascii="Arial" w:cs="Arial" w:eastAsia="Arial" w:hAnsi="Arial"/>
                <w:sz w:val="17"/>
                <w:szCs w:val="17"/>
                <w:color w:val="0000EE"/>
              </w:rPr>
            </w:pPr>
            <w:hyperlink w:anchor="page157">
              <w:r>
                <w:rPr>
                  <w:rFonts w:ascii="Arial" w:cs="Arial" w:eastAsia="Arial" w:hAnsi="Arial"/>
                  <w:sz w:val="17"/>
                  <w:szCs w:val="17"/>
                  <w:color w:val="0000EE"/>
                </w:rPr>
                <w:t>December 31, 2014 and January 1, 2014 through March 31, 2014 and for the fiscal year ended December 31, 2013</w:t>
              </w:r>
            </w:hyperlink>
          </w:p>
        </w:tc>
        <w:tc>
          <w:tcPr>
            <w:tcW w:w="1240" w:type="dxa"/>
            <w:vAlign w:val="bottom"/>
            <w:gridSpan w:val="4"/>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160" w:type="dxa"/>
            <w:vAlign w:val="bottom"/>
            <w:tcBorders>
              <w:bottom w:val="single" w:sz="8" w:color="0000EE"/>
            </w:tcBorders>
            <w:gridSpan w:val="10"/>
          </w:tcPr>
          <w:p>
            <w:pPr>
              <w:spacing w:after="0" w:line="163" w:lineRule="exact"/>
              <w:rPr>
                <w:rFonts w:ascii="Arial" w:cs="Arial" w:eastAsia="Arial" w:hAnsi="Arial"/>
                <w:sz w:val="17"/>
                <w:szCs w:val="17"/>
                <w:color w:val="0000EE"/>
                <w:w w:val="97"/>
              </w:rPr>
            </w:pPr>
            <w:hyperlink w:anchor="page158">
              <w:r>
                <w:rPr>
                  <w:rFonts w:ascii="Arial" w:cs="Arial" w:eastAsia="Arial" w:hAnsi="Arial"/>
                  <w:sz w:val="17"/>
                  <w:szCs w:val="17"/>
                  <w:color w:val="0000EE"/>
                  <w:w w:val="97"/>
                </w:rPr>
                <w:t>Consolidated Statements of Cash Flows for the fiscal year ended December 31, 2015, for the Periods April 1, 2014 through December 31,</w:t>
              </w:r>
            </w:hyperlink>
          </w:p>
        </w:tc>
        <w:tc>
          <w:tcPr>
            <w:tcW w:w="760" w:type="dxa"/>
            <w:vAlign w:val="bottom"/>
            <w:gridSpan w:val="2"/>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F-7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7380" w:type="dxa"/>
            <w:vAlign w:val="bottom"/>
            <w:tcBorders>
              <w:bottom w:val="single" w:sz="8" w:color="0000EE"/>
            </w:tcBorders>
            <w:gridSpan w:val="4"/>
          </w:tcPr>
          <w:p>
            <w:pPr>
              <w:spacing w:after="0" w:line="163" w:lineRule="exact"/>
              <w:rPr>
                <w:rFonts w:ascii="Arial" w:cs="Arial" w:eastAsia="Arial" w:hAnsi="Arial"/>
                <w:sz w:val="17"/>
                <w:szCs w:val="17"/>
                <w:color w:val="0000EE"/>
                <w:w w:val="97"/>
              </w:rPr>
            </w:pPr>
            <w:hyperlink w:anchor="page158">
              <w:r>
                <w:rPr>
                  <w:rFonts w:ascii="Arial" w:cs="Arial" w:eastAsia="Arial" w:hAnsi="Arial"/>
                  <w:sz w:val="17"/>
                  <w:szCs w:val="17"/>
                  <w:color w:val="0000EE"/>
                  <w:w w:val="97"/>
                </w:rPr>
                <w:t>2014 and January 1, 2014 through March 31, 2014 and for the fiscal year ended December 31, 2013</w:t>
              </w:r>
            </w:hyperlink>
          </w:p>
        </w:tc>
        <w:tc>
          <w:tcPr>
            <w:tcW w:w="3300" w:type="dxa"/>
            <w:vAlign w:val="bottom"/>
            <w:gridSpan w:val="7"/>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920" w:type="dxa"/>
            <w:vAlign w:val="bottom"/>
            <w:gridSpan w:val="12"/>
          </w:tcPr>
          <w:p>
            <w:pPr>
              <w:spacing w:after="0" w:line="163" w:lineRule="exact"/>
              <w:rPr>
                <w:rFonts w:ascii="Arial" w:cs="Arial" w:eastAsia="Arial" w:hAnsi="Arial"/>
                <w:sz w:val="17"/>
                <w:szCs w:val="17"/>
                <w:color w:val="0000EE"/>
              </w:rPr>
            </w:pPr>
            <w:hyperlink w:anchor="page159">
              <w:r>
                <w:rPr>
                  <w:rFonts w:ascii="Arial" w:cs="Arial" w:eastAsia="Arial" w:hAnsi="Arial"/>
                  <w:sz w:val="17"/>
                  <w:szCs w:val="17"/>
                  <w:color w:val="0000EE"/>
                </w:rPr>
                <w:t>Notes to Consolidated Financial Statements</w:t>
              </w:r>
            </w:hyperlink>
          </w:p>
        </w:tc>
        <w:tc>
          <w:tcPr>
            <w:tcW w:w="400" w:type="dxa"/>
            <w:vAlign w:val="bottom"/>
          </w:tcPr>
          <w:p>
            <w:pPr>
              <w:jc w:val="right"/>
              <w:spacing w:after="0" w:line="163" w:lineRule="exact"/>
              <w:rPr>
                <w:sz w:val="20"/>
                <w:szCs w:val="20"/>
                <w:color w:val="auto"/>
              </w:rPr>
            </w:pPr>
            <w:r>
              <w:rPr>
                <w:rFonts w:ascii="Arial" w:cs="Arial" w:eastAsia="Arial" w:hAnsi="Arial"/>
                <w:sz w:val="17"/>
                <w:szCs w:val="17"/>
                <w:color w:val="auto"/>
              </w:rPr>
              <w:t>F-8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bottom w:val="single" w:sz="8" w:color="auto"/>
            </w:tcBorders>
          </w:tcPr>
          <w:p>
            <w:pPr>
              <w:spacing w:after="0"/>
              <w:rPr>
                <w:sz w:val="18"/>
                <w:szCs w:val="18"/>
                <w:color w:val="auto"/>
              </w:rPr>
            </w:pPr>
          </w:p>
        </w:tc>
        <w:tc>
          <w:tcPr>
            <w:tcW w:w="2980" w:type="dxa"/>
            <w:vAlign w:val="bottom"/>
            <w:tcBorders>
              <w:top w:val="single" w:sz="8" w:color="0000EE"/>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920" w:type="dxa"/>
            <w:vAlign w:val="bottom"/>
            <w:gridSpan w:val="7"/>
            <w:vMerge w:val="restart"/>
          </w:tcPr>
          <w:p>
            <w:pPr>
              <w:spacing w:after="0"/>
              <w:rPr>
                <w:rFonts w:ascii="Arial" w:cs="Arial" w:eastAsia="Arial" w:hAnsi="Arial"/>
                <w:sz w:val="17"/>
                <w:szCs w:val="17"/>
                <w:color w:val="0000EE"/>
              </w:rPr>
            </w:pPr>
            <w:hyperlink w:anchor="page192">
              <w:r>
                <w:rPr>
                  <w:rFonts w:ascii="Arial" w:cs="Arial" w:eastAsia="Arial" w:hAnsi="Arial"/>
                  <w:sz w:val="17"/>
                  <w:szCs w:val="17"/>
                  <w:color w:val="0000EE"/>
                </w:rPr>
                <w:t>Condensed Consolidated Balance Sheets as of June 30, 2016 and December 31, 2015</w:t>
              </w:r>
            </w:hyperlink>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7"/>
        </w:trPr>
        <w:tc>
          <w:tcPr>
            <w:tcW w:w="10920" w:type="dxa"/>
            <w:vAlign w:val="bottom"/>
            <w:gridSpan w:val="7"/>
            <w:vMerge w:val="continue"/>
          </w:tcPr>
          <w:p>
            <w:pPr>
              <w:spacing w:after="0"/>
              <w:rPr>
                <w:sz w:val="11"/>
                <w:szCs w:val="11"/>
                <w:color w:val="auto"/>
              </w:rPr>
            </w:pPr>
          </w:p>
        </w:tc>
        <w:tc>
          <w:tcPr>
            <w:tcW w:w="400" w:type="dxa"/>
            <w:vAlign w:val="bottom"/>
            <w:tcBorders>
              <w:top w:val="single" w:sz="8" w:color="auto"/>
            </w:tcBorders>
          </w:tcPr>
          <w:p>
            <w:pPr>
              <w:ind w:left="60"/>
              <w:spacing w:after="0" w:line="124" w:lineRule="exact"/>
              <w:rPr>
                <w:sz w:val="20"/>
                <w:szCs w:val="20"/>
                <w:color w:val="auto"/>
              </w:rPr>
            </w:pPr>
            <w:r>
              <w:rPr>
                <w:rFonts w:ascii="Arial" w:cs="Arial" w:eastAsia="Arial" w:hAnsi="Arial"/>
                <w:sz w:val="13"/>
                <w:szCs w:val="13"/>
                <w:color w:val="auto"/>
              </w:rPr>
              <w:t>F-41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20" w:type="dxa"/>
            <w:vAlign w:val="bottom"/>
            <w:gridSpan w:val="7"/>
          </w:tcPr>
          <w:p>
            <w:pPr>
              <w:spacing w:after="0" w:line="176" w:lineRule="exact"/>
              <w:rPr>
                <w:rFonts w:ascii="Arial" w:cs="Arial" w:eastAsia="Arial" w:hAnsi="Arial"/>
                <w:sz w:val="17"/>
                <w:szCs w:val="17"/>
                <w:color w:val="0000EE"/>
              </w:rPr>
            </w:pPr>
            <w:hyperlink w:anchor="page193">
              <w:r>
                <w:rPr>
                  <w:rFonts w:ascii="Arial" w:cs="Arial" w:eastAsia="Arial" w:hAnsi="Arial"/>
                  <w:sz w:val="17"/>
                  <w:szCs w:val="17"/>
                  <w:color w:val="0000EE"/>
                </w:rPr>
                <w:t>Condensed Consolidated Statements of Operations for the six months ended June 30, 2016 and 2015</w:t>
              </w:r>
            </w:hyperlink>
          </w:p>
        </w:tc>
        <w:tc>
          <w:tcPr>
            <w:tcW w:w="500" w:type="dxa"/>
            <w:vAlign w:val="bottom"/>
            <w:gridSpan w:val="2"/>
          </w:tcPr>
          <w:p>
            <w:pPr>
              <w:ind w:left="60"/>
              <w:spacing w:after="0" w:line="176" w:lineRule="exact"/>
              <w:rPr>
                <w:sz w:val="20"/>
                <w:szCs w:val="20"/>
                <w:color w:val="auto"/>
              </w:rPr>
            </w:pPr>
            <w:r>
              <w:rPr>
                <w:rFonts w:ascii="Arial" w:cs="Arial" w:eastAsia="Arial" w:hAnsi="Arial"/>
                <w:sz w:val="17"/>
                <w:szCs w:val="17"/>
                <w:color w:val="auto"/>
              </w:rPr>
              <w:t>F-42</w:t>
            </w:r>
          </w:p>
        </w:tc>
        <w:tc>
          <w:tcPr>
            <w:tcW w:w="0" w:type="dxa"/>
            <w:vAlign w:val="bottom"/>
          </w:tcPr>
          <w:p>
            <w:pPr>
              <w:spacing w:after="0"/>
              <w:rPr>
                <w:sz w:val="1"/>
                <w:szCs w:val="1"/>
                <w:color w:val="auto"/>
              </w:rPr>
            </w:pPr>
          </w:p>
        </w:tc>
      </w:tr>
      <w:tr>
        <w:trPr>
          <w:trHeight w:val="20"/>
        </w:trPr>
        <w:tc>
          <w:tcPr>
            <w:tcW w:w="49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gridSpan w:val="2"/>
            <w:vMerge w:val="restart"/>
          </w:tcPr>
          <w:p>
            <w:pPr>
              <w:ind w:left="60"/>
              <w:spacing w:after="0" w:line="184" w:lineRule="exact"/>
              <w:rPr>
                <w:sz w:val="20"/>
                <w:szCs w:val="20"/>
                <w:color w:val="auto"/>
              </w:rPr>
            </w:pPr>
            <w:r>
              <w:rPr>
                <w:rFonts w:ascii="Arial" w:cs="Arial" w:eastAsia="Arial" w:hAnsi="Arial"/>
                <w:sz w:val="17"/>
                <w:szCs w:val="17"/>
                <w:color w:val="auto"/>
              </w:rPr>
              <w:t>F-43</w:t>
            </w:r>
          </w:p>
        </w:tc>
        <w:tc>
          <w:tcPr>
            <w:tcW w:w="0" w:type="dxa"/>
            <w:vAlign w:val="bottom"/>
          </w:tcPr>
          <w:p>
            <w:pPr>
              <w:spacing w:after="0" w:line="20" w:lineRule="exact"/>
              <w:rPr>
                <w:sz w:val="1"/>
                <w:szCs w:val="1"/>
                <w:color w:val="auto"/>
              </w:rPr>
            </w:pPr>
          </w:p>
        </w:tc>
      </w:tr>
      <w:tr>
        <w:trPr>
          <w:trHeight w:val="163"/>
        </w:trPr>
        <w:tc>
          <w:tcPr>
            <w:tcW w:w="8940" w:type="dxa"/>
            <w:vAlign w:val="bottom"/>
            <w:tcBorders>
              <w:bottom w:val="single" w:sz="8" w:color="0000EE"/>
            </w:tcBorders>
            <w:gridSpan w:val="6"/>
          </w:tcPr>
          <w:p>
            <w:pPr>
              <w:spacing w:after="0" w:line="163" w:lineRule="exact"/>
              <w:rPr>
                <w:rFonts w:ascii="Arial" w:cs="Arial" w:eastAsia="Arial" w:hAnsi="Arial"/>
                <w:sz w:val="17"/>
                <w:szCs w:val="17"/>
                <w:color w:val="0000EE"/>
                <w:w w:val="97"/>
              </w:rPr>
            </w:pPr>
            <w:hyperlink w:anchor="page194">
              <w:r>
                <w:rPr>
                  <w:rFonts w:ascii="Arial" w:cs="Arial" w:eastAsia="Arial" w:hAnsi="Arial"/>
                  <w:sz w:val="17"/>
                  <w:szCs w:val="17"/>
                  <w:color w:val="0000EE"/>
                  <w:w w:val="97"/>
                </w:rPr>
                <w:t>Condensed Consolidated Statements of Comprehensive Income (Loss) for the six months ended June 30, 2016 and 2015</w:t>
              </w:r>
            </w:hyperlink>
          </w:p>
        </w:tc>
        <w:tc>
          <w:tcPr>
            <w:tcW w:w="19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920" w:type="dxa"/>
            <w:vAlign w:val="bottom"/>
            <w:gridSpan w:val="7"/>
          </w:tcPr>
          <w:p>
            <w:pPr>
              <w:spacing w:after="0" w:line="163" w:lineRule="exact"/>
              <w:rPr>
                <w:rFonts w:ascii="Arial" w:cs="Arial" w:eastAsia="Arial" w:hAnsi="Arial"/>
                <w:sz w:val="17"/>
                <w:szCs w:val="17"/>
                <w:color w:val="0000EE"/>
              </w:rPr>
            </w:pPr>
            <w:hyperlink w:anchor="page195">
              <w:r>
                <w:rPr>
                  <w:rFonts w:ascii="Arial" w:cs="Arial" w:eastAsia="Arial" w:hAnsi="Arial"/>
                  <w:sz w:val="17"/>
                  <w:szCs w:val="17"/>
                  <w:color w:val="0000EE"/>
                </w:rPr>
                <w:t>Condensed Consolidated Statement of Shareholders’ Equity for the six months ended June 30, 2016</w:t>
              </w:r>
            </w:hyperlink>
          </w:p>
        </w:tc>
        <w:tc>
          <w:tcPr>
            <w:tcW w:w="500" w:type="dxa"/>
            <w:vAlign w:val="bottom"/>
            <w:gridSpan w:val="2"/>
          </w:tcPr>
          <w:p>
            <w:pPr>
              <w:ind w:left="60"/>
              <w:spacing w:after="0" w:line="163" w:lineRule="exact"/>
              <w:rPr>
                <w:sz w:val="20"/>
                <w:szCs w:val="20"/>
                <w:color w:val="auto"/>
              </w:rPr>
            </w:pPr>
            <w:r>
              <w:rPr>
                <w:rFonts w:ascii="Arial" w:cs="Arial" w:eastAsia="Arial" w:hAnsi="Arial"/>
                <w:sz w:val="17"/>
                <w:szCs w:val="17"/>
                <w:color w:val="auto"/>
              </w:rPr>
              <w:t>F-44</w:t>
            </w:r>
          </w:p>
        </w:tc>
        <w:tc>
          <w:tcPr>
            <w:tcW w:w="0" w:type="dxa"/>
            <w:vAlign w:val="bottom"/>
          </w:tcPr>
          <w:p>
            <w:pPr>
              <w:spacing w:after="0"/>
              <w:rPr>
                <w:sz w:val="1"/>
                <w:szCs w:val="1"/>
                <w:color w:val="auto"/>
              </w:rPr>
            </w:pPr>
          </w:p>
        </w:tc>
      </w:tr>
      <w:tr>
        <w:trPr>
          <w:trHeight w:val="20"/>
        </w:trPr>
        <w:tc>
          <w:tcPr>
            <w:tcW w:w="49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gridSpan w:val="2"/>
            <w:vMerge w:val="restart"/>
          </w:tcPr>
          <w:p>
            <w:pPr>
              <w:ind w:left="60"/>
              <w:spacing w:after="0" w:line="184" w:lineRule="exact"/>
              <w:rPr>
                <w:sz w:val="20"/>
                <w:szCs w:val="20"/>
                <w:color w:val="auto"/>
              </w:rPr>
            </w:pPr>
            <w:r>
              <w:rPr>
                <w:rFonts w:ascii="Arial" w:cs="Arial" w:eastAsia="Arial" w:hAnsi="Arial"/>
                <w:sz w:val="17"/>
                <w:szCs w:val="17"/>
                <w:color w:val="auto"/>
              </w:rPr>
              <w:t>F-45</w:t>
            </w:r>
          </w:p>
        </w:tc>
        <w:tc>
          <w:tcPr>
            <w:tcW w:w="0" w:type="dxa"/>
            <w:vAlign w:val="bottom"/>
          </w:tcPr>
          <w:p>
            <w:pPr>
              <w:spacing w:after="0" w:line="20" w:lineRule="exact"/>
              <w:rPr>
                <w:sz w:val="1"/>
                <w:szCs w:val="1"/>
                <w:color w:val="auto"/>
              </w:rPr>
            </w:pPr>
          </w:p>
        </w:tc>
      </w:tr>
      <w:tr>
        <w:trPr>
          <w:trHeight w:val="163"/>
        </w:trPr>
        <w:tc>
          <w:tcPr>
            <w:tcW w:w="10920" w:type="dxa"/>
            <w:vAlign w:val="bottom"/>
            <w:gridSpan w:val="7"/>
          </w:tcPr>
          <w:p>
            <w:pPr>
              <w:spacing w:after="0" w:line="163" w:lineRule="exact"/>
              <w:rPr>
                <w:rFonts w:ascii="Arial" w:cs="Arial" w:eastAsia="Arial" w:hAnsi="Arial"/>
                <w:sz w:val="17"/>
                <w:szCs w:val="17"/>
                <w:color w:val="0000EE"/>
              </w:rPr>
            </w:pPr>
            <w:hyperlink w:anchor="page196">
              <w:r>
                <w:rPr>
                  <w:rFonts w:ascii="Arial" w:cs="Arial" w:eastAsia="Arial" w:hAnsi="Arial"/>
                  <w:sz w:val="17"/>
                  <w:szCs w:val="17"/>
                  <w:color w:val="0000EE"/>
                </w:rPr>
                <w:t>Condensed Consolidated Statements of Cash Flows for the six months ended June 30, 2016 and 2015</w:t>
              </w:r>
            </w:hyperlink>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540" w:type="dxa"/>
            <w:vAlign w:val="bottom"/>
            <w:tcBorders>
              <w:top w:val="single" w:sz="8" w:color="0000EE"/>
            </w:tcBorders>
            <w:gridSpan w:val="5"/>
          </w:tcPr>
          <w:p>
            <w:pPr>
              <w:spacing w:after="0" w:line="163" w:lineRule="exact"/>
              <w:rPr>
                <w:rFonts w:ascii="Arial" w:cs="Arial" w:eastAsia="Arial" w:hAnsi="Arial"/>
                <w:sz w:val="17"/>
                <w:szCs w:val="17"/>
                <w:color w:val="0000EE"/>
              </w:rPr>
            </w:pPr>
            <w:hyperlink w:anchor="page197">
              <w:r>
                <w:rPr>
                  <w:rFonts w:ascii="Arial" w:cs="Arial" w:eastAsia="Arial" w:hAnsi="Arial"/>
                  <w:sz w:val="17"/>
                  <w:szCs w:val="17"/>
                  <w:color w:val="0000EE"/>
                </w:rPr>
                <w:t>Notes to Unaudited Condensed Consolidated Financial Statements</w:t>
              </w:r>
            </w:hyperlink>
          </w:p>
        </w:tc>
        <w:tc>
          <w:tcPr>
            <w:tcW w:w="3380" w:type="dxa"/>
            <w:vAlign w:val="bottom"/>
            <w:gridSpan w:val="2"/>
          </w:tcPr>
          <w:p>
            <w:pPr>
              <w:spacing w:after="0"/>
              <w:rPr>
                <w:sz w:val="14"/>
                <w:szCs w:val="14"/>
                <w:color w:val="auto"/>
              </w:rPr>
            </w:pPr>
          </w:p>
        </w:tc>
        <w:tc>
          <w:tcPr>
            <w:tcW w:w="500" w:type="dxa"/>
            <w:vAlign w:val="bottom"/>
            <w:gridSpan w:val="2"/>
          </w:tcPr>
          <w:p>
            <w:pPr>
              <w:ind w:left="60"/>
              <w:spacing w:after="0" w:line="163" w:lineRule="exact"/>
              <w:rPr>
                <w:sz w:val="20"/>
                <w:szCs w:val="20"/>
                <w:color w:val="auto"/>
              </w:rPr>
            </w:pPr>
            <w:r>
              <w:rPr>
                <w:rFonts w:ascii="Arial" w:cs="Arial" w:eastAsia="Arial" w:hAnsi="Arial"/>
                <w:sz w:val="17"/>
                <w:szCs w:val="17"/>
                <w:color w:val="auto"/>
              </w:rPr>
              <w:t>F-46</w:t>
            </w:r>
          </w:p>
        </w:tc>
        <w:tc>
          <w:tcPr>
            <w:tcW w:w="0" w:type="dxa"/>
            <w:vAlign w:val="bottom"/>
          </w:tcPr>
          <w:p>
            <w:pPr>
              <w:spacing w:after="0"/>
              <w:rPr>
                <w:sz w:val="1"/>
                <w:szCs w:val="1"/>
                <w:color w:val="auto"/>
              </w:rPr>
            </w:pPr>
          </w:p>
        </w:tc>
      </w:tr>
      <w:tr>
        <w:trPr>
          <w:trHeight w:val="216"/>
        </w:trPr>
        <w:tc>
          <w:tcPr>
            <w:tcW w:w="4920" w:type="dxa"/>
            <w:vAlign w:val="bottom"/>
            <w:tcBorders>
              <w:top w:val="single" w:sz="8" w:color="0000EE"/>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4920" w:type="dxa"/>
            <w:vAlign w:val="bottom"/>
          </w:tcPr>
          <w:p>
            <w:pPr>
              <w:spacing w:after="0"/>
              <w:rPr>
                <w:sz w:val="24"/>
                <w:szCs w:val="24"/>
                <w:color w:val="auto"/>
              </w:rPr>
            </w:pPr>
          </w:p>
        </w:tc>
        <w:tc>
          <w:tcPr>
            <w:tcW w:w="6000" w:type="dxa"/>
            <w:vAlign w:val="bottom"/>
            <w:gridSpan w:val="6"/>
          </w:tcPr>
          <w:p>
            <w:pPr>
              <w:ind w:left="680"/>
              <w:spacing w:after="0"/>
              <w:rPr>
                <w:sz w:val="20"/>
                <w:szCs w:val="20"/>
                <w:color w:val="auto"/>
              </w:rPr>
            </w:pPr>
            <w:r>
              <w:rPr>
                <w:rFonts w:ascii="Arial" w:cs="Arial" w:eastAsia="Arial" w:hAnsi="Arial"/>
                <w:sz w:val="16"/>
                <w:szCs w:val="16"/>
                <w:color w:val="auto"/>
              </w:rPr>
              <w:t>F-1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rPr>
          <w:sz w:val="20"/>
          <w:szCs w:val="20"/>
          <w:color w:val="auto"/>
        </w:rPr>
      </w:pPr>
      <w:r>
        <w:rPr>
          <w:rFonts w:ascii="Arial" w:cs="Arial" w:eastAsia="Arial" w:hAnsi="Arial"/>
          <w:sz w:val="17"/>
          <w:szCs w:val="17"/>
          <w:color w:val="auto"/>
        </w:rPr>
        <w:t>Medpace Holdings, Inc. and subsidiaries:</w:t>
      </w:r>
    </w:p>
    <w:p>
      <w:pPr>
        <w:spacing w:after="0" w:line="197"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We have audited the accompanying consolidated balance sheets of Medpace Holdings, Inc. and its subsidiaries (the “Company”) as of December 31, 2015 and 2014 (Successor), and the related consolidated statements of operations, comprehensive (loss) income, shareholders’ equity, and cash flows for the year ended December 31, 2015 (Successor), and the periods from April 1, 2014 through December 31, 2014 (Successor), January 1, 2014 through March 31, 2014 (Predecessor), and the year ended December 31, 2013 (Predecessor). These consolidated financial statements are the responsibility of the Company’s management. Our responsibility is to express an opinion on these financial statements based on our audits.</w:t>
      </w:r>
    </w:p>
    <w:p>
      <w:pPr>
        <w:spacing w:after="0" w:line="194"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Medpace Holdings, Inc. and subsidiaries at as of December 31, 2015 and 2014 (Successor), and the results of their operations and their cash flows for the year ended December 31, 2015 (Successor), and the periods from April 1, 2014 through December 31, 2014 (Successor), January 1, 2014 through March 31, 2014 (Predecessor), and the year ended December 31, 2013 (Predecessor),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Cincinnati, Ohio</w:t>
      </w:r>
    </w:p>
    <w:p>
      <w:pPr>
        <w:spacing w:after="0"/>
        <w:rPr>
          <w:sz w:val="20"/>
          <w:szCs w:val="20"/>
          <w:color w:val="auto"/>
        </w:rPr>
      </w:pPr>
      <w:r>
        <w:rPr>
          <w:rFonts w:ascii="Arial" w:cs="Arial" w:eastAsia="Arial" w:hAnsi="Arial"/>
          <w:sz w:val="17"/>
          <w:szCs w:val="17"/>
          <w:color w:val="auto"/>
        </w:rPr>
        <w:t>March 1, 2016 (July 26, 2016 as to the effects of the reverse stock split described in Notes 3 and 17)</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400"/>
          </w:cols>
          <w:pgMar w:left="240" w:top="449"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600" w:type="dxa"/>
            <w:vAlign w:val="bottom"/>
          </w:tcPr>
          <w:p>
            <w:pPr>
              <w:spacing w:after="0"/>
              <w:rPr>
                <w:sz w:val="12"/>
                <w:szCs w:val="12"/>
                <w:color w:val="auto"/>
              </w:rPr>
            </w:pPr>
          </w:p>
        </w:tc>
        <w:tc>
          <w:tcPr>
            <w:tcW w:w="14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60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00" w:type="dxa"/>
            <w:vAlign w:val="bottom"/>
          </w:tcPr>
          <w:p>
            <w:pPr>
              <w:spacing w:after="0" w:line="184" w:lineRule="exact"/>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14,880</w:t>
            </w:r>
          </w:p>
        </w:tc>
        <w:tc>
          <w:tcPr>
            <w:tcW w:w="3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80"/>
              <w:spacing w:after="0" w:line="18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54,285</w:t>
            </w: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2,857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00" w:type="dxa"/>
            <w:vAlign w:val="bottom"/>
          </w:tcPr>
          <w:p>
            <w:pPr>
              <w:ind w:left="500"/>
              <w:spacing w:after="0" w:line="177" w:lineRule="exact"/>
              <w:rPr>
                <w:sz w:val="20"/>
                <w:szCs w:val="20"/>
                <w:color w:val="auto"/>
              </w:rPr>
            </w:pPr>
            <w:r>
              <w:rPr>
                <w:rFonts w:ascii="Arial" w:cs="Arial" w:eastAsia="Arial" w:hAnsi="Arial"/>
                <w:sz w:val="17"/>
                <w:szCs w:val="17"/>
                <w:color w:val="auto"/>
              </w:rPr>
              <w:t>Billed, net (includes $2.3 million and $0.7 million with related parties at December 31, 2015 and 2014,</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tcPr>
          <w:p>
            <w:pPr>
              <w:ind w:left="740"/>
              <w:spacing w:after="0" w:line="189" w:lineRule="exact"/>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46,352</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52,468</w:t>
            </w:r>
          </w:p>
        </w:tc>
        <w:tc>
          <w:tcPr>
            <w:tcW w:w="0" w:type="dxa"/>
            <w:vAlign w:val="bottom"/>
          </w:tcPr>
          <w:p>
            <w:pPr>
              <w:spacing w:after="0"/>
              <w:rPr>
                <w:sz w:val="1"/>
                <w:szCs w:val="1"/>
                <w:color w:val="auto"/>
              </w:rPr>
            </w:pPr>
          </w:p>
        </w:tc>
      </w:tr>
      <w:tr>
        <w:trPr>
          <w:trHeight w:val="177"/>
        </w:trPr>
        <w:tc>
          <w:tcPr>
            <w:tcW w:w="8600" w:type="dxa"/>
            <w:vAlign w:val="bottom"/>
            <w:shd w:val="clear" w:color="auto" w:fill="CCEEFF"/>
          </w:tcPr>
          <w:p>
            <w:pPr>
              <w:ind w:left="500"/>
              <w:spacing w:after="0" w:line="177" w:lineRule="exact"/>
              <w:rPr>
                <w:sz w:val="20"/>
                <w:szCs w:val="20"/>
                <w:color w:val="auto"/>
              </w:rPr>
            </w:pPr>
            <w:r>
              <w:rPr>
                <w:rFonts w:ascii="Arial" w:cs="Arial" w:eastAsia="Arial" w:hAnsi="Arial"/>
                <w:sz w:val="17"/>
                <w:szCs w:val="17"/>
                <w:color w:val="auto"/>
              </w:rPr>
              <w:t>Unbilled Services (includes $0.6 million and $0.2 million with related parties at December 31, 2015 and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2014, respectively)</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18,736</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12,780</w:t>
            </w:r>
          </w:p>
        </w:tc>
        <w:tc>
          <w:tcPr>
            <w:tcW w:w="0" w:type="dxa"/>
            <w:vAlign w:val="bottom"/>
          </w:tcPr>
          <w:p>
            <w:pPr>
              <w:spacing w:after="0"/>
              <w:rPr>
                <w:sz w:val="1"/>
                <w:szCs w:val="1"/>
                <w:color w:val="auto"/>
              </w:rPr>
            </w:pPr>
          </w:p>
        </w:tc>
      </w:tr>
      <w:tr>
        <w:trPr>
          <w:trHeight w:val="190"/>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11,896</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12,684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94,721</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133,321</w:t>
            </w: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37,512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Goodwill</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660,981</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670,294</w:t>
            </w: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186,743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249,885</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157</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90"/>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3,927</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5,190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984,041</w:t>
            </w:r>
          </w:p>
        </w:tc>
        <w:tc>
          <w:tcPr>
            <w:tcW w:w="3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80"/>
              <w:spacing w:after="0" w:line="18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1,096,912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Accounts payable</w:t>
            </w:r>
          </w:p>
        </w:tc>
        <w:tc>
          <w:tcPr>
            <w:tcW w:w="240" w:type="dxa"/>
            <w:vAlign w:val="bottom"/>
          </w:tcPr>
          <w:p>
            <w:pPr>
              <w:spacing w:after="0" w:line="184"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8,728</w:t>
            </w:r>
          </w:p>
        </w:tc>
        <w:tc>
          <w:tcPr>
            <w:tcW w:w="360" w:type="dxa"/>
            <w:vAlign w:val="bottom"/>
          </w:tcPr>
          <w:p>
            <w:pPr>
              <w:spacing w:after="0"/>
              <w:rPr>
                <w:sz w:val="15"/>
                <w:szCs w:val="15"/>
                <w:color w:val="auto"/>
              </w:rPr>
            </w:pPr>
          </w:p>
        </w:tc>
        <w:tc>
          <w:tcPr>
            <w:tcW w:w="500" w:type="dxa"/>
            <w:vAlign w:val="bottom"/>
            <w:gridSpan w:val="2"/>
          </w:tcPr>
          <w:p>
            <w:pPr>
              <w:ind w:left="280"/>
              <w:spacing w:after="0" w:line="18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6,252</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20,111</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20,307</w:t>
            </w:r>
          </w:p>
        </w:tc>
        <w:tc>
          <w:tcPr>
            <w:tcW w:w="0" w:type="dxa"/>
            <w:vAlign w:val="bottom"/>
          </w:tcPr>
          <w:p>
            <w:pPr>
              <w:spacing w:after="0"/>
              <w:rPr>
                <w:sz w:val="1"/>
                <w:szCs w:val="1"/>
                <w:color w:val="auto"/>
              </w:rPr>
            </w:pPr>
          </w:p>
        </w:tc>
      </w:tr>
      <w:tr>
        <w:trPr>
          <w:trHeight w:val="177"/>
        </w:trPr>
        <w:tc>
          <w:tcPr>
            <w:tcW w:w="8600" w:type="dxa"/>
            <w:vAlign w:val="bottom"/>
          </w:tcPr>
          <w:p>
            <w:pPr>
              <w:ind w:left="260"/>
              <w:spacing w:after="0" w:line="177" w:lineRule="exact"/>
              <w:rPr>
                <w:sz w:val="20"/>
                <w:szCs w:val="20"/>
                <w:color w:val="auto"/>
              </w:rPr>
            </w:pPr>
            <w:r>
              <w:rPr>
                <w:rFonts w:ascii="Arial" w:cs="Arial" w:eastAsia="Arial" w:hAnsi="Arial"/>
                <w:sz w:val="17"/>
                <w:szCs w:val="17"/>
                <w:color w:val="auto"/>
              </w:rPr>
              <w:t>Pre-funded study costs (includes $3.7 million and $2.4 million with related parties at December 31, 2015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tcPr>
          <w:p>
            <w:pPr>
              <w:ind w:left="500"/>
              <w:spacing w:after="0" w:line="189" w:lineRule="exact"/>
              <w:rPr>
                <w:sz w:val="20"/>
                <w:szCs w:val="20"/>
                <w:color w:val="auto"/>
              </w:rPr>
            </w:pPr>
            <w:r>
              <w:rPr>
                <w:rFonts w:ascii="Arial" w:cs="Arial" w:eastAsia="Arial" w:hAnsi="Arial"/>
                <w:sz w:val="17"/>
                <w:szCs w:val="17"/>
                <w:color w:val="auto"/>
              </w:rPr>
              <w:t>and 2014, respectively)</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46,599</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36,686</w:t>
            </w:r>
          </w:p>
        </w:tc>
        <w:tc>
          <w:tcPr>
            <w:tcW w:w="0" w:type="dxa"/>
            <w:vAlign w:val="bottom"/>
          </w:tcPr>
          <w:p>
            <w:pPr>
              <w:spacing w:after="0"/>
              <w:rPr>
                <w:sz w:val="1"/>
                <w:szCs w:val="1"/>
                <w:color w:val="auto"/>
              </w:rPr>
            </w:pPr>
          </w:p>
        </w:tc>
      </w:tr>
      <w:tr>
        <w:trPr>
          <w:trHeight w:val="177"/>
        </w:trPr>
        <w:tc>
          <w:tcPr>
            <w:tcW w:w="860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Advanced billings (includes $10.2 million and $5.3 million with related parties at December 31, 2015 and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2014, respectively)</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51,051</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58,139</w:t>
            </w:r>
          </w:p>
        </w:tc>
        <w:tc>
          <w:tcPr>
            <w:tcW w:w="0" w:type="dxa"/>
            <w:vAlign w:val="bottom"/>
          </w:tcPr>
          <w:p>
            <w:pPr>
              <w:spacing w:after="0"/>
              <w:rPr>
                <w:sz w:val="1"/>
                <w:szCs w:val="1"/>
                <w:color w:val="auto"/>
              </w:rPr>
            </w:pPr>
          </w:p>
        </w:tc>
      </w:tr>
      <w:tr>
        <w:trPr>
          <w:trHeight w:val="190"/>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7,528</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12,256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134,017</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133,640</w:t>
            </w: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Long-term debt, net, less current portion</w:t>
            </w:r>
          </w:p>
        </w:tc>
        <w:tc>
          <w:tcPr>
            <w:tcW w:w="2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377,882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491,518</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Deemed landlord liability, less current portion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30,273</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31,852</w:t>
            </w: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Deferred income tax liability</w:t>
            </w:r>
          </w:p>
        </w:tc>
        <w:tc>
          <w:tcPr>
            <w:tcW w:w="2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21,104</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33,768</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7,291</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4,164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00" w:type="dxa"/>
            <w:vAlign w:val="bottom"/>
          </w:tcPr>
          <w:p>
            <w:pPr>
              <w:ind w:left="740"/>
              <w:spacing w:after="0" w:line="189" w:lineRule="exact"/>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570,567</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694,942</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Commitments and contingencies (see Note 9)</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0" w:type="dxa"/>
            <w:vAlign w:val="bottom"/>
          </w:tcPr>
          <w:p>
            <w:pPr>
              <w:spacing w:after="0" w:line="184" w:lineRule="exact"/>
              <w:rPr>
                <w:sz w:val="20"/>
                <w:szCs w:val="20"/>
                <w:color w:val="auto"/>
              </w:rPr>
            </w:pPr>
            <w:r>
              <w:rPr>
                <w:rFonts w:ascii="Arial" w:cs="Arial" w:eastAsia="Arial" w:hAnsi="Arial"/>
                <w:sz w:val="17"/>
                <w:szCs w:val="17"/>
                <w:color w:val="auto"/>
              </w:rPr>
              <w:t>Shareholders’ equity:</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0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Successor common stock—$0.01 par value; 60,000,000 shares authorized; 32,624,461 and 31,286,989</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shares issued and outstanding at December 31, 2015 and 2014, respectively</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326</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83"/>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438,716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417,553</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(23,009)</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190"/>
        </w:trPr>
        <w:tc>
          <w:tcPr>
            <w:tcW w:w="8600" w:type="dxa"/>
            <w:vAlign w:val="bottom"/>
          </w:tcPr>
          <w:p>
            <w:pPr>
              <w:ind w:left="260"/>
              <w:spacing w:after="0" w:line="184" w:lineRule="exact"/>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6"/>
                <w:szCs w:val="16"/>
                <w:color w:val="auto"/>
              </w:rPr>
            </w:pPr>
          </w:p>
        </w:tc>
        <w:tc>
          <w:tcPr>
            <w:tcW w:w="116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(2,559)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413,474</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401,970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00" w:type="dxa"/>
            <w:vAlign w:val="bottom"/>
          </w:tcPr>
          <w:p>
            <w:pPr>
              <w:ind w:left="740"/>
              <w:spacing w:after="0"/>
              <w:rPr>
                <w:sz w:val="20"/>
                <w:szCs w:val="20"/>
                <w:color w:val="auto"/>
              </w:rPr>
            </w:pPr>
            <w:r>
              <w:rPr>
                <w:rFonts w:ascii="Arial" w:cs="Arial" w:eastAsia="Arial" w:hAnsi="Arial"/>
                <w:sz w:val="17"/>
                <w:szCs w:val="17"/>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984,041</w:t>
            </w:r>
          </w:p>
        </w:tc>
        <w:tc>
          <w:tcPr>
            <w:tcW w:w="36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1,096,912</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49"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SUCCESSOR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ind w:left="840"/>
              <w:spacing w:after="0"/>
              <w:rPr>
                <w:sz w:val="20"/>
                <w:szCs w:val="20"/>
                <w:color w:val="auto"/>
              </w:rPr>
            </w:pPr>
            <w:r>
              <w:rPr>
                <w:rFonts w:ascii="Arial" w:cs="Arial" w:eastAsia="Arial" w:hAnsi="Arial"/>
                <w:sz w:val="14"/>
                <w:szCs w:val="14"/>
                <w:b w:val="1"/>
                <w:bCs w:val="1"/>
                <w:color w:val="auto"/>
              </w:rPr>
              <w:t>PREDECESSOR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4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PERIOD FROM</w:t>
            </w:r>
          </w:p>
        </w:tc>
        <w:tc>
          <w:tcPr>
            <w:tcW w:w="40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right="840"/>
              <w:spacing w:after="0" w:line="139" w:lineRule="exact"/>
              <w:rPr>
                <w:sz w:val="20"/>
                <w:szCs w:val="20"/>
                <w:color w:val="auto"/>
              </w:rPr>
            </w:pPr>
            <w:r>
              <w:rPr>
                <w:rFonts w:ascii="Arial" w:cs="Arial" w:eastAsia="Arial" w:hAnsi="Arial"/>
                <w:sz w:val="14"/>
                <w:szCs w:val="14"/>
                <w:b w:val="1"/>
                <w:bCs w:val="1"/>
                <w:color w:val="auto"/>
                <w:w w:val="99"/>
              </w:rPr>
              <w:t>PERIOD FROM</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right w:val="single" w:sz="8" w:color="auto"/>
            </w:tcBorders>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9"/>
              </w:rPr>
              <w:t>APRIL 1, 2014</w:t>
            </w:r>
          </w:p>
        </w:tc>
        <w:tc>
          <w:tcPr>
            <w:tcW w:w="700" w:type="dxa"/>
            <w:vAlign w:val="bottom"/>
          </w:tcPr>
          <w:p>
            <w:pPr>
              <w:spacing w:after="0"/>
              <w:rPr>
                <w:sz w:val="13"/>
                <w:szCs w:val="13"/>
                <w:color w:val="auto"/>
              </w:rPr>
            </w:pPr>
          </w:p>
        </w:tc>
        <w:tc>
          <w:tcPr>
            <w:tcW w:w="19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JANUARY 1, 2014</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w w:val="98"/>
              </w:rPr>
              <w:t>THROUGH</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840"/>
              <w:spacing w:after="0" w:line="157" w:lineRule="exact"/>
              <w:rPr>
                <w:sz w:val="20"/>
                <w:szCs w:val="20"/>
                <w:color w:val="auto"/>
              </w:rPr>
            </w:pPr>
            <w:r>
              <w:rPr>
                <w:rFonts w:ascii="Arial" w:cs="Arial" w:eastAsia="Arial" w:hAnsi="Arial"/>
                <w:sz w:val="14"/>
                <w:szCs w:val="14"/>
                <w:b w:val="1"/>
                <w:bCs w:val="1"/>
                <w:color w:val="auto"/>
                <w:w w:val="98"/>
              </w:rPr>
              <w:t>THROUGH</w:t>
            </w:r>
          </w:p>
        </w:tc>
        <w:tc>
          <w:tcPr>
            <w:tcW w:w="112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420" w:type="dxa"/>
            <w:vAlign w:val="bottom"/>
            <w:tcBorders>
              <w:right w:val="single" w:sz="8" w:color="auto"/>
            </w:tcBorders>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820"/>
              <w:spacing w:after="0" w:line="157"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5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Borders>
              <w:bottom w:val="single" w:sz="8" w:color="CCEEFF"/>
              <w:right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6"/>
              </w:rPr>
              <w:t>2014</w:t>
            </w: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134"/>
        </w:trPr>
        <w:tc>
          <w:tcPr>
            <w:tcW w:w="4520" w:type="dxa"/>
            <w:vAlign w:val="bottom"/>
            <w:shd w:val="clear" w:color="auto" w:fill="CCEEFF"/>
          </w:tcPr>
          <w:p>
            <w:pPr>
              <w:spacing w:after="0" w:line="134" w:lineRule="exact"/>
              <w:rPr>
                <w:sz w:val="20"/>
                <w:szCs w:val="20"/>
                <w:color w:val="auto"/>
              </w:rPr>
            </w:pPr>
            <w:r>
              <w:rPr>
                <w:rFonts w:ascii="Arial" w:cs="Arial" w:eastAsia="Arial" w:hAnsi="Arial"/>
                <w:sz w:val="15"/>
                <w:szCs w:val="15"/>
                <w:color w:val="auto"/>
              </w:rPr>
              <w:t>Service revenue, net (includes $24.0 million, $11.8 million, $2.0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million and $3.3 million with related parties for the</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Successor year ended December 31, 2015 and Period</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ended December 31, 2014, and the Predecessor Period</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ended March 31, 2014 and year ended December 31, 2013,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4520" w:type="dxa"/>
            <w:vAlign w:val="bottom"/>
            <w:shd w:val="clear" w:color="auto" w:fill="CCEEFF"/>
          </w:tcPr>
          <w:p>
            <w:pPr>
              <w:ind w:left="240"/>
              <w:spacing w:after="0" w:line="161" w:lineRule="exact"/>
              <w:rPr>
                <w:sz w:val="20"/>
                <w:szCs w:val="20"/>
                <w:color w:val="auto"/>
              </w:rPr>
            </w:pPr>
            <w:r>
              <w:rPr>
                <w:rFonts w:ascii="Arial" w:cs="Arial" w:eastAsia="Arial" w:hAnsi="Arial"/>
                <w:sz w:val="15"/>
                <w:szCs w:val="15"/>
                <w:color w:val="auto"/>
              </w:rPr>
              <w:t>respectively)</w:t>
            </w:r>
          </w:p>
        </w:tc>
        <w:tc>
          <w:tcPr>
            <w:tcW w:w="500" w:type="dxa"/>
            <w:vAlign w:val="bottom"/>
            <w:gridSpan w:val="2"/>
            <w:shd w:val="clear" w:color="auto" w:fill="CCEEFF"/>
          </w:tcPr>
          <w:p>
            <w:pPr>
              <w:ind w:left="320"/>
              <w:spacing w:after="0" w:line="161"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320,101</w:t>
            </w:r>
          </w:p>
        </w:tc>
        <w:tc>
          <w:tcPr>
            <w:tcW w:w="30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gridSpan w:val="2"/>
            <w:shd w:val="clear" w:color="auto" w:fill="CCEEFF"/>
          </w:tcPr>
          <w:p>
            <w:pPr>
              <w:jc w:val="right"/>
              <w:ind w:right="400"/>
              <w:spacing w:after="0" w:line="161" w:lineRule="exact"/>
              <w:rPr>
                <w:sz w:val="20"/>
                <w:szCs w:val="20"/>
                <w:color w:val="auto"/>
              </w:rPr>
            </w:pPr>
            <w:r>
              <w:rPr>
                <w:rFonts w:ascii="Arial" w:cs="Arial" w:eastAsia="Arial" w:hAnsi="Arial"/>
                <w:sz w:val="15"/>
                <w:szCs w:val="15"/>
                <w:color w:val="auto"/>
              </w:rPr>
              <w:t>219,791</w:t>
            </w:r>
          </w:p>
        </w:tc>
        <w:tc>
          <w:tcPr>
            <w:tcW w:w="800" w:type="dxa"/>
            <w:vAlign w:val="bottom"/>
            <w:gridSpan w:val="2"/>
            <w:shd w:val="clear" w:color="auto" w:fill="CCEEFF"/>
          </w:tcPr>
          <w:p>
            <w:pPr>
              <w:ind w:left="700"/>
              <w:spacing w:after="0" w:line="161" w:lineRule="exact"/>
              <w:rPr>
                <w:sz w:val="20"/>
                <w:szCs w:val="20"/>
                <w:color w:val="auto"/>
              </w:rPr>
            </w:pPr>
            <w:r>
              <w:rPr>
                <w:rFonts w:ascii="Arial" w:cs="Arial" w:eastAsia="Arial" w:hAnsi="Arial"/>
                <w:sz w:val="15"/>
                <w:szCs w:val="15"/>
                <w:color w:val="auto"/>
                <w:w w:val="95"/>
              </w:rPr>
              <w:t>$</w:t>
            </w:r>
          </w:p>
        </w:tc>
        <w:tc>
          <w:tcPr>
            <w:tcW w:w="1820" w:type="dxa"/>
            <w:vAlign w:val="bottom"/>
            <w:gridSpan w:val="2"/>
            <w:shd w:val="clear" w:color="auto" w:fill="CCEEFF"/>
          </w:tcPr>
          <w:p>
            <w:pPr>
              <w:jc w:val="right"/>
              <w:ind w:right="740"/>
              <w:spacing w:after="0" w:line="161" w:lineRule="exact"/>
              <w:rPr>
                <w:sz w:val="20"/>
                <w:szCs w:val="20"/>
                <w:color w:val="auto"/>
              </w:rPr>
            </w:pPr>
            <w:r>
              <w:rPr>
                <w:rFonts w:ascii="Arial" w:cs="Arial" w:eastAsia="Arial" w:hAnsi="Arial"/>
                <w:sz w:val="15"/>
                <w:szCs w:val="15"/>
                <w:color w:val="auto"/>
              </w:rPr>
              <w:t>70,250</w:t>
            </w:r>
          </w:p>
        </w:tc>
        <w:tc>
          <w:tcPr>
            <w:tcW w:w="2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5"/>
                <w:szCs w:val="15"/>
                <w:color w:val="auto"/>
              </w:rPr>
              <w:t>244,270</w:t>
            </w:r>
          </w:p>
        </w:tc>
      </w:tr>
      <w:tr>
        <w:trPr>
          <w:trHeight w:val="154"/>
        </w:trPr>
        <w:tc>
          <w:tcPr>
            <w:tcW w:w="4520" w:type="dxa"/>
            <w:vAlign w:val="bottom"/>
          </w:tcPr>
          <w:p>
            <w:pPr>
              <w:spacing w:after="0" w:line="154" w:lineRule="exact"/>
              <w:rPr>
                <w:sz w:val="20"/>
                <w:szCs w:val="20"/>
                <w:color w:val="auto"/>
              </w:rPr>
            </w:pPr>
            <w:r>
              <w:rPr>
                <w:rFonts w:ascii="Arial" w:cs="Arial" w:eastAsia="Arial" w:hAnsi="Arial"/>
                <w:sz w:val="15"/>
                <w:szCs w:val="15"/>
                <w:color w:val="auto"/>
              </w:rPr>
              <w:t>Reimbursed out-of-pocket revenue (includes $6.9 million, $2.0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million, $0.1 million and $0.1 million with related parties for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the Successor year ended December 31, 2015 and Period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ended December 31, 2014, and the Predecessor Period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ended March 31, 2014 and year ended December 31, 2013,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520" w:type="dxa"/>
            <w:vAlign w:val="bottom"/>
          </w:tcPr>
          <w:p>
            <w:pPr>
              <w:ind w:left="240"/>
              <w:spacing w:after="0" w:line="161" w:lineRule="exact"/>
              <w:rPr>
                <w:sz w:val="20"/>
                <w:szCs w:val="20"/>
                <w:color w:val="auto"/>
              </w:rPr>
            </w:pPr>
            <w:r>
              <w:rPr>
                <w:rFonts w:ascii="Arial" w:cs="Arial" w:eastAsia="Arial" w:hAnsi="Arial"/>
                <w:sz w:val="15"/>
                <w:szCs w:val="15"/>
                <w:color w:val="auto"/>
              </w:rPr>
              <w:t>respectively)</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38,958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right"/>
              <w:ind w:right="400"/>
              <w:spacing w:after="0" w:line="161" w:lineRule="exact"/>
              <w:rPr>
                <w:sz w:val="20"/>
                <w:szCs w:val="20"/>
                <w:color w:val="auto"/>
              </w:rPr>
            </w:pPr>
            <w:r>
              <w:rPr>
                <w:rFonts w:ascii="Arial" w:cs="Arial" w:eastAsia="Arial" w:hAnsi="Arial"/>
                <w:sz w:val="15"/>
                <w:szCs w:val="15"/>
                <w:color w:val="auto"/>
              </w:rPr>
              <w:t>28,708</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5"/>
                <w:szCs w:val="15"/>
                <w:color w:val="auto"/>
              </w:rPr>
              <w:t>7,679</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28,620</w:t>
            </w:r>
          </w:p>
        </w:tc>
      </w:tr>
      <w:tr>
        <w:trPr>
          <w:trHeight w:val="26"/>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4520" w:type="dxa"/>
            <w:vAlign w:val="bottom"/>
            <w:shd w:val="clear" w:color="auto" w:fill="CCEEFF"/>
          </w:tcPr>
          <w:p>
            <w:pPr>
              <w:ind w:left="500"/>
              <w:spacing w:after="0" w:line="157" w:lineRule="exact"/>
              <w:rPr>
                <w:sz w:val="20"/>
                <w:szCs w:val="20"/>
                <w:color w:val="auto"/>
              </w:rPr>
            </w:pPr>
            <w:r>
              <w:rPr>
                <w:rFonts w:ascii="Arial" w:cs="Arial" w:eastAsia="Arial" w:hAnsi="Arial"/>
                <w:sz w:val="15"/>
                <w:szCs w:val="15"/>
                <w:color w:val="auto"/>
              </w:rPr>
              <w:t>Total revenue</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359,059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248,499</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740"/>
              <w:spacing w:after="0" w:line="157" w:lineRule="exact"/>
              <w:rPr>
                <w:sz w:val="20"/>
                <w:szCs w:val="20"/>
                <w:color w:val="auto"/>
              </w:rPr>
            </w:pPr>
            <w:r>
              <w:rPr>
                <w:rFonts w:ascii="Arial" w:cs="Arial" w:eastAsia="Arial" w:hAnsi="Arial"/>
                <w:sz w:val="15"/>
                <w:szCs w:val="15"/>
                <w:color w:val="auto"/>
              </w:rPr>
              <w:t>77,929</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272,890</w:t>
            </w:r>
          </w:p>
        </w:tc>
      </w:tr>
      <w:tr>
        <w:trPr>
          <w:trHeight w:val="157"/>
        </w:trPr>
        <w:tc>
          <w:tcPr>
            <w:tcW w:w="4520" w:type="dxa"/>
            <w:vAlign w:val="bottom"/>
          </w:tcPr>
          <w:p>
            <w:pPr>
              <w:spacing w:after="0" w:line="157" w:lineRule="exact"/>
              <w:rPr>
                <w:sz w:val="20"/>
                <w:szCs w:val="20"/>
                <w:color w:val="auto"/>
              </w:rPr>
            </w:pPr>
            <w:r>
              <w:rPr>
                <w:rFonts w:ascii="Arial" w:cs="Arial" w:eastAsia="Arial" w:hAnsi="Arial"/>
                <w:sz w:val="15"/>
                <w:szCs w:val="15"/>
                <w:color w:val="auto"/>
              </w:rPr>
              <w:t>Operating Expenses: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Direct costs, excluding depreciation and amortization</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163,707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117,550</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740"/>
              <w:spacing w:after="0" w:line="157" w:lineRule="exact"/>
              <w:rPr>
                <w:sz w:val="20"/>
                <w:szCs w:val="20"/>
                <w:color w:val="auto"/>
              </w:rPr>
            </w:pPr>
            <w:r>
              <w:rPr>
                <w:rFonts w:ascii="Arial" w:cs="Arial" w:eastAsia="Arial" w:hAnsi="Arial"/>
                <w:sz w:val="15"/>
                <w:szCs w:val="15"/>
                <w:color w:val="auto"/>
              </w:rPr>
              <w:t>38,759</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119,779</w:t>
            </w:r>
          </w:p>
        </w:tc>
      </w:tr>
      <w:tr>
        <w:trPr>
          <w:trHeight w:val="154"/>
        </w:trPr>
        <w:tc>
          <w:tcPr>
            <w:tcW w:w="4520" w:type="dxa"/>
            <w:vAlign w:val="bottom"/>
          </w:tcPr>
          <w:p>
            <w:pPr>
              <w:ind w:left="240"/>
              <w:spacing w:after="0" w:line="154" w:lineRule="exact"/>
              <w:rPr>
                <w:sz w:val="20"/>
                <w:szCs w:val="20"/>
                <w:color w:val="auto"/>
              </w:rPr>
            </w:pPr>
            <w:r>
              <w:rPr>
                <w:rFonts w:ascii="Arial" w:cs="Arial" w:eastAsia="Arial" w:hAnsi="Arial"/>
                <w:sz w:val="15"/>
                <w:szCs w:val="15"/>
                <w:color w:val="auto"/>
              </w:rPr>
              <w:t>Reimbursed out-of-pocket expenses (includes $6.9 million,</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500"/>
              <w:spacing w:after="0" w:line="157" w:lineRule="exact"/>
              <w:rPr>
                <w:sz w:val="20"/>
                <w:szCs w:val="20"/>
                <w:color w:val="auto"/>
              </w:rPr>
            </w:pPr>
            <w:r>
              <w:rPr>
                <w:rFonts w:ascii="Arial" w:cs="Arial" w:eastAsia="Arial" w:hAnsi="Arial"/>
                <w:sz w:val="15"/>
                <w:szCs w:val="15"/>
                <w:color w:val="auto"/>
              </w:rPr>
              <w:t>$2.0 million, $0.1 million and $0.1 million with related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500"/>
              <w:spacing w:after="0" w:line="157" w:lineRule="exact"/>
              <w:rPr>
                <w:sz w:val="20"/>
                <w:szCs w:val="20"/>
                <w:color w:val="auto"/>
              </w:rPr>
            </w:pPr>
            <w:r>
              <w:rPr>
                <w:rFonts w:ascii="Arial" w:cs="Arial" w:eastAsia="Arial" w:hAnsi="Arial"/>
                <w:sz w:val="15"/>
                <w:szCs w:val="15"/>
                <w:color w:val="auto"/>
              </w:rPr>
              <w:t>parties for the Successor year ended December 31,</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500"/>
              <w:spacing w:after="0" w:line="157" w:lineRule="exact"/>
              <w:rPr>
                <w:sz w:val="20"/>
                <w:szCs w:val="20"/>
                <w:color w:val="auto"/>
              </w:rPr>
            </w:pPr>
            <w:r>
              <w:rPr>
                <w:rFonts w:ascii="Arial" w:cs="Arial" w:eastAsia="Arial" w:hAnsi="Arial"/>
                <w:sz w:val="15"/>
                <w:szCs w:val="15"/>
                <w:color w:val="auto"/>
              </w:rPr>
              <w:t>2015 and Period ended December 31, 2014, and the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tcPr>
          <w:p>
            <w:pPr>
              <w:ind w:left="500"/>
              <w:spacing w:after="0" w:line="157" w:lineRule="exact"/>
              <w:rPr>
                <w:sz w:val="20"/>
                <w:szCs w:val="20"/>
                <w:color w:val="auto"/>
              </w:rPr>
            </w:pPr>
            <w:r>
              <w:rPr>
                <w:rFonts w:ascii="Arial" w:cs="Arial" w:eastAsia="Arial" w:hAnsi="Arial"/>
                <w:sz w:val="15"/>
                <w:szCs w:val="15"/>
                <w:color w:val="auto"/>
              </w:rPr>
              <w:t>Predecessor Period ended March 31, 2014 and year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4520" w:type="dxa"/>
            <w:vAlign w:val="bottom"/>
          </w:tcPr>
          <w:p>
            <w:pPr>
              <w:ind w:left="500"/>
              <w:spacing w:after="0" w:line="161" w:lineRule="exact"/>
              <w:rPr>
                <w:sz w:val="20"/>
                <w:szCs w:val="20"/>
                <w:color w:val="auto"/>
              </w:rPr>
            </w:pPr>
            <w:r>
              <w:rPr>
                <w:rFonts w:ascii="Arial" w:cs="Arial" w:eastAsia="Arial" w:hAnsi="Arial"/>
                <w:sz w:val="15"/>
                <w:szCs w:val="15"/>
                <w:color w:val="auto"/>
              </w:rPr>
              <w:t>ended December 31, 2013, respectively)</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38,958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right"/>
              <w:ind w:right="400"/>
              <w:spacing w:after="0" w:line="161" w:lineRule="exact"/>
              <w:rPr>
                <w:sz w:val="20"/>
                <w:szCs w:val="20"/>
                <w:color w:val="auto"/>
              </w:rPr>
            </w:pPr>
            <w:r>
              <w:rPr>
                <w:rFonts w:ascii="Arial" w:cs="Arial" w:eastAsia="Arial" w:hAnsi="Arial"/>
                <w:sz w:val="15"/>
                <w:szCs w:val="15"/>
                <w:color w:val="auto"/>
              </w:rPr>
              <w:t>28,708</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5"/>
                <w:szCs w:val="15"/>
                <w:color w:val="auto"/>
              </w:rPr>
              <w:t>7,679</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28,620</w:t>
            </w: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Selling, general and administrative</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56,998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29,465</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740"/>
              <w:spacing w:after="0" w:line="157" w:lineRule="exact"/>
              <w:rPr>
                <w:sz w:val="20"/>
                <w:szCs w:val="20"/>
                <w:color w:val="auto"/>
              </w:rPr>
            </w:pPr>
            <w:r>
              <w:rPr>
                <w:rFonts w:ascii="Arial" w:cs="Arial" w:eastAsia="Arial" w:hAnsi="Arial"/>
                <w:sz w:val="15"/>
                <w:szCs w:val="15"/>
                <w:color w:val="auto"/>
              </w:rPr>
              <w:t>10,203</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35,109</w:t>
            </w: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Acquisition and integration</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right"/>
              <w:ind w:right="400"/>
              <w:spacing w:after="0" w:line="157" w:lineRule="exact"/>
              <w:rPr>
                <w:sz w:val="20"/>
                <w:szCs w:val="20"/>
                <w:color w:val="auto"/>
              </w:rPr>
            </w:pPr>
            <w:r>
              <w:rPr>
                <w:rFonts w:ascii="Arial" w:cs="Arial" w:eastAsia="Arial" w:hAnsi="Arial"/>
                <w:sz w:val="15"/>
                <w:szCs w:val="15"/>
                <w:color w:val="auto"/>
              </w:rPr>
              <w:t>9,297</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right"/>
              <w:ind w:right="740"/>
              <w:spacing w:after="0" w:line="157" w:lineRule="exact"/>
              <w:rPr>
                <w:sz w:val="20"/>
                <w:szCs w:val="20"/>
                <w:color w:val="auto"/>
              </w:rPr>
            </w:pPr>
            <w:r>
              <w:rPr>
                <w:rFonts w:ascii="Arial" w:cs="Arial" w:eastAsia="Arial" w:hAnsi="Arial"/>
                <w:sz w:val="15"/>
                <w:szCs w:val="15"/>
                <w:color w:val="auto"/>
              </w:rPr>
              <w:t>12,420</w:t>
            </w:r>
          </w:p>
        </w:tc>
        <w:tc>
          <w:tcPr>
            <w:tcW w:w="200" w:type="dxa"/>
            <w:vAlign w:val="bottom"/>
          </w:tcPr>
          <w:p>
            <w:pPr>
              <w:spacing w:after="0"/>
              <w:rPr>
                <w:sz w:val="13"/>
                <w:szCs w:val="13"/>
                <w:color w:val="auto"/>
              </w:rPr>
            </w:pP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5"/>
                <w:szCs w:val="15"/>
                <w:color w:val="auto"/>
              </w:rPr>
              <w:t>—</w:t>
            </w: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Impairment of goodwill</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9,313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740"/>
              <w:spacing w:after="0" w:line="157"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w:t>
            </w: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Depreciation</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00"/>
              <w:spacing w:after="0" w:line="157" w:lineRule="exact"/>
              <w:rPr>
                <w:sz w:val="20"/>
                <w:szCs w:val="20"/>
                <w:color w:val="auto"/>
              </w:rPr>
            </w:pPr>
            <w:r>
              <w:rPr>
                <w:rFonts w:ascii="Arial" w:cs="Arial" w:eastAsia="Arial" w:hAnsi="Arial"/>
                <w:sz w:val="15"/>
                <w:szCs w:val="15"/>
                <w:color w:val="auto"/>
              </w:rPr>
              <w:t>6,379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right"/>
              <w:ind w:right="400"/>
              <w:spacing w:after="0" w:line="157" w:lineRule="exact"/>
              <w:rPr>
                <w:sz w:val="20"/>
                <w:szCs w:val="20"/>
                <w:color w:val="auto"/>
              </w:rPr>
            </w:pPr>
            <w:r>
              <w:rPr>
                <w:rFonts w:ascii="Arial" w:cs="Arial" w:eastAsia="Arial" w:hAnsi="Arial"/>
                <w:sz w:val="15"/>
                <w:szCs w:val="15"/>
                <w:color w:val="auto"/>
              </w:rPr>
              <w:t>4,610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5"/>
                <w:szCs w:val="15"/>
                <w:color w:val="auto"/>
              </w:rPr>
              <w:t>1,832</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5"/>
                <w:szCs w:val="15"/>
                <w:color w:val="auto"/>
              </w:rPr>
              <w:t>6,665</w:t>
            </w: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Amortization</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63,142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56,422</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5,199</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23,854</w:t>
            </w:r>
          </w:p>
        </w:tc>
      </w:tr>
      <w:tr>
        <w:trPr>
          <w:trHeight w:val="20"/>
        </w:trPr>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4520" w:type="dxa"/>
            <w:vAlign w:val="bottom"/>
          </w:tcPr>
          <w:p>
            <w:pPr>
              <w:ind w:left="500"/>
              <w:spacing w:after="0" w:line="164" w:lineRule="exact"/>
              <w:rPr>
                <w:sz w:val="20"/>
                <w:szCs w:val="20"/>
                <w:color w:val="auto"/>
              </w:rPr>
            </w:pPr>
            <w:r>
              <w:rPr>
                <w:rFonts w:ascii="Arial" w:cs="Arial" w:eastAsia="Arial" w:hAnsi="Arial"/>
                <w:sz w:val="15"/>
                <w:szCs w:val="15"/>
                <w:color w:val="auto"/>
              </w:rPr>
              <w:t>Total operating expenses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5"/>
                <w:szCs w:val="15"/>
                <w:color w:val="auto"/>
              </w:rPr>
              <w:t>338,497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400"/>
              <w:spacing w:after="0" w:line="164" w:lineRule="exact"/>
              <w:rPr>
                <w:sz w:val="20"/>
                <w:szCs w:val="20"/>
                <w:color w:val="auto"/>
              </w:rPr>
            </w:pPr>
            <w:r>
              <w:rPr>
                <w:rFonts w:ascii="Arial" w:cs="Arial" w:eastAsia="Arial" w:hAnsi="Arial"/>
                <w:sz w:val="15"/>
                <w:szCs w:val="15"/>
                <w:color w:val="auto"/>
              </w:rPr>
              <w:t>246,052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740"/>
              <w:spacing w:after="0" w:line="164" w:lineRule="exact"/>
              <w:rPr>
                <w:sz w:val="20"/>
                <w:szCs w:val="20"/>
                <w:color w:val="auto"/>
              </w:rPr>
            </w:pPr>
            <w:r>
              <w:rPr>
                <w:rFonts w:ascii="Arial" w:cs="Arial" w:eastAsia="Arial" w:hAnsi="Arial"/>
                <w:sz w:val="15"/>
                <w:szCs w:val="15"/>
                <w:color w:val="auto"/>
              </w:rPr>
              <w:t>76,092</w:t>
            </w:r>
          </w:p>
        </w:tc>
        <w:tc>
          <w:tcPr>
            <w:tcW w:w="200" w:type="dxa"/>
            <w:vAlign w:val="bottom"/>
          </w:tcPr>
          <w:p>
            <w:pPr>
              <w:spacing w:after="0"/>
              <w:rPr>
                <w:sz w:val="14"/>
                <w:szCs w:val="14"/>
                <w:color w:val="auto"/>
              </w:rPr>
            </w:pPr>
          </w:p>
        </w:tc>
        <w:tc>
          <w:tcPr>
            <w:tcW w:w="920" w:type="dxa"/>
            <w:vAlign w:val="bottom"/>
            <w:gridSpan w:val="2"/>
          </w:tcPr>
          <w:p>
            <w:pPr>
              <w:jc w:val="right"/>
              <w:ind w:right="80"/>
              <w:spacing w:after="0" w:line="164" w:lineRule="exact"/>
              <w:rPr>
                <w:sz w:val="20"/>
                <w:szCs w:val="20"/>
                <w:color w:val="auto"/>
              </w:rPr>
            </w:pPr>
            <w:r>
              <w:rPr>
                <w:rFonts w:ascii="Arial" w:cs="Arial" w:eastAsia="Arial" w:hAnsi="Arial"/>
                <w:sz w:val="15"/>
                <w:szCs w:val="15"/>
                <w:color w:val="auto"/>
              </w:rPr>
              <w:t>214,027</w:t>
            </w:r>
          </w:p>
        </w:tc>
      </w:tr>
      <w:tr>
        <w:trPr>
          <w:trHeight w:val="26"/>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45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Income from operations</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20,562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2,447</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1,837</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58,863</w:t>
            </w:r>
          </w:p>
        </w:tc>
      </w:tr>
      <w:tr>
        <w:trPr>
          <w:trHeight w:val="157"/>
        </w:trPr>
        <w:tc>
          <w:tcPr>
            <w:tcW w:w="4520" w:type="dxa"/>
            <w:vAlign w:val="bottom"/>
          </w:tcPr>
          <w:p>
            <w:pPr>
              <w:spacing w:after="0" w:line="157" w:lineRule="exact"/>
              <w:rPr>
                <w:sz w:val="20"/>
                <w:szCs w:val="20"/>
                <w:color w:val="auto"/>
              </w:rPr>
            </w:pPr>
            <w:r>
              <w:rPr>
                <w:rFonts w:ascii="Arial" w:cs="Arial" w:eastAsia="Arial" w:hAnsi="Arial"/>
                <w:sz w:val="15"/>
                <w:szCs w:val="15"/>
                <w:color w:val="auto"/>
              </w:rPr>
              <w:t>Other (expense) income, net: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Miscellaneous (expense) income, net</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(1,133)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340"/>
              <w:spacing w:after="0" w:line="157" w:lineRule="exact"/>
              <w:rPr>
                <w:sz w:val="20"/>
                <w:szCs w:val="20"/>
                <w:color w:val="auto"/>
              </w:rPr>
            </w:pPr>
            <w:r>
              <w:rPr>
                <w:rFonts w:ascii="Arial" w:cs="Arial" w:eastAsia="Arial" w:hAnsi="Arial"/>
                <w:sz w:val="15"/>
                <w:szCs w:val="15"/>
                <w:color w:val="auto"/>
              </w:rPr>
              <w:t>(301)</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1,213</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5"/>
                <w:szCs w:val="15"/>
                <w:color w:val="auto"/>
              </w:rPr>
              <w:t>(1,718)</w:t>
            </w: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Interest expense, net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5"/>
                <w:szCs w:val="15"/>
                <w:color w:val="auto"/>
              </w:rPr>
              <w:t>(27,259)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right"/>
              <w:ind w:right="340"/>
              <w:spacing w:after="0" w:line="157" w:lineRule="exact"/>
              <w:rPr>
                <w:sz w:val="20"/>
                <w:szCs w:val="20"/>
                <w:color w:val="auto"/>
              </w:rPr>
            </w:pPr>
            <w:r>
              <w:rPr>
                <w:rFonts w:ascii="Arial" w:cs="Arial" w:eastAsia="Arial" w:hAnsi="Arial"/>
                <w:sz w:val="15"/>
                <w:szCs w:val="15"/>
                <w:color w:val="auto"/>
              </w:rPr>
              <w:t>(23,185)</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right"/>
              <w:ind w:right="680"/>
              <w:spacing w:after="0" w:line="157" w:lineRule="exact"/>
              <w:rPr>
                <w:sz w:val="20"/>
                <w:szCs w:val="20"/>
                <w:color w:val="auto"/>
              </w:rPr>
            </w:pPr>
            <w:r>
              <w:rPr>
                <w:rFonts w:ascii="Arial" w:cs="Arial" w:eastAsia="Arial" w:hAnsi="Arial"/>
                <w:sz w:val="15"/>
                <w:szCs w:val="15"/>
                <w:color w:val="auto"/>
              </w:rPr>
              <w:t>(3,272)</w:t>
            </w:r>
          </w:p>
        </w:tc>
        <w:tc>
          <w:tcPr>
            <w:tcW w:w="200" w:type="dxa"/>
            <w:vAlign w:val="bottom"/>
          </w:tcPr>
          <w:p>
            <w:pPr>
              <w:spacing w:after="0"/>
              <w:rPr>
                <w:sz w:val="13"/>
                <w:szCs w:val="13"/>
                <w:color w:val="auto"/>
              </w:rPr>
            </w:pPr>
          </w:p>
        </w:tc>
        <w:tc>
          <w:tcPr>
            <w:tcW w:w="920" w:type="dxa"/>
            <w:vAlign w:val="bottom"/>
            <w:gridSpan w:val="2"/>
          </w:tcPr>
          <w:p>
            <w:pPr>
              <w:jc w:val="right"/>
              <w:ind w:right="40"/>
              <w:spacing w:after="0" w:line="157" w:lineRule="exact"/>
              <w:rPr>
                <w:sz w:val="20"/>
                <w:szCs w:val="20"/>
                <w:color w:val="auto"/>
              </w:rPr>
            </w:pPr>
            <w:r>
              <w:rPr>
                <w:rFonts w:ascii="Arial" w:cs="Arial" w:eastAsia="Arial" w:hAnsi="Arial"/>
                <w:sz w:val="15"/>
                <w:szCs w:val="15"/>
                <w:color w:val="auto"/>
              </w:rPr>
              <w:t>(18,000)</w:t>
            </w:r>
          </w:p>
        </w:tc>
      </w:tr>
      <w:tr>
        <w:trPr>
          <w:trHeight w:val="26"/>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4520" w:type="dxa"/>
            <w:vAlign w:val="bottom"/>
            <w:shd w:val="clear" w:color="auto" w:fill="CCEEFF"/>
          </w:tcPr>
          <w:p>
            <w:pPr>
              <w:ind w:left="500"/>
              <w:spacing w:after="0" w:line="157" w:lineRule="exact"/>
              <w:rPr>
                <w:sz w:val="20"/>
                <w:szCs w:val="20"/>
                <w:color w:val="auto"/>
              </w:rPr>
            </w:pPr>
            <w:r>
              <w:rPr>
                <w:rFonts w:ascii="Arial" w:cs="Arial" w:eastAsia="Arial" w:hAnsi="Arial"/>
                <w:sz w:val="15"/>
                <w:szCs w:val="15"/>
                <w:color w:val="auto"/>
              </w:rPr>
              <w:t>Total other expense, net</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(28,392)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340"/>
              <w:spacing w:after="0" w:line="157" w:lineRule="exact"/>
              <w:rPr>
                <w:sz w:val="20"/>
                <w:szCs w:val="20"/>
                <w:color w:val="auto"/>
              </w:rPr>
            </w:pPr>
            <w:r>
              <w:rPr>
                <w:rFonts w:ascii="Arial" w:cs="Arial" w:eastAsia="Arial" w:hAnsi="Arial"/>
                <w:sz w:val="15"/>
                <w:szCs w:val="15"/>
                <w:color w:val="auto"/>
              </w:rPr>
              <w:t>(23,486)</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680"/>
              <w:spacing w:after="0" w:line="157" w:lineRule="exact"/>
              <w:rPr>
                <w:sz w:val="20"/>
                <w:szCs w:val="20"/>
                <w:color w:val="auto"/>
              </w:rPr>
            </w:pPr>
            <w:r>
              <w:rPr>
                <w:rFonts w:ascii="Arial" w:cs="Arial" w:eastAsia="Arial" w:hAnsi="Arial"/>
                <w:sz w:val="15"/>
                <w:szCs w:val="15"/>
                <w:color w:val="auto"/>
              </w:rPr>
              <w:t>(2,059)</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5"/>
                <w:szCs w:val="15"/>
                <w:color w:val="auto"/>
              </w:rPr>
              <w:t>(19,718)</w:t>
            </w:r>
          </w:p>
        </w:tc>
      </w:tr>
      <w:tr>
        <w:trPr>
          <w:trHeight w:val="20"/>
        </w:trPr>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4520" w:type="dxa"/>
            <w:vAlign w:val="bottom"/>
          </w:tcPr>
          <w:p>
            <w:pPr>
              <w:spacing w:after="0" w:line="164" w:lineRule="exact"/>
              <w:rPr>
                <w:sz w:val="20"/>
                <w:szCs w:val="20"/>
                <w:color w:val="auto"/>
              </w:rPr>
            </w:pPr>
            <w:r>
              <w:rPr>
                <w:rFonts w:ascii="Arial" w:cs="Arial" w:eastAsia="Arial" w:hAnsi="Arial"/>
                <w:sz w:val="15"/>
                <w:szCs w:val="15"/>
                <w:color w:val="auto"/>
              </w:rPr>
              <w:t>(Loss) income before income taxes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60"/>
              <w:spacing w:after="0" w:line="164" w:lineRule="exact"/>
              <w:rPr>
                <w:sz w:val="20"/>
                <w:szCs w:val="20"/>
                <w:color w:val="auto"/>
              </w:rPr>
            </w:pPr>
            <w:r>
              <w:rPr>
                <w:rFonts w:ascii="Arial" w:cs="Arial" w:eastAsia="Arial" w:hAnsi="Arial"/>
                <w:sz w:val="15"/>
                <w:szCs w:val="15"/>
                <w:color w:val="auto"/>
              </w:rPr>
              <w:t>(7,830)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340"/>
              <w:spacing w:after="0" w:line="164" w:lineRule="exact"/>
              <w:rPr>
                <w:sz w:val="20"/>
                <w:szCs w:val="20"/>
                <w:color w:val="auto"/>
              </w:rPr>
            </w:pPr>
            <w:r>
              <w:rPr>
                <w:rFonts w:ascii="Arial" w:cs="Arial" w:eastAsia="Arial" w:hAnsi="Arial"/>
                <w:sz w:val="15"/>
                <w:szCs w:val="15"/>
                <w:color w:val="auto"/>
              </w:rPr>
              <w:t>(21,039)</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680"/>
              <w:spacing w:after="0" w:line="164" w:lineRule="exact"/>
              <w:rPr>
                <w:sz w:val="20"/>
                <w:szCs w:val="20"/>
                <w:color w:val="auto"/>
              </w:rPr>
            </w:pPr>
            <w:r>
              <w:rPr>
                <w:rFonts w:ascii="Arial" w:cs="Arial" w:eastAsia="Arial" w:hAnsi="Arial"/>
                <w:sz w:val="15"/>
                <w:szCs w:val="15"/>
                <w:color w:val="auto"/>
              </w:rPr>
              <w:t>(222)</w:t>
            </w:r>
          </w:p>
        </w:tc>
        <w:tc>
          <w:tcPr>
            <w:tcW w:w="200" w:type="dxa"/>
            <w:vAlign w:val="bottom"/>
          </w:tcPr>
          <w:p>
            <w:pPr>
              <w:spacing w:after="0"/>
              <w:rPr>
                <w:sz w:val="14"/>
                <w:szCs w:val="14"/>
                <w:color w:val="auto"/>
              </w:rPr>
            </w:pPr>
          </w:p>
        </w:tc>
        <w:tc>
          <w:tcPr>
            <w:tcW w:w="920" w:type="dxa"/>
            <w:vAlign w:val="bottom"/>
            <w:gridSpan w:val="2"/>
          </w:tcPr>
          <w:p>
            <w:pPr>
              <w:jc w:val="right"/>
              <w:ind w:right="80"/>
              <w:spacing w:after="0" w:line="164" w:lineRule="exact"/>
              <w:rPr>
                <w:sz w:val="20"/>
                <w:szCs w:val="20"/>
                <w:color w:val="auto"/>
              </w:rPr>
            </w:pPr>
            <w:r>
              <w:rPr>
                <w:rFonts w:ascii="Arial" w:cs="Arial" w:eastAsia="Arial" w:hAnsi="Arial"/>
                <w:sz w:val="15"/>
                <w:szCs w:val="15"/>
                <w:color w:val="auto"/>
              </w:rPr>
              <w:t>39,145</w:t>
            </w:r>
          </w:p>
        </w:tc>
      </w:tr>
      <w:tr>
        <w:trPr>
          <w:trHeight w:val="157"/>
        </w:trPr>
        <w:tc>
          <w:tcPr>
            <w:tcW w:w="45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Income tax provision (benefit)</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843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340"/>
              <w:spacing w:after="0" w:line="157" w:lineRule="exact"/>
              <w:rPr>
                <w:sz w:val="20"/>
                <w:szCs w:val="20"/>
                <w:color w:val="auto"/>
              </w:rPr>
            </w:pPr>
            <w:r>
              <w:rPr>
                <w:rFonts w:ascii="Arial" w:cs="Arial" w:eastAsia="Arial" w:hAnsi="Arial"/>
                <w:sz w:val="15"/>
                <w:szCs w:val="15"/>
                <w:color w:val="auto"/>
              </w:rPr>
              <w:t>(6,703)</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1,014</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14,301</w:t>
            </w:r>
          </w:p>
        </w:tc>
      </w:tr>
      <w:tr>
        <w:trPr>
          <w:trHeight w:val="20"/>
        </w:trPr>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4520" w:type="dxa"/>
            <w:vAlign w:val="bottom"/>
          </w:tcPr>
          <w:p>
            <w:pPr>
              <w:spacing w:after="0" w:line="164" w:lineRule="exact"/>
              <w:rPr>
                <w:sz w:val="20"/>
                <w:szCs w:val="20"/>
                <w:color w:val="auto"/>
              </w:rPr>
            </w:pPr>
            <w:r>
              <w:rPr>
                <w:rFonts w:ascii="Arial" w:cs="Arial" w:eastAsia="Arial" w:hAnsi="Arial"/>
                <w:sz w:val="15"/>
                <w:szCs w:val="15"/>
                <w:color w:val="auto"/>
              </w:rPr>
              <w:t>Net (loss) income</w:t>
            </w:r>
          </w:p>
        </w:tc>
        <w:tc>
          <w:tcPr>
            <w:tcW w:w="500" w:type="dxa"/>
            <w:vAlign w:val="bottom"/>
            <w:gridSpan w:val="2"/>
          </w:tcPr>
          <w:p>
            <w:pPr>
              <w:ind w:left="320"/>
              <w:spacing w:after="0" w:line="164"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line="164" w:lineRule="exact"/>
              <w:rPr>
                <w:sz w:val="20"/>
                <w:szCs w:val="20"/>
                <w:color w:val="auto"/>
              </w:rPr>
            </w:pPr>
            <w:r>
              <w:rPr>
                <w:rFonts w:ascii="Arial" w:cs="Arial" w:eastAsia="Arial" w:hAnsi="Arial"/>
                <w:sz w:val="15"/>
                <w:szCs w:val="15"/>
                <w:color w:val="auto"/>
              </w:rPr>
              <w:t>(8,673)</w:t>
            </w:r>
          </w:p>
        </w:tc>
        <w:tc>
          <w:tcPr>
            <w:tcW w:w="300" w:type="dxa"/>
            <w:vAlign w:val="bottom"/>
            <w:gridSpan w:val="2"/>
          </w:tcPr>
          <w:p>
            <w:pPr>
              <w:ind w:left="180"/>
              <w:spacing w:after="0" w:line="164"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gridSpan w:val="2"/>
          </w:tcPr>
          <w:p>
            <w:pPr>
              <w:jc w:val="right"/>
              <w:ind w:right="340"/>
              <w:spacing w:after="0" w:line="164" w:lineRule="exact"/>
              <w:rPr>
                <w:sz w:val="20"/>
                <w:szCs w:val="20"/>
                <w:color w:val="auto"/>
              </w:rPr>
            </w:pPr>
            <w:r>
              <w:rPr>
                <w:rFonts w:ascii="Arial" w:cs="Arial" w:eastAsia="Arial" w:hAnsi="Arial"/>
                <w:sz w:val="15"/>
                <w:szCs w:val="15"/>
                <w:color w:val="auto"/>
              </w:rPr>
              <w:t>(14,336)</w:t>
            </w:r>
          </w:p>
        </w:tc>
        <w:tc>
          <w:tcPr>
            <w:tcW w:w="800" w:type="dxa"/>
            <w:vAlign w:val="bottom"/>
            <w:gridSpan w:val="2"/>
          </w:tcPr>
          <w:p>
            <w:pPr>
              <w:ind w:left="700"/>
              <w:spacing w:after="0" w:line="164" w:lineRule="exact"/>
              <w:rPr>
                <w:sz w:val="20"/>
                <w:szCs w:val="20"/>
                <w:color w:val="auto"/>
              </w:rPr>
            </w:pPr>
            <w:r>
              <w:rPr>
                <w:rFonts w:ascii="Arial" w:cs="Arial" w:eastAsia="Arial" w:hAnsi="Arial"/>
                <w:sz w:val="15"/>
                <w:szCs w:val="15"/>
                <w:color w:val="auto"/>
                <w:w w:val="95"/>
              </w:rPr>
              <w:t>$</w:t>
            </w:r>
          </w:p>
        </w:tc>
        <w:tc>
          <w:tcPr>
            <w:tcW w:w="1820" w:type="dxa"/>
            <w:vAlign w:val="bottom"/>
            <w:gridSpan w:val="2"/>
          </w:tcPr>
          <w:p>
            <w:pPr>
              <w:jc w:val="right"/>
              <w:ind w:right="680"/>
              <w:spacing w:after="0" w:line="164" w:lineRule="exact"/>
              <w:rPr>
                <w:sz w:val="20"/>
                <w:szCs w:val="20"/>
                <w:color w:val="auto"/>
              </w:rPr>
            </w:pPr>
            <w:r>
              <w:rPr>
                <w:rFonts w:ascii="Arial" w:cs="Arial" w:eastAsia="Arial" w:hAnsi="Arial"/>
                <w:sz w:val="15"/>
                <w:szCs w:val="15"/>
                <w:color w:val="auto"/>
              </w:rPr>
              <w:t>(1,236)</w:t>
            </w:r>
          </w:p>
        </w:tc>
        <w:tc>
          <w:tcPr>
            <w:tcW w:w="20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line="164" w:lineRule="exact"/>
              <w:rPr>
                <w:sz w:val="20"/>
                <w:szCs w:val="20"/>
                <w:color w:val="auto"/>
              </w:rPr>
            </w:pPr>
            <w:r>
              <w:rPr>
                <w:rFonts w:ascii="Arial" w:cs="Arial" w:eastAsia="Arial" w:hAnsi="Arial"/>
                <w:sz w:val="15"/>
                <w:szCs w:val="15"/>
                <w:color w:val="auto"/>
              </w:rPr>
              <w:t>24,844</w:t>
            </w:r>
          </w:p>
        </w:tc>
      </w:tr>
      <w:tr>
        <w:trPr>
          <w:trHeight w:val="20"/>
        </w:trPr>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6"/>
        </w:trPr>
        <w:tc>
          <w:tcPr>
            <w:tcW w:w="452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Net (loss) income per share attributable to common</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4520" w:type="dxa"/>
            <w:vAlign w:val="bottom"/>
            <w:shd w:val="clear" w:color="auto" w:fill="CCEEFF"/>
          </w:tcPr>
          <w:p>
            <w:pPr>
              <w:ind w:left="240"/>
              <w:spacing w:after="0" w:line="161" w:lineRule="exact"/>
              <w:rPr>
                <w:sz w:val="20"/>
                <w:szCs w:val="20"/>
                <w:color w:val="auto"/>
              </w:rPr>
            </w:pPr>
            <w:r>
              <w:rPr>
                <w:rFonts w:ascii="Arial" w:cs="Arial" w:eastAsia="Arial" w:hAnsi="Arial"/>
                <w:sz w:val="15"/>
                <w:szCs w:val="15"/>
                <w:color w:val="auto"/>
              </w:rPr>
              <w:t>shareholders:</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4520" w:type="dxa"/>
            <w:vAlign w:val="bottom"/>
          </w:tcPr>
          <w:p>
            <w:pPr>
              <w:ind w:left="240"/>
              <w:spacing w:after="0" w:line="157" w:lineRule="exact"/>
              <w:rPr>
                <w:sz w:val="20"/>
                <w:szCs w:val="20"/>
                <w:color w:val="auto"/>
              </w:rPr>
            </w:pPr>
            <w:r>
              <w:rPr>
                <w:rFonts w:ascii="Arial" w:cs="Arial" w:eastAsia="Arial" w:hAnsi="Arial"/>
                <w:sz w:val="15"/>
                <w:szCs w:val="15"/>
                <w:color w:val="auto"/>
              </w:rPr>
              <w:t>Basic</w:t>
            </w:r>
          </w:p>
        </w:tc>
        <w:tc>
          <w:tcPr>
            <w:tcW w:w="500" w:type="dxa"/>
            <w:vAlign w:val="bottom"/>
            <w:gridSpan w:val="2"/>
          </w:tcPr>
          <w:p>
            <w:pPr>
              <w:ind w:left="320"/>
              <w:spacing w:after="0" w:line="157"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5"/>
                <w:szCs w:val="15"/>
                <w:color w:val="auto"/>
              </w:rPr>
              <w:t>(0.28)</w:t>
            </w:r>
          </w:p>
        </w:tc>
        <w:tc>
          <w:tcPr>
            <w:tcW w:w="300" w:type="dxa"/>
            <w:vAlign w:val="bottom"/>
            <w:gridSpan w:val="2"/>
          </w:tcPr>
          <w:p>
            <w:pPr>
              <w:ind w:left="180"/>
              <w:spacing w:after="0" w:line="157"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gridSpan w:val="2"/>
          </w:tcPr>
          <w:p>
            <w:pPr>
              <w:jc w:val="right"/>
              <w:ind w:right="340"/>
              <w:spacing w:after="0" w:line="157" w:lineRule="exact"/>
              <w:rPr>
                <w:sz w:val="20"/>
                <w:szCs w:val="20"/>
                <w:color w:val="auto"/>
              </w:rPr>
            </w:pPr>
            <w:r>
              <w:rPr>
                <w:rFonts w:ascii="Arial" w:cs="Arial" w:eastAsia="Arial" w:hAnsi="Arial"/>
                <w:sz w:val="15"/>
                <w:szCs w:val="15"/>
                <w:color w:val="auto"/>
              </w:rPr>
              <w:t>(0.46)</w:t>
            </w:r>
          </w:p>
        </w:tc>
        <w:tc>
          <w:tcPr>
            <w:tcW w:w="800" w:type="dxa"/>
            <w:vAlign w:val="bottom"/>
            <w:gridSpan w:val="2"/>
          </w:tcPr>
          <w:p>
            <w:pPr>
              <w:ind w:left="700"/>
              <w:spacing w:after="0" w:line="157" w:lineRule="exact"/>
              <w:rPr>
                <w:sz w:val="20"/>
                <w:szCs w:val="20"/>
                <w:color w:val="auto"/>
              </w:rPr>
            </w:pPr>
            <w:r>
              <w:rPr>
                <w:rFonts w:ascii="Arial" w:cs="Arial" w:eastAsia="Arial" w:hAnsi="Arial"/>
                <w:sz w:val="15"/>
                <w:szCs w:val="15"/>
                <w:color w:val="auto"/>
                <w:w w:val="95"/>
              </w:rPr>
              <w:t>$</w:t>
            </w:r>
          </w:p>
        </w:tc>
        <w:tc>
          <w:tcPr>
            <w:tcW w:w="1820" w:type="dxa"/>
            <w:vAlign w:val="bottom"/>
            <w:gridSpan w:val="2"/>
          </w:tcPr>
          <w:p>
            <w:pPr>
              <w:jc w:val="right"/>
              <w:ind w:right="680"/>
              <w:spacing w:after="0" w:line="157" w:lineRule="exact"/>
              <w:rPr>
                <w:sz w:val="20"/>
                <w:szCs w:val="20"/>
                <w:color w:val="auto"/>
              </w:rPr>
            </w:pPr>
            <w:r>
              <w:rPr>
                <w:rFonts w:ascii="Arial" w:cs="Arial" w:eastAsia="Arial" w:hAnsi="Arial"/>
                <w:sz w:val="15"/>
                <w:szCs w:val="15"/>
                <w:color w:val="auto"/>
              </w:rPr>
              <w:t>(0.05)</w:t>
            </w:r>
          </w:p>
        </w:tc>
        <w:tc>
          <w:tcPr>
            <w:tcW w:w="200" w:type="dxa"/>
            <w:vAlign w:val="bottom"/>
          </w:tcPr>
          <w:p>
            <w:pPr>
              <w:spacing w:after="0" w:line="157"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5"/>
                <w:szCs w:val="15"/>
                <w:color w:val="auto"/>
              </w:rPr>
              <w:t>0.99</w:t>
            </w: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Diluted</w:t>
            </w:r>
          </w:p>
        </w:tc>
        <w:tc>
          <w:tcPr>
            <w:tcW w:w="50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(0.28)</w:t>
            </w:r>
          </w:p>
        </w:tc>
        <w:tc>
          <w:tcPr>
            <w:tcW w:w="30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gridSpan w:val="2"/>
            <w:shd w:val="clear" w:color="auto" w:fill="CCEEFF"/>
          </w:tcPr>
          <w:p>
            <w:pPr>
              <w:jc w:val="right"/>
              <w:ind w:right="340"/>
              <w:spacing w:after="0" w:line="157" w:lineRule="exact"/>
              <w:rPr>
                <w:sz w:val="20"/>
                <w:szCs w:val="20"/>
                <w:color w:val="auto"/>
              </w:rPr>
            </w:pPr>
            <w:r>
              <w:rPr>
                <w:rFonts w:ascii="Arial" w:cs="Arial" w:eastAsia="Arial" w:hAnsi="Arial"/>
                <w:sz w:val="15"/>
                <w:szCs w:val="15"/>
                <w:color w:val="auto"/>
              </w:rPr>
              <w:t>(0.46)</w:t>
            </w:r>
          </w:p>
        </w:tc>
        <w:tc>
          <w:tcPr>
            <w:tcW w:w="800" w:type="dxa"/>
            <w:vAlign w:val="bottom"/>
            <w:gridSpan w:val="2"/>
            <w:shd w:val="clear" w:color="auto" w:fill="CCEEFF"/>
          </w:tcPr>
          <w:p>
            <w:pPr>
              <w:ind w:left="700"/>
              <w:spacing w:after="0" w:line="157" w:lineRule="exact"/>
              <w:rPr>
                <w:sz w:val="20"/>
                <w:szCs w:val="20"/>
                <w:color w:val="auto"/>
              </w:rPr>
            </w:pPr>
            <w:r>
              <w:rPr>
                <w:rFonts w:ascii="Arial" w:cs="Arial" w:eastAsia="Arial" w:hAnsi="Arial"/>
                <w:sz w:val="15"/>
                <w:szCs w:val="15"/>
                <w:color w:val="auto"/>
                <w:w w:val="95"/>
              </w:rPr>
              <w:t>$</w:t>
            </w:r>
          </w:p>
        </w:tc>
        <w:tc>
          <w:tcPr>
            <w:tcW w:w="1820" w:type="dxa"/>
            <w:vAlign w:val="bottom"/>
            <w:gridSpan w:val="2"/>
            <w:shd w:val="clear" w:color="auto" w:fill="CCEEFF"/>
          </w:tcPr>
          <w:p>
            <w:pPr>
              <w:jc w:val="right"/>
              <w:ind w:right="680"/>
              <w:spacing w:after="0" w:line="157" w:lineRule="exact"/>
              <w:rPr>
                <w:sz w:val="20"/>
                <w:szCs w:val="20"/>
                <w:color w:val="auto"/>
              </w:rPr>
            </w:pPr>
            <w:r>
              <w:rPr>
                <w:rFonts w:ascii="Arial" w:cs="Arial" w:eastAsia="Arial" w:hAnsi="Arial"/>
                <w:sz w:val="15"/>
                <w:szCs w:val="15"/>
                <w:color w:val="auto"/>
              </w:rPr>
              <w:t>(0.05)</w:t>
            </w:r>
          </w:p>
        </w:tc>
        <w:tc>
          <w:tcPr>
            <w:tcW w:w="20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0.95</w:t>
            </w:r>
          </w:p>
        </w:tc>
      </w:tr>
      <w:tr>
        <w:trPr>
          <w:trHeight w:val="157"/>
        </w:trPr>
        <w:tc>
          <w:tcPr>
            <w:tcW w:w="4520" w:type="dxa"/>
            <w:vAlign w:val="bottom"/>
          </w:tcPr>
          <w:p>
            <w:pPr>
              <w:spacing w:after="0" w:line="157" w:lineRule="exact"/>
              <w:rPr>
                <w:sz w:val="20"/>
                <w:szCs w:val="20"/>
                <w:color w:val="auto"/>
              </w:rPr>
            </w:pPr>
            <w:r>
              <w:rPr>
                <w:rFonts w:ascii="Arial" w:cs="Arial" w:eastAsia="Arial" w:hAnsi="Arial"/>
                <w:sz w:val="15"/>
                <w:szCs w:val="15"/>
                <w:color w:val="auto"/>
              </w:rPr>
              <w:t>Weighted average common shares outstanding:</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4520" w:type="dxa"/>
            <w:vAlign w:val="bottom"/>
            <w:shd w:val="clear" w:color="auto" w:fill="CCEEFF"/>
          </w:tcPr>
          <w:p>
            <w:pPr>
              <w:ind w:left="240"/>
              <w:spacing w:after="0" w:line="157" w:lineRule="exact"/>
              <w:rPr>
                <w:sz w:val="20"/>
                <w:szCs w:val="20"/>
                <w:color w:val="auto"/>
              </w:rPr>
            </w:pPr>
            <w:r>
              <w:rPr>
                <w:rFonts w:ascii="Arial" w:cs="Arial" w:eastAsia="Arial" w:hAnsi="Arial"/>
                <w:sz w:val="15"/>
                <w:szCs w:val="15"/>
                <w:color w:val="auto"/>
              </w:rPr>
              <w:t>Basic</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31,346,019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shd w:val="clear" w:color="auto" w:fill="CCEEFF"/>
          </w:tcPr>
          <w:p>
            <w:pPr>
              <w:jc w:val="right"/>
              <w:ind w:right="400"/>
              <w:spacing w:after="0" w:line="157" w:lineRule="exact"/>
              <w:rPr>
                <w:sz w:val="20"/>
                <w:szCs w:val="20"/>
                <w:color w:val="auto"/>
              </w:rPr>
            </w:pPr>
            <w:r>
              <w:rPr>
                <w:rFonts w:ascii="Arial" w:cs="Arial" w:eastAsia="Arial" w:hAnsi="Arial"/>
                <w:sz w:val="15"/>
                <w:szCs w:val="15"/>
                <w:color w:val="auto"/>
              </w:rPr>
              <w:t>30,869,244</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740"/>
              <w:spacing w:after="0" w:line="157" w:lineRule="exact"/>
              <w:rPr>
                <w:sz w:val="20"/>
                <w:szCs w:val="20"/>
                <w:color w:val="auto"/>
              </w:rPr>
            </w:pPr>
            <w:r>
              <w:rPr>
                <w:rFonts w:ascii="Arial" w:cs="Arial" w:eastAsia="Arial" w:hAnsi="Arial"/>
                <w:sz w:val="15"/>
                <w:szCs w:val="15"/>
                <w:color w:val="auto"/>
              </w:rPr>
              <w:t>25,047,188</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25,204,079</w:t>
            </w:r>
          </w:p>
        </w:tc>
      </w:tr>
      <w:tr>
        <w:trPr>
          <w:trHeight w:val="170"/>
        </w:trPr>
        <w:tc>
          <w:tcPr>
            <w:tcW w:w="4520" w:type="dxa"/>
            <w:vAlign w:val="bottom"/>
          </w:tcPr>
          <w:p>
            <w:pPr>
              <w:ind w:left="240"/>
              <w:spacing w:after="0" w:line="170" w:lineRule="exact"/>
              <w:rPr>
                <w:sz w:val="20"/>
                <w:szCs w:val="20"/>
                <w:color w:val="auto"/>
              </w:rPr>
            </w:pPr>
            <w:r>
              <w:rPr>
                <w:rFonts w:ascii="Arial" w:cs="Arial" w:eastAsia="Arial" w:hAnsi="Arial"/>
                <w:sz w:val="15"/>
                <w:szCs w:val="15"/>
                <w:color w:val="auto"/>
              </w:rPr>
              <w:t>Diluted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31,346,019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400"/>
              <w:spacing w:after="0" w:line="170" w:lineRule="exact"/>
              <w:rPr>
                <w:sz w:val="20"/>
                <w:szCs w:val="20"/>
                <w:color w:val="auto"/>
              </w:rPr>
            </w:pPr>
            <w:r>
              <w:rPr>
                <w:rFonts w:ascii="Arial" w:cs="Arial" w:eastAsia="Arial" w:hAnsi="Arial"/>
                <w:sz w:val="15"/>
                <w:szCs w:val="15"/>
                <w:color w:val="auto"/>
              </w:rPr>
              <w:t>30,869,244</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740"/>
              <w:spacing w:after="0" w:line="170" w:lineRule="exact"/>
              <w:rPr>
                <w:sz w:val="20"/>
                <w:szCs w:val="20"/>
                <w:color w:val="auto"/>
              </w:rPr>
            </w:pPr>
            <w:r>
              <w:rPr>
                <w:rFonts w:ascii="Arial" w:cs="Arial" w:eastAsia="Arial" w:hAnsi="Arial"/>
                <w:sz w:val="15"/>
                <w:szCs w:val="15"/>
                <w:color w:val="auto"/>
              </w:rPr>
              <w:t>25,047,188</w:t>
            </w:r>
          </w:p>
        </w:tc>
        <w:tc>
          <w:tcPr>
            <w:tcW w:w="200" w:type="dxa"/>
            <w:vAlign w:val="bottom"/>
          </w:tcPr>
          <w:p>
            <w:pPr>
              <w:spacing w:after="0"/>
              <w:rPr>
                <w:sz w:val="14"/>
                <w:szCs w:val="14"/>
                <w:color w:val="auto"/>
              </w:rPr>
            </w:pPr>
          </w:p>
        </w:tc>
        <w:tc>
          <w:tcPr>
            <w:tcW w:w="920" w:type="dxa"/>
            <w:vAlign w:val="bottom"/>
            <w:gridSpan w:val="2"/>
          </w:tcPr>
          <w:p>
            <w:pPr>
              <w:jc w:val="right"/>
              <w:ind w:right="80"/>
              <w:spacing w:after="0" w:line="170" w:lineRule="exact"/>
              <w:rPr>
                <w:sz w:val="20"/>
                <w:szCs w:val="20"/>
                <w:color w:val="auto"/>
              </w:rPr>
            </w:pPr>
            <w:r>
              <w:rPr>
                <w:rFonts w:ascii="Arial" w:cs="Arial" w:eastAsia="Arial" w:hAnsi="Arial"/>
                <w:sz w:val="15"/>
                <w:szCs w:val="15"/>
                <w:color w:val="auto"/>
              </w:rPr>
              <w:t>26,150,149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49" w:right="2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ind w:left="840"/>
              <w:spacing w:after="0"/>
              <w:rPr>
                <w:sz w:val="20"/>
                <w:szCs w:val="20"/>
                <w:color w:val="auto"/>
              </w:rPr>
            </w:pPr>
            <w:r>
              <w:rPr>
                <w:rFonts w:ascii="Arial" w:cs="Arial" w:eastAsia="Arial" w:hAnsi="Arial"/>
                <w:sz w:val="14"/>
                <w:szCs w:val="14"/>
                <w:b w:val="1"/>
                <w:bCs w:val="1"/>
                <w:color w:val="auto"/>
              </w:rPr>
              <w:t>PREDECESSOR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PERIOD FROM</w:t>
            </w:r>
          </w:p>
        </w:tc>
        <w:tc>
          <w:tcPr>
            <w:tcW w:w="3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500"/>
              <w:spacing w:after="0" w:line="139" w:lineRule="exact"/>
              <w:rPr>
                <w:sz w:val="20"/>
                <w:szCs w:val="20"/>
                <w:color w:val="auto"/>
              </w:rPr>
            </w:pPr>
            <w:r>
              <w:rPr>
                <w:rFonts w:ascii="Arial" w:cs="Arial" w:eastAsia="Arial" w:hAnsi="Arial"/>
                <w:sz w:val="14"/>
                <w:szCs w:val="14"/>
                <w:b w:val="1"/>
                <w:bCs w:val="1"/>
                <w:color w:val="auto"/>
                <w:w w:val="99"/>
              </w:rPr>
              <w:t>PERIOD FROM</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right w:val="single" w:sz="8" w:color="auto"/>
            </w:tcBorders>
            <w:gridSpan w:val="3"/>
          </w:tcPr>
          <w:p>
            <w:pPr>
              <w:jc w:val="center"/>
              <w:ind w:right="380"/>
              <w:spacing w:after="0" w:line="157" w:lineRule="exact"/>
              <w:rPr>
                <w:sz w:val="20"/>
                <w:szCs w:val="20"/>
                <w:color w:val="auto"/>
              </w:rPr>
            </w:pPr>
            <w:r>
              <w:rPr>
                <w:rFonts w:ascii="Arial" w:cs="Arial" w:eastAsia="Arial" w:hAnsi="Arial"/>
                <w:sz w:val="14"/>
                <w:szCs w:val="14"/>
                <w:b w:val="1"/>
                <w:bCs w:val="1"/>
                <w:color w:val="auto"/>
                <w:w w:val="99"/>
              </w:rPr>
              <w:t>APRIL 1, 2014</w:t>
            </w:r>
          </w:p>
        </w:tc>
        <w:tc>
          <w:tcPr>
            <w:tcW w:w="680" w:type="dxa"/>
            <w:vAlign w:val="bottom"/>
          </w:tcPr>
          <w:p>
            <w:pPr>
              <w:spacing w:after="0"/>
              <w:rPr>
                <w:sz w:val="13"/>
                <w:szCs w:val="13"/>
                <w:color w:val="auto"/>
              </w:rPr>
            </w:pPr>
          </w:p>
        </w:tc>
        <w:tc>
          <w:tcPr>
            <w:tcW w:w="1580" w:type="dxa"/>
            <w:vAlign w:val="bottom"/>
            <w:gridSpan w:val="3"/>
          </w:tcPr>
          <w:p>
            <w:pPr>
              <w:jc w:val="center"/>
              <w:ind w:right="400"/>
              <w:spacing w:after="0" w:line="157" w:lineRule="exact"/>
              <w:rPr>
                <w:sz w:val="20"/>
                <w:szCs w:val="20"/>
                <w:color w:val="auto"/>
              </w:rPr>
            </w:pPr>
            <w:r>
              <w:rPr>
                <w:rFonts w:ascii="Arial" w:cs="Arial" w:eastAsia="Arial" w:hAnsi="Arial"/>
                <w:sz w:val="14"/>
                <w:szCs w:val="14"/>
                <w:b w:val="1"/>
                <w:bCs w:val="1"/>
                <w:color w:val="auto"/>
                <w:w w:val="99"/>
              </w:rPr>
              <w:t>JANUARY 1, 2014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right"/>
              <w:ind w:right="280"/>
              <w:spacing w:after="0" w:line="157"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w w:val="98"/>
              </w:rPr>
              <w:t>THROUGH</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8"/>
              </w:rPr>
              <w:t>THROUGH</w:t>
            </w:r>
          </w:p>
        </w:tc>
        <w:tc>
          <w:tcPr>
            <w:tcW w:w="320" w:type="dxa"/>
            <w:vAlign w:val="bottom"/>
          </w:tcPr>
          <w:p>
            <w:pPr>
              <w:spacing w:after="0"/>
              <w:rPr>
                <w:sz w:val="13"/>
                <w:szCs w:val="13"/>
                <w:color w:val="auto"/>
              </w:rPr>
            </w:pPr>
          </w:p>
        </w:tc>
        <w:tc>
          <w:tcPr>
            <w:tcW w:w="11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420" w:type="dxa"/>
            <w:vAlign w:val="bottom"/>
            <w:tcBorders>
              <w:right w:val="single" w:sz="8" w:color="auto"/>
            </w:tcBorders>
            <w:gridSpan w:val="3"/>
          </w:tcPr>
          <w:p>
            <w:pPr>
              <w:jc w:val="center"/>
              <w:ind w:right="380"/>
              <w:spacing w:after="0" w:line="157" w:lineRule="exact"/>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CCEEFF"/>
              <w:right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income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(8,673)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(14,336)</w:t>
            </w:r>
          </w:p>
        </w:tc>
        <w:tc>
          <w:tcPr>
            <w:tcW w:w="3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(1,236)</w:t>
            </w: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24,844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tcPr>
          <w:p>
            <w:pPr>
              <w:spacing w:after="0" w:line="184" w:lineRule="exact"/>
              <w:rPr>
                <w:sz w:val="20"/>
                <w:szCs w:val="20"/>
                <w:color w:val="auto"/>
              </w:rPr>
            </w:pPr>
            <w:r>
              <w:rPr>
                <w:rFonts w:ascii="Arial" w:cs="Arial" w:eastAsia="Arial" w:hAnsi="Arial"/>
                <w:sz w:val="17"/>
                <w:szCs w:val="17"/>
                <w:color w:val="auto"/>
              </w:rPr>
              <w:t>Other comprehensive loss: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currency translation adjustments, net of taxes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(999)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tcBorders>
              <w:right w:val="single" w:sz="8" w:color="auto"/>
            </w:tcBorders>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(1,560)</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(11)</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Comprehensive (loss) income</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220" w:type="dxa"/>
            <w:vAlign w:val="bottom"/>
            <w:gridSpan w:val="2"/>
          </w:tcPr>
          <w:p>
            <w:pPr>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(9,672)</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tcBorders>
              <w:right w:val="single" w:sz="8" w:color="auto"/>
            </w:tcBorders>
            <w:gridSpan w:val="2"/>
          </w:tcPr>
          <w:p>
            <w:pPr>
              <w:jc w:val="right"/>
              <w:ind w:right="340"/>
              <w:spacing w:after="0" w:line="189" w:lineRule="exact"/>
              <w:rPr>
                <w:sz w:val="20"/>
                <w:szCs w:val="20"/>
                <w:color w:val="auto"/>
              </w:rPr>
            </w:pPr>
            <w:r>
              <w:rPr>
                <w:rFonts w:ascii="Arial" w:cs="Arial" w:eastAsia="Arial" w:hAnsi="Arial"/>
                <w:sz w:val="17"/>
                <w:szCs w:val="17"/>
                <w:color w:val="auto"/>
              </w:rPr>
              <w:t>(15,896)</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(1,247)</w:t>
            </w:r>
          </w:p>
        </w:tc>
        <w:tc>
          <w:tcPr>
            <w:tcW w:w="56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24,812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49"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ACCUMULATED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22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680"/>
              <w:spacing w:after="0" w:line="157" w:lineRule="exact"/>
              <w:rPr>
                <w:sz w:val="20"/>
                <w:szCs w:val="20"/>
                <w:color w:val="auto"/>
              </w:rPr>
            </w:pPr>
            <w:r>
              <w:rPr>
                <w:rFonts w:ascii="Arial" w:cs="Arial" w:eastAsia="Arial" w:hAnsi="Arial"/>
                <w:sz w:val="14"/>
                <w:szCs w:val="14"/>
                <w:b w:val="1"/>
                <w:bCs w:val="1"/>
                <w:color w:val="auto"/>
                <w:w w:val="97"/>
              </w:rPr>
              <w:t>OTHER</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9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640"/>
              <w:spacing w:after="0" w:line="157"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3"/>
                <w:szCs w:val="13"/>
                <w:color w:val="auto"/>
              </w:rPr>
            </w:pPr>
          </w:p>
        </w:tc>
        <w:tc>
          <w:tcPr>
            <w:tcW w:w="122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7"/>
              </w:rPr>
              <w:t>RETAINED</w:t>
            </w:r>
          </w:p>
        </w:tc>
        <w:tc>
          <w:tcPr>
            <w:tcW w:w="200" w:type="dxa"/>
            <w:vAlign w:val="bottom"/>
          </w:tcPr>
          <w:p>
            <w:pPr>
              <w:spacing w:after="0"/>
              <w:rPr>
                <w:sz w:val="13"/>
                <w:szCs w:val="13"/>
                <w:color w:val="auto"/>
              </w:rPr>
            </w:pPr>
          </w:p>
        </w:tc>
        <w:tc>
          <w:tcPr>
            <w:tcW w:w="16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COMPREHENSIVE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INCOME (LOSS)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BALANCE—January 1, 2013—Predecessor</w:t>
            </w:r>
          </w:p>
        </w:tc>
        <w:tc>
          <w:tcPr>
            <w:tcW w:w="2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250,843</w:t>
            </w: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(28,721)</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(1,331)</w:t>
            </w:r>
          </w:p>
        </w:tc>
        <w:tc>
          <w:tcPr>
            <w:tcW w:w="4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7"/>
              </w:rPr>
              <w:t>$ 220,816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Net loss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24,844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24,844</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currency translation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(32)</w:t>
            </w:r>
          </w:p>
        </w:tc>
        <w:tc>
          <w:tcPr>
            <w:tcW w:w="8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 issued</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1,177</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Stock options exercised</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452</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1,958</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Excess tax benefit from stock-based compensation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BALANCE—December 31, 2013—Predecessor</w:t>
            </w: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254,446</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(3,877)</w:t>
            </w:r>
          </w:p>
        </w:tc>
        <w:tc>
          <w:tcPr>
            <w:tcW w:w="4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(1,363)</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7"/>
              </w:rPr>
              <w:t>$ 249,231</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(1,236)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Foreign currency translation</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(11)</w:t>
            </w:r>
          </w:p>
        </w:tc>
        <w:tc>
          <w:tcPr>
            <w:tcW w:w="8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Stock options exercised</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15,219</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15,221</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7,340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7,340</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Excess tax benefit from stock-based compensation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5,270</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5,270</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BALANCE—March 31, 2014—Predecessor</w:t>
            </w: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282,275</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(5,113)</w:t>
            </w:r>
          </w:p>
        </w:tc>
        <w:tc>
          <w:tcPr>
            <w:tcW w:w="4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(1,374)</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7"/>
              </w:rPr>
              <w:t>$ 275,815</w:t>
            </w:r>
          </w:p>
        </w:tc>
        <w:tc>
          <w:tcPr>
            <w:tcW w:w="0" w:type="dxa"/>
            <w:vAlign w:val="bottom"/>
          </w:tcPr>
          <w:p>
            <w:pPr>
              <w:spacing w:after="0"/>
              <w:rPr>
                <w:sz w:val="1"/>
                <w:szCs w:val="1"/>
                <w:color w:val="auto"/>
              </w:rPr>
            </w:pPr>
          </w:p>
        </w:tc>
      </w:tr>
      <w:tr>
        <w:trPr>
          <w:trHeight w:val="177"/>
        </w:trPr>
        <w:tc>
          <w:tcPr>
            <w:tcW w:w="490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Close Predecessor shareholders’ equity at the acquisition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date</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(282,275)</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5,113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1,374</w:t>
            </w: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(275,815)</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 issued</w:t>
            </w:r>
          </w:p>
        </w:tc>
        <w:tc>
          <w:tcPr>
            <w:tcW w:w="240" w:type="dxa"/>
            <w:vAlign w:val="bottom"/>
          </w:tcPr>
          <w:p>
            <w:pPr>
              <w:spacing w:after="0"/>
              <w:rPr>
                <w:sz w:val="15"/>
                <w:szCs w:val="15"/>
                <w:color w:val="auto"/>
              </w:rPr>
            </w:pPr>
          </w:p>
        </w:tc>
        <w:tc>
          <w:tcPr>
            <w:tcW w:w="420" w:type="dxa"/>
            <w:vAlign w:val="bottom"/>
          </w:tcPr>
          <w:p>
            <w:pPr>
              <w:jc w:val="right"/>
              <w:spacing w:after="0" w:line="184" w:lineRule="exact"/>
              <w:rPr>
                <w:sz w:val="20"/>
                <w:szCs w:val="20"/>
                <w:color w:val="auto"/>
              </w:rPr>
            </w:pPr>
            <w:r>
              <w:rPr>
                <w:rFonts w:ascii="Arial" w:cs="Arial" w:eastAsia="Arial" w:hAnsi="Arial"/>
                <w:sz w:val="17"/>
                <w:szCs w:val="17"/>
                <w:color w:val="auto"/>
              </w:rPr>
              <w:t>307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413,693</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414,000</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BALANCE—April 1, 2014—Successor</w:t>
            </w:r>
          </w:p>
        </w:tc>
        <w:tc>
          <w:tcPr>
            <w:tcW w:w="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307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413,693</w:t>
            </w:r>
          </w:p>
        </w:tc>
        <w:tc>
          <w:tcPr>
            <w:tcW w:w="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00"/>
              <w:spacing w:after="0" w:line="184" w:lineRule="exact"/>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line="18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7"/>
              </w:rPr>
              <w:t>$ 414,000</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Net loss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(14,336)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currency translation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(1,560)</w:t>
            </w:r>
          </w:p>
        </w:tc>
        <w:tc>
          <w:tcPr>
            <w:tcW w:w="8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5"/>
                <w:szCs w:val="15"/>
                <w:color w:val="auto"/>
              </w:rPr>
            </w:pPr>
          </w:p>
        </w:tc>
        <w:tc>
          <w:tcPr>
            <w:tcW w:w="66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3,051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3,057</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Excess tax benefit from stock-based compensation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809</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BALANCE—December 31, 2014—Successor</w:t>
            </w: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313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417,553</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(14,336)</w:t>
            </w:r>
          </w:p>
        </w:tc>
        <w:tc>
          <w:tcPr>
            <w:tcW w:w="4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(1,560)</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7"/>
              </w:rPr>
              <w:t>$ 401,970</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(8,673)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(8,673)</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 issued</w:t>
            </w:r>
          </w:p>
        </w:tc>
        <w:tc>
          <w:tcPr>
            <w:tcW w:w="240" w:type="dxa"/>
            <w:vAlign w:val="bottom"/>
          </w:tcPr>
          <w:p>
            <w:pPr>
              <w:spacing w:after="0"/>
              <w:rPr>
                <w:sz w:val="15"/>
                <w:szCs w:val="15"/>
                <w:color w:val="auto"/>
              </w:rPr>
            </w:pPr>
          </w:p>
        </w:tc>
        <w:tc>
          <w:tcPr>
            <w:tcW w:w="66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607</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currency translation</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(999)</w:t>
            </w:r>
          </w:p>
        </w:tc>
        <w:tc>
          <w:tcPr>
            <w:tcW w:w="8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5"/>
                <w:szCs w:val="15"/>
                <w:color w:val="auto"/>
              </w:rPr>
            </w:pPr>
          </w:p>
        </w:tc>
        <w:tc>
          <w:tcPr>
            <w:tcW w:w="66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21,115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21,127</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Stock options exercised</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Tax benefit deficiency from stock-based compensation</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(809)</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BALANCE—December 31, 2015—Successor</w:t>
            </w:r>
          </w:p>
        </w:tc>
        <w:tc>
          <w:tcPr>
            <w:tcW w:w="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326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438,716</w:t>
            </w:r>
          </w:p>
        </w:tc>
        <w:tc>
          <w:tcPr>
            <w:tcW w:w="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(23,009)</w:t>
            </w:r>
          </w:p>
        </w:tc>
        <w:tc>
          <w:tcPr>
            <w:tcW w:w="440" w:type="dxa"/>
            <w:vAlign w:val="bottom"/>
            <w:gridSpan w:val="2"/>
            <w:shd w:val="clear" w:color="auto" w:fill="CCEEFF"/>
          </w:tcPr>
          <w:p>
            <w:pPr>
              <w:ind w:left="200"/>
              <w:spacing w:after="0" w:line="184" w:lineRule="exact"/>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(2,559)</w:t>
            </w: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7"/>
              </w:rPr>
              <w:t>$ 413,474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49"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SUCCESSOR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ind w:left="78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5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PERIOD FROM</w:t>
            </w:r>
          </w:p>
        </w:tc>
        <w:tc>
          <w:tcPr>
            <w:tcW w:w="2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9"/>
              </w:rPr>
              <w:t>PERIOD FROM</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right w:val="single" w:sz="8" w:color="auto"/>
            </w:tcBorders>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APRIL 1, 2014</w:t>
            </w:r>
          </w:p>
        </w:tc>
        <w:tc>
          <w:tcPr>
            <w:tcW w:w="500" w:type="dxa"/>
            <w:vAlign w:val="bottom"/>
          </w:tcPr>
          <w:p>
            <w:pPr>
              <w:spacing w:after="0"/>
              <w:rPr>
                <w:sz w:val="13"/>
                <w:szCs w:val="13"/>
                <w:color w:val="auto"/>
              </w:rPr>
            </w:pPr>
          </w:p>
        </w:tc>
        <w:tc>
          <w:tcPr>
            <w:tcW w:w="17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JANUARY 1, 2014</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5300" w:type="dxa"/>
            <w:vAlign w:val="bottom"/>
          </w:tcPr>
          <w:p>
            <w:pPr>
              <w:spacing w:after="0"/>
              <w:rPr>
                <w:sz w:val="13"/>
                <w:szCs w:val="13"/>
                <w:color w:val="auto"/>
              </w:rPr>
            </w:pPr>
          </w:p>
        </w:tc>
        <w:tc>
          <w:tcPr>
            <w:tcW w:w="124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THROUGH</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center"/>
              <w:ind w:right="680"/>
              <w:spacing w:after="0" w:line="157" w:lineRule="exact"/>
              <w:rPr>
                <w:sz w:val="20"/>
                <w:szCs w:val="20"/>
                <w:color w:val="auto"/>
              </w:rPr>
            </w:pPr>
            <w:r>
              <w:rPr>
                <w:rFonts w:ascii="Arial" w:cs="Arial" w:eastAsia="Arial" w:hAnsi="Arial"/>
                <w:sz w:val="14"/>
                <w:szCs w:val="14"/>
                <w:b w:val="1"/>
                <w:bCs w:val="1"/>
                <w:color w:val="auto"/>
                <w:w w:val="98"/>
              </w:rPr>
              <w:t>THROUGH</w:t>
            </w:r>
          </w:p>
        </w:tc>
        <w:tc>
          <w:tcPr>
            <w:tcW w:w="112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YEAR ENDED</w:t>
            </w:r>
          </w:p>
        </w:tc>
      </w:tr>
      <w:tr>
        <w:trPr>
          <w:trHeight w:val="157"/>
        </w:trPr>
        <w:tc>
          <w:tcPr>
            <w:tcW w:w="5300" w:type="dxa"/>
            <w:vAlign w:val="bottom"/>
          </w:tcPr>
          <w:p>
            <w:pPr>
              <w:spacing w:after="0"/>
              <w:rPr>
                <w:sz w:val="13"/>
                <w:szCs w:val="13"/>
                <w:color w:val="auto"/>
              </w:rPr>
            </w:pPr>
          </w:p>
        </w:tc>
        <w:tc>
          <w:tcPr>
            <w:tcW w:w="12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320" w:type="dxa"/>
            <w:vAlign w:val="bottom"/>
            <w:tcBorders>
              <w:right w:val="single" w:sz="8" w:color="auto"/>
            </w:tcBorders>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center"/>
              <w:ind w:right="700"/>
              <w:spacing w:after="0" w:line="157"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5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right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Net (loss) income</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(8,673)</w:t>
            </w:r>
          </w:p>
        </w:tc>
        <w:tc>
          <w:tcPr>
            <w:tcW w:w="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(14,336)</w:t>
            </w:r>
          </w:p>
        </w:tc>
        <w:tc>
          <w:tcPr>
            <w:tcW w:w="580" w:type="dxa"/>
            <w:vAlign w:val="bottom"/>
            <w:gridSpan w:val="2"/>
          </w:tcPr>
          <w:p>
            <w:pPr>
              <w:ind w:left="500"/>
              <w:spacing w:after="0" w:line="157" w:lineRule="exact"/>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(1,236)</w:t>
            </w:r>
          </w:p>
        </w:tc>
        <w:tc>
          <w:tcPr>
            <w:tcW w:w="2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24,844</w:t>
            </w:r>
          </w:p>
        </w:tc>
      </w:tr>
      <w:tr>
        <w:trPr>
          <w:trHeight w:val="162"/>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income to net cash provided by</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3"/>
        </w:trPr>
        <w:tc>
          <w:tcPr>
            <w:tcW w:w="53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6,379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4,610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1,832</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6,665</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63,142</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56,422</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5,199</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23,854</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22,324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5,423</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7,340</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1,958</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Amortization of debt issuance costs and discount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2,687</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2,064</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371</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1,918</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1,523</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Deferred income tax (benefit) provision</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(12,690)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(9,557)</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300</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5,982</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Impairment of goodwill</w:t>
            </w: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9,313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Loss on the sale of cost method investment</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2,250</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(242)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(225)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(721)</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209</w:t>
            </w: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(1,753)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544</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(400)</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438</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Accounts receivable, net and unbilled services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337</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(1,103)</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60"/>
              <w:spacing w:after="0" w:line="157" w:lineRule="exact"/>
              <w:rPr>
                <w:sz w:val="20"/>
                <w:szCs w:val="20"/>
                <w:color w:val="auto"/>
              </w:rPr>
            </w:pPr>
            <w:r>
              <w:rPr>
                <w:rFonts w:ascii="Arial" w:cs="Arial" w:eastAsia="Arial" w:hAnsi="Arial"/>
                <w:sz w:val="14"/>
                <w:szCs w:val="14"/>
                <w:color w:val="auto"/>
              </w:rPr>
              <w:t>(10,543)</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1,604</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(846)</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(4,617)</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4,760</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2,481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558</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13,708</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628</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10,987</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(4,957)</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8,335</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Pre-funded study costs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9,981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299</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1,561</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1,691</w:t>
            </w:r>
          </w:p>
        </w:tc>
      </w:tr>
      <w:tr>
        <w:trPr>
          <w:trHeight w:val="157"/>
        </w:trPr>
        <w:tc>
          <w:tcPr>
            <w:tcW w:w="5300" w:type="dxa"/>
            <w:vAlign w:val="bottom"/>
          </w:tcPr>
          <w:p>
            <w:pPr>
              <w:ind w:left="280"/>
              <w:spacing w:after="0" w:line="157" w:lineRule="exact"/>
              <w:rPr>
                <w:sz w:val="20"/>
                <w:szCs w:val="20"/>
                <w:color w:val="auto"/>
              </w:rPr>
            </w:pPr>
            <w:r>
              <w:rPr>
                <w:rFonts w:ascii="Arial" w:cs="Arial" w:eastAsia="Arial" w:hAnsi="Arial"/>
                <w:sz w:val="14"/>
                <w:szCs w:val="14"/>
                <w:color w:val="auto"/>
              </w:rPr>
              <w:t>Advanced billings</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(7,002)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5,995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6,330</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10,651</w:t>
            </w:r>
          </w:p>
        </w:tc>
      </w:tr>
      <w:tr>
        <w:trPr>
          <w:trHeight w:val="157"/>
        </w:trPr>
        <w:tc>
          <w:tcPr>
            <w:tcW w:w="53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Other assets and liabilities, net</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(2,306)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1,704</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60"/>
              <w:spacing w:after="0" w:line="157" w:lineRule="exact"/>
              <w:rPr>
                <w:sz w:val="20"/>
                <w:szCs w:val="20"/>
                <w:color w:val="auto"/>
              </w:rPr>
            </w:pPr>
            <w:r>
              <w:rPr>
                <w:rFonts w:ascii="Arial" w:cs="Arial" w:eastAsia="Arial" w:hAnsi="Arial"/>
                <w:sz w:val="14"/>
                <w:szCs w:val="14"/>
                <w:color w:val="auto"/>
              </w:rPr>
              <w:t>(1,360)</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832</w:t>
            </w:r>
          </w:p>
        </w:tc>
      </w:tr>
      <w:tr>
        <w:trPr>
          <w:trHeight w:val="170"/>
        </w:trPr>
        <w:tc>
          <w:tcPr>
            <w:tcW w:w="530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84,117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62,539</w:t>
            </w:r>
          </w:p>
        </w:tc>
        <w:tc>
          <w:tcPr>
            <w:tcW w:w="2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12,807</w:t>
            </w:r>
          </w:p>
        </w:tc>
        <w:tc>
          <w:tcPr>
            <w:tcW w:w="6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98,142</w:t>
            </w:r>
          </w:p>
        </w:tc>
        <w:tc>
          <w:tcPr>
            <w:tcW w:w="80" w:type="dxa"/>
            <w:vAlign w:val="bottom"/>
          </w:tcPr>
          <w:p>
            <w:pPr>
              <w:spacing w:after="0"/>
              <w:rPr>
                <w:sz w:val="14"/>
                <w:szCs w:val="14"/>
                <w:color w:val="auto"/>
              </w:rPr>
            </w:pPr>
          </w:p>
        </w:tc>
      </w:tr>
      <w:tr>
        <w:trPr>
          <w:trHeight w:val="157"/>
        </w:trPr>
        <w:tc>
          <w:tcPr>
            <w:tcW w:w="5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Property and equipment expenditures</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(6,465)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(4,225)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(1,090)</w:t>
            </w:r>
          </w:p>
        </w:tc>
        <w:tc>
          <w:tcPr>
            <w:tcW w:w="260" w:type="dxa"/>
            <w:vAlign w:val="bottom"/>
          </w:tcPr>
          <w:p>
            <w:pPr>
              <w:spacing w:after="0"/>
              <w:rPr>
                <w:sz w:val="13"/>
                <w:szCs w:val="13"/>
                <w:color w:val="auto"/>
              </w:rPr>
            </w:pPr>
          </w:p>
        </w:tc>
        <w:tc>
          <w:tcPr>
            <w:tcW w:w="8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(4,561)</w:t>
            </w: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Acquisition of Predecessor, net of cash received</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(903,453)</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63"/>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38</w:t>
            </w:r>
          </w:p>
        </w:tc>
        <w:tc>
          <w:tcPr>
            <w:tcW w:w="2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263</w:t>
            </w: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4"/>
                <w:szCs w:val="14"/>
                <w:color w:val="auto"/>
              </w:rPr>
            </w:pPr>
          </w:p>
        </w:tc>
      </w:tr>
      <w:tr>
        <w:trPr>
          <w:trHeight w:val="157"/>
        </w:trPr>
        <w:tc>
          <w:tcPr>
            <w:tcW w:w="53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(6,432)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(907,640)</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60"/>
              <w:spacing w:after="0" w:line="157" w:lineRule="exact"/>
              <w:rPr>
                <w:sz w:val="20"/>
                <w:szCs w:val="20"/>
                <w:color w:val="auto"/>
              </w:rPr>
            </w:pPr>
            <w:r>
              <w:rPr>
                <w:rFonts w:ascii="Arial" w:cs="Arial" w:eastAsia="Arial" w:hAnsi="Arial"/>
                <w:sz w:val="14"/>
                <w:szCs w:val="14"/>
                <w:color w:val="auto"/>
              </w:rPr>
              <w:t>(827)</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(4,472)</w:t>
            </w:r>
          </w:p>
        </w:tc>
      </w:tr>
      <w:tr>
        <w:trPr>
          <w:trHeight w:val="163"/>
        </w:trPr>
        <w:tc>
          <w:tcPr>
            <w:tcW w:w="53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Proceeds from sale of common stock</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414,000</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1,177</w:t>
            </w: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Proceeds from stock option exercises</w:t>
            </w: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250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452</w:t>
            </w: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Excess tax benefit from stock-based compensation</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809</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5,270</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16</w:t>
            </w: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Proceeds from issuance of debt, net of original issue discount</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527,350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Payment of debt</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(116,055)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(25,217)</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60"/>
              <w:spacing w:after="0" w:line="157" w:lineRule="exact"/>
              <w:rPr>
                <w:sz w:val="20"/>
                <w:szCs w:val="20"/>
                <w:color w:val="auto"/>
              </w:rPr>
            </w:pPr>
            <w:r>
              <w:rPr>
                <w:rFonts w:ascii="Arial" w:cs="Arial" w:eastAsia="Arial" w:hAnsi="Arial"/>
                <w:sz w:val="14"/>
                <w:szCs w:val="14"/>
                <w:color w:val="auto"/>
              </w:rPr>
              <w:t>(23,073)</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(96,431)</w:t>
            </w: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Proceeds from revolving loan</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1,575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Payment of revolving loan</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(1,575)</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Debt issuance costs</w:t>
            </w:r>
          </w:p>
        </w:tc>
        <w:tc>
          <w:tcPr>
            <w:tcW w:w="220" w:type="dxa"/>
            <w:vAlign w:val="bottom"/>
          </w:tcPr>
          <w:p>
            <w:pPr>
              <w:spacing w:after="0"/>
              <w:rPr>
                <w:sz w:val="13"/>
                <w:szCs w:val="13"/>
                <w:color w:val="auto"/>
              </w:rPr>
            </w:pP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(15,487)</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(1,065)</w:t>
            </w:r>
          </w:p>
        </w:tc>
      </w:tr>
      <w:tr>
        <w:trPr>
          <w:trHeight w:val="157"/>
        </w:trPr>
        <w:tc>
          <w:tcPr>
            <w:tcW w:w="5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Payment of deemed landlord liability</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(1,292)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(1,284)</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60"/>
              <w:spacing w:after="0" w:line="157"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r>
      <w:tr>
        <w:trPr>
          <w:trHeight w:val="20"/>
        </w:trPr>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5300" w:type="dxa"/>
            <w:vAlign w:val="bottom"/>
          </w:tcPr>
          <w:p>
            <w:pPr>
              <w:ind w:left="42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(116,489)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900,171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(17,968)</w:t>
            </w:r>
          </w:p>
        </w:tc>
        <w:tc>
          <w:tcPr>
            <w:tcW w:w="2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(95,851)</w:t>
            </w:r>
          </w:p>
        </w:tc>
      </w:tr>
      <w:tr>
        <w:trPr>
          <w:trHeight w:val="26"/>
        </w:trPr>
        <w:tc>
          <w:tcPr>
            <w:tcW w:w="5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5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EFFECTS OF EXCHANGE RATES ON CASH AND CASH EQUIVALENTS</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(601)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(785)</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60"/>
              <w:spacing w:after="0" w:line="157"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159</w:t>
            </w:r>
          </w:p>
        </w:tc>
      </w:tr>
      <w:tr>
        <w:trPr>
          <w:trHeight w:val="157"/>
        </w:trPr>
        <w:tc>
          <w:tcPr>
            <w:tcW w:w="5300" w:type="dxa"/>
            <w:vAlign w:val="bottom"/>
          </w:tcPr>
          <w:p>
            <w:pPr>
              <w:spacing w:after="0" w:line="157" w:lineRule="exact"/>
              <w:rPr>
                <w:sz w:val="20"/>
                <w:szCs w:val="20"/>
                <w:color w:val="auto"/>
              </w:rPr>
            </w:pPr>
            <w:r>
              <w:rPr>
                <w:rFonts w:ascii="Arial" w:cs="Arial" w:eastAsia="Arial" w:hAnsi="Arial"/>
                <w:sz w:val="14"/>
                <w:szCs w:val="14"/>
                <w:color w:val="auto"/>
              </w:rPr>
              <w:t>(DECREASE) INCREASE IN CASH AND CASH EQUIVALENTS</w:t>
            </w:r>
          </w:p>
        </w:tc>
        <w:tc>
          <w:tcPr>
            <w:tcW w:w="220" w:type="dxa"/>
            <w:vAlign w:val="bottom"/>
          </w:tcPr>
          <w:p>
            <w:pPr>
              <w:spacing w:after="0"/>
              <w:rPr>
                <w:sz w:val="13"/>
                <w:szCs w:val="13"/>
                <w:color w:val="auto"/>
              </w:rPr>
            </w:pP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(39,405)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54,285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(6,013)</w:t>
            </w:r>
          </w:p>
        </w:tc>
        <w:tc>
          <w:tcPr>
            <w:tcW w:w="260" w:type="dxa"/>
            <w:vAlign w:val="bottom"/>
          </w:tcPr>
          <w:p>
            <w:pPr>
              <w:spacing w:after="0"/>
              <w:rPr>
                <w:sz w:val="13"/>
                <w:szCs w:val="13"/>
                <w:color w:val="auto"/>
              </w:rPr>
            </w:pPr>
          </w:p>
        </w:tc>
        <w:tc>
          <w:tcPr>
            <w:tcW w:w="8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(2,022)</w:t>
            </w:r>
          </w:p>
        </w:tc>
      </w:tr>
      <w:tr>
        <w:trPr>
          <w:trHeight w:val="157"/>
        </w:trPr>
        <w:tc>
          <w:tcPr>
            <w:tcW w:w="5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AND CASH EQUIVALENTS—Beginning of period</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54,285</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23,858</w:t>
            </w:r>
          </w:p>
        </w:tc>
        <w:tc>
          <w:tcPr>
            <w:tcW w:w="6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25,880</w:t>
            </w:r>
          </w:p>
        </w:tc>
        <w:tc>
          <w:tcPr>
            <w:tcW w:w="80" w:type="dxa"/>
            <w:vAlign w:val="bottom"/>
            <w:shd w:val="clear" w:color="auto" w:fill="CCEEFF"/>
          </w:tcPr>
          <w:p>
            <w:pPr>
              <w:spacing w:after="0"/>
              <w:rPr>
                <w:sz w:val="13"/>
                <w:szCs w:val="13"/>
                <w:color w:val="auto"/>
              </w:rPr>
            </w:pPr>
          </w:p>
        </w:tc>
      </w:tr>
      <w:tr>
        <w:trPr>
          <w:trHeight w:val="163"/>
        </w:trPr>
        <w:tc>
          <w:tcPr>
            <w:tcW w:w="5300" w:type="dxa"/>
            <w:vAlign w:val="bottom"/>
          </w:tcPr>
          <w:p>
            <w:pPr>
              <w:spacing w:after="0"/>
              <w:rPr>
                <w:sz w:val="20"/>
                <w:szCs w:val="20"/>
                <w:color w:val="auto"/>
              </w:rPr>
            </w:pPr>
            <w:r>
              <w:rPr>
                <w:rFonts w:ascii="Arial" w:cs="Arial" w:eastAsia="Arial" w:hAnsi="Arial"/>
                <w:sz w:val="14"/>
                <w:szCs w:val="14"/>
                <w:color w:val="auto"/>
              </w:rPr>
              <w:t>CASH AND CASH EQUIVALENTS—End of period</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14,880</w:t>
            </w:r>
          </w:p>
        </w:tc>
        <w:tc>
          <w:tcPr>
            <w:tcW w:w="20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54,285</w:t>
            </w:r>
          </w:p>
        </w:tc>
        <w:tc>
          <w:tcPr>
            <w:tcW w:w="580" w:type="dxa"/>
            <w:vAlign w:val="bottom"/>
            <w:gridSpan w:val="2"/>
          </w:tcPr>
          <w:p>
            <w:pPr>
              <w:ind w:left="500"/>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600"/>
              <w:spacing w:after="0"/>
              <w:rPr>
                <w:sz w:val="20"/>
                <w:szCs w:val="20"/>
                <w:color w:val="auto"/>
              </w:rPr>
            </w:pPr>
            <w:r>
              <w:rPr>
                <w:rFonts w:ascii="Arial" w:cs="Arial" w:eastAsia="Arial" w:hAnsi="Arial"/>
                <w:sz w:val="14"/>
                <w:szCs w:val="14"/>
                <w:color w:val="auto"/>
              </w:rPr>
              <w:t>17,845</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23,858</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5300" w:type="dxa"/>
            <w:vAlign w:val="bottom"/>
          </w:tcPr>
          <w:p>
            <w:pPr>
              <w:ind w:left="140"/>
              <w:spacing w:after="0" w:line="157" w:lineRule="exact"/>
              <w:rPr>
                <w:sz w:val="20"/>
                <w:szCs w:val="20"/>
                <w:color w:val="auto"/>
              </w:rPr>
            </w:pPr>
            <w:r>
              <w:rPr>
                <w:rFonts w:ascii="Arial" w:cs="Arial" w:eastAsia="Arial" w:hAnsi="Arial"/>
                <w:sz w:val="14"/>
                <w:szCs w:val="14"/>
                <w:color w:val="auto"/>
              </w:rPr>
              <w:t>Cash paid during the period for income taxes</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10,552</w:t>
            </w:r>
          </w:p>
        </w:tc>
        <w:tc>
          <w:tcPr>
            <w:tcW w:w="200" w:type="dxa"/>
            <w:vAlign w:val="bottom"/>
          </w:tcPr>
          <w:p>
            <w:pPr>
              <w:spacing w:after="0"/>
              <w:rPr>
                <w:sz w:val="13"/>
                <w:szCs w:val="13"/>
                <w:color w:val="auto"/>
              </w:rPr>
            </w:pPr>
          </w:p>
        </w:tc>
        <w:tc>
          <w:tcPr>
            <w:tcW w:w="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4,513</w:t>
            </w:r>
          </w:p>
        </w:tc>
        <w:tc>
          <w:tcPr>
            <w:tcW w:w="580" w:type="dxa"/>
            <w:vAlign w:val="bottom"/>
            <w:gridSpan w:val="2"/>
          </w:tcPr>
          <w:p>
            <w:pPr>
              <w:ind w:left="500"/>
              <w:spacing w:after="0" w:line="157" w:lineRule="exact"/>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600"/>
              <w:spacing w:after="0" w:line="157" w:lineRule="exact"/>
              <w:rPr>
                <w:sz w:val="20"/>
                <w:szCs w:val="20"/>
                <w:color w:val="auto"/>
              </w:rPr>
            </w:pPr>
            <w:r>
              <w:rPr>
                <w:rFonts w:ascii="Arial" w:cs="Arial" w:eastAsia="Arial" w:hAnsi="Arial"/>
                <w:sz w:val="14"/>
                <w:szCs w:val="14"/>
                <w:color w:val="auto"/>
              </w:rPr>
              <w:t>125</w:t>
            </w:r>
          </w:p>
        </w:tc>
        <w:tc>
          <w:tcPr>
            <w:tcW w:w="2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5,784</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53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Cash paid during the period for interest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24,435</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21,060</w:t>
            </w:r>
          </w:p>
        </w:tc>
        <w:tc>
          <w:tcPr>
            <w:tcW w:w="5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2,961</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16,223</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5300" w:type="dxa"/>
            <w:vAlign w:val="bottom"/>
          </w:tcPr>
          <w:p>
            <w:pPr>
              <w:ind w:left="140"/>
              <w:spacing w:after="0"/>
              <w:rPr>
                <w:sz w:val="20"/>
                <w:szCs w:val="20"/>
                <w:color w:val="auto"/>
              </w:rPr>
            </w:pPr>
            <w:r>
              <w:rPr>
                <w:rFonts w:ascii="Arial" w:cs="Arial" w:eastAsia="Arial" w:hAnsi="Arial"/>
                <w:sz w:val="14"/>
                <w:szCs w:val="14"/>
                <w:color w:val="auto"/>
              </w:rPr>
              <w:t>Acquisition of property and equipment—non-cash</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176</w:t>
            </w:r>
          </w:p>
        </w:tc>
        <w:tc>
          <w:tcPr>
            <w:tcW w:w="20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153</w:t>
            </w:r>
          </w:p>
        </w:tc>
        <w:tc>
          <w:tcPr>
            <w:tcW w:w="580" w:type="dxa"/>
            <w:vAlign w:val="bottom"/>
            <w:gridSpan w:val="2"/>
          </w:tcPr>
          <w:p>
            <w:pPr>
              <w:ind w:left="500"/>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600"/>
              <w:spacing w:after="0"/>
              <w:rPr>
                <w:sz w:val="20"/>
                <w:szCs w:val="20"/>
                <w:color w:val="auto"/>
              </w:rPr>
            </w:pPr>
            <w:r>
              <w:rPr>
                <w:rFonts w:ascii="Arial" w:cs="Arial" w:eastAsia="Arial" w:hAnsi="Arial"/>
                <w:sz w:val="14"/>
                <w:szCs w:val="14"/>
                <w:color w:val="auto"/>
              </w:rPr>
              <w:t>312</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376</w:t>
            </w:r>
          </w:p>
        </w:tc>
      </w:tr>
      <w:tr>
        <w:trPr>
          <w:trHeight w:val="181"/>
        </w:trPr>
        <w:tc>
          <w:tcPr>
            <w:tcW w:w="5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5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49"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3" w:lineRule="exact"/>
        <w:rPr>
          <w:sz w:val="20"/>
          <w:szCs w:val="20"/>
          <w:color w:val="auto"/>
        </w:rPr>
      </w:pPr>
    </w:p>
    <w:p>
      <w:pPr>
        <w:ind w:right="700"/>
        <w:spacing w:after="0" w:line="255" w:lineRule="auto"/>
        <w:rPr>
          <w:sz w:val="20"/>
          <w:szCs w:val="20"/>
          <w:color w:val="auto"/>
        </w:rPr>
      </w:pPr>
      <w:r>
        <w:rPr>
          <w:rFonts w:ascii="Arial" w:cs="Arial" w:eastAsia="Arial" w:hAnsi="Arial"/>
          <w:sz w:val="17"/>
          <w:szCs w:val="17"/>
          <w:b w:val="1"/>
          <w:bCs w:val="1"/>
          <w:color w:val="auto"/>
        </w:rPr>
        <w:t>As of December 31, 2015 and 2014, and for the Year Ended December 31, 2015, the Periods April 1, 2014 through December 31, 2014 and January 1, 2014 through March 31, 2014, and the Year Ended December 31, 2013.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96"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Medpace Holdings, Inc. together with its subsidiaries, (the “Company” or “Medpace”),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central laboratory, project management, regulatory affairs, clinical monitoring, data management and analysis, pharmacovigilance new drug application submissions, and post-marketing clinical support. The Company also provides coordinated central laboratory services, bio-analytical laboratory services, clinical human pharmacology, imaging services, and electrocardiography reading support for clinical trials.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principally based in North America, Europe, and Asia.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CHANGE IN CONTROL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2014, investment funds managed by Cinven Capital Management (V) General Partner Limited (“Cinven”), a private equity firm, incorporated</w:t>
      </w:r>
    </w:p>
    <w:p>
      <w:pPr>
        <w:spacing w:after="0" w:line="225" w:lineRule="auto"/>
        <w:rPr>
          <w:sz w:val="20"/>
          <w:szCs w:val="20"/>
          <w:color w:val="auto"/>
        </w:rPr>
      </w:pPr>
      <w:r>
        <w:rPr>
          <w:rFonts w:ascii="Arial" w:cs="Arial" w:eastAsia="Arial" w:hAnsi="Arial"/>
          <w:sz w:val="17"/>
          <w:szCs w:val="17"/>
          <w:color w:val="auto"/>
        </w:rPr>
        <w:t>Scioto Holdings, Inc. in the first of multiple steps that would result in a change of control for the Company. Pursuant to the terms and conditions of the</w:t>
      </w:r>
    </w:p>
    <w:p>
      <w:pPr>
        <w:spacing w:after="0" w:line="225" w:lineRule="auto"/>
        <w:rPr>
          <w:sz w:val="20"/>
          <w:szCs w:val="20"/>
          <w:color w:val="auto"/>
        </w:rPr>
      </w:pPr>
      <w:r>
        <w:rPr>
          <w:rFonts w:ascii="Arial" w:cs="Arial" w:eastAsia="Arial" w:hAnsi="Arial"/>
          <w:sz w:val="17"/>
          <w:szCs w:val="17"/>
          <w:color w:val="auto"/>
        </w:rPr>
        <w:t>Agreement and Plan of Merger (the “Merger Agreement”) dated February 22, 2014, Scioto Holdings, Inc. (the “Successor”), through its wholly owned</w:t>
      </w:r>
    </w:p>
    <w:p>
      <w:pPr>
        <w:spacing w:after="0"/>
        <w:rPr>
          <w:sz w:val="20"/>
          <w:szCs w:val="20"/>
          <w:color w:val="auto"/>
        </w:rPr>
      </w:pPr>
      <w:r>
        <w:rPr>
          <w:rFonts w:ascii="Arial" w:cs="Arial" w:eastAsia="Arial" w:hAnsi="Arial"/>
          <w:sz w:val="16"/>
          <w:szCs w:val="16"/>
          <w:color w:val="auto"/>
        </w:rPr>
        <w:t>subsidiary Scioto Acquisition, Inc. (the “Purchaser”) and the Purchaser’s wholly owned subsidiary Scioto Merger Sub, Inc. (the “Merger Sub”), purchased</w:t>
      </w:r>
    </w:p>
    <w:p>
      <w:pPr>
        <w:spacing w:after="0" w:line="225" w:lineRule="auto"/>
        <w:rPr>
          <w:sz w:val="20"/>
          <w:szCs w:val="20"/>
          <w:color w:val="auto"/>
        </w:rPr>
      </w:pPr>
      <w:r>
        <w:rPr>
          <w:rFonts w:ascii="Arial" w:cs="Arial" w:eastAsia="Arial" w:hAnsi="Arial"/>
          <w:sz w:val="17"/>
          <w:szCs w:val="17"/>
          <w:color w:val="auto"/>
        </w:rPr>
        <w:t>100% of the outstanding shares of Medpace Holdings, Inc. (“Predecessor”) for an aggregate purchase price of $921.3 million on April 1, 2014 (the</w:t>
      </w:r>
    </w:p>
    <w:p>
      <w:pPr>
        <w:spacing w:after="0" w:line="225" w:lineRule="auto"/>
        <w:rPr>
          <w:sz w:val="20"/>
          <w:szCs w:val="20"/>
          <w:color w:val="auto"/>
        </w:rPr>
      </w:pPr>
      <w:r>
        <w:rPr>
          <w:rFonts w:ascii="Arial" w:cs="Arial" w:eastAsia="Arial" w:hAnsi="Arial"/>
          <w:sz w:val="17"/>
          <w:szCs w:val="17"/>
          <w:color w:val="auto"/>
        </w:rPr>
        <w:t>“Transaction”). Per the terms of a Contribution and Subscription Agreement, Medpace Investors, LLC (“Medpace Investors” or “MPI”), owned by certain</w:t>
      </w:r>
    </w:p>
    <w:p>
      <w:pPr>
        <w:spacing w:after="0" w:line="225" w:lineRule="auto"/>
        <w:rPr>
          <w:sz w:val="20"/>
          <w:szCs w:val="20"/>
          <w:color w:val="auto"/>
        </w:rPr>
      </w:pPr>
      <w:r>
        <w:rPr>
          <w:rFonts w:ascii="Arial" w:cs="Arial" w:eastAsia="Arial" w:hAnsi="Arial"/>
          <w:sz w:val="17"/>
          <w:szCs w:val="17"/>
          <w:color w:val="auto"/>
        </w:rPr>
        <w:t>employees of the Company, agreed to contribute shares held in the Predecessor in exchange for a percentage stake in the Successor. The Transaction</w:t>
      </w:r>
    </w:p>
    <w:p>
      <w:pPr>
        <w:spacing w:after="0" w:line="225" w:lineRule="auto"/>
        <w:rPr>
          <w:sz w:val="20"/>
          <w:szCs w:val="20"/>
          <w:color w:val="auto"/>
        </w:rPr>
      </w:pPr>
      <w:r>
        <w:rPr>
          <w:rFonts w:ascii="Arial" w:cs="Arial" w:eastAsia="Arial" w:hAnsi="Arial"/>
          <w:sz w:val="17"/>
          <w:szCs w:val="17"/>
          <w:color w:val="auto"/>
        </w:rPr>
        <w:t>was financed through the sale of the Successor’s equity and debt financing under a new credit facility entered into by Merger Sub as the initial borrower.</w:t>
      </w:r>
    </w:p>
    <w:p>
      <w:pPr>
        <w:spacing w:after="0" w:line="225" w:lineRule="auto"/>
        <w:rPr>
          <w:sz w:val="20"/>
          <w:szCs w:val="20"/>
          <w:color w:val="auto"/>
        </w:rPr>
      </w:pPr>
      <w:r>
        <w:rPr>
          <w:rFonts w:ascii="Arial" w:cs="Arial" w:eastAsia="Arial" w:hAnsi="Arial"/>
          <w:sz w:val="17"/>
          <w:szCs w:val="17"/>
          <w:color w:val="auto"/>
        </w:rPr>
        <w:t>Upon Transaction consummation, Merger Sub ceased to exist and Medpace Holdings, Inc. became the borrower under the credit facility. The proceeds</w:t>
      </w:r>
    </w:p>
    <w:p>
      <w:pPr>
        <w:spacing w:after="0"/>
        <w:rPr>
          <w:sz w:val="20"/>
          <w:szCs w:val="20"/>
          <w:color w:val="auto"/>
        </w:rPr>
      </w:pPr>
      <w:r>
        <w:rPr>
          <w:rFonts w:ascii="Arial" w:cs="Arial" w:eastAsia="Arial" w:hAnsi="Arial"/>
          <w:sz w:val="16"/>
          <w:szCs w:val="16"/>
          <w:color w:val="auto"/>
        </w:rPr>
        <w:t>from the transaction were used to purchase Predecessor’s equity interests, extinguish debt which had immediately come due as a result of the change in</w:t>
      </w:r>
    </w:p>
    <w:p>
      <w:pPr>
        <w:spacing w:after="0" w:line="225" w:lineRule="auto"/>
        <w:rPr>
          <w:sz w:val="20"/>
          <w:szCs w:val="20"/>
          <w:color w:val="auto"/>
        </w:rPr>
      </w:pPr>
      <w:r>
        <w:rPr>
          <w:rFonts w:ascii="Arial" w:cs="Arial" w:eastAsia="Arial" w:hAnsi="Arial"/>
          <w:sz w:val="17"/>
          <w:szCs w:val="17"/>
          <w:color w:val="auto"/>
        </w:rPr>
        <w:t>control, and pay Predecessor’s acquisition-related selling expenses. The Predecessor’s acquisition-related selling expenses of $12.4 million, including</w:t>
      </w:r>
    </w:p>
    <w:p>
      <w:pPr>
        <w:spacing w:after="0" w:line="225" w:lineRule="auto"/>
        <w:rPr>
          <w:sz w:val="20"/>
          <w:szCs w:val="20"/>
          <w:color w:val="auto"/>
        </w:rPr>
      </w:pPr>
      <w:r>
        <w:rPr>
          <w:rFonts w:ascii="Arial" w:cs="Arial" w:eastAsia="Arial" w:hAnsi="Arial"/>
          <w:sz w:val="17"/>
          <w:szCs w:val="17"/>
          <w:color w:val="auto"/>
        </w:rPr>
        <w:t>$10.1 million related to success based advisory fees, are reflected in the Acquisition and integration expense line in the consolidated statement of</w:t>
      </w:r>
    </w:p>
    <w:p>
      <w:pPr>
        <w:spacing w:after="0"/>
        <w:rPr>
          <w:sz w:val="20"/>
          <w:szCs w:val="20"/>
          <w:color w:val="auto"/>
        </w:rPr>
      </w:pPr>
      <w:r>
        <w:rPr>
          <w:rFonts w:ascii="Arial" w:cs="Arial" w:eastAsia="Arial" w:hAnsi="Arial"/>
          <w:sz w:val="16"/>
          <w:szCs w:val="16"/>
          <w:color w:val="auto"/>
        </w:rPr>
        <w:t>operations for the Predecessor January 1 through March 31, 2014 period. The Successor’s acquisition-related buying expenses of $9.3 million, including</w:t>
      </w:r>
    </w:p>
    <w:p>
      <w:pPr>
        <w:spacing w:after="0"/>
        <w:rPr>
          <w:sz w:val="20"/>
          <w:szCs w:val="20"/>
          <w:color w:val="auto"/>
        </w:rPr>
      </w:pPr>
      <w:r>
        <w:rPr>
          <w:rFonts w:ascii="Arial" w:cs="Arial" w:eastAsia="Arial" w:hAnsi="Arial"/>
          <w:sz w:val="16"/>
          <w:szCs w:val="16"/>
          <w:color w:val="auto"/>
        </w:rPr>
        <w:t>$3.3 million related to success based advisory fees, are reflected in the Acquisition and integration expense line in the consolidated statement of operations</w:t>
      </w:r>
    </w:p>
    <w:p>
      <w:pPr>
        <w:spacing w:after="0"/>
        <w:rPr>
          <w:sz w:val="20"/>
          <w:szCs w:val="20"/>
          <w:color w:val="auto"/>
        </w:rPr>
      </w:pPr>
      <w:r>
        <w:rPr>
          <w:rFonts w:ascii="Arial" w:cs="Arial" w:eastAsia="Arial" w:hAnsi="Arial"/>
          <w:sz w:val="17"/>
          <w:szCs w:val="17"/>
          <w:color w:val="auto"/>
        </w:rPr>
        <w:t>for the Successor April 1, 2014 through December 31, 2014 period.</w:t>
      </w:r>
    </w:p>
    <w:p>
      <w:pPr>
        <w:spacing w:after="0" w:line="14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Prior to the Transaction, CCMP Capital (“CCMP”), a private equity firm, held 80% of the Predecessor’s equity interests and the noncontrolling interests were held by certain current and former members of management, along with former members of the Board of Directors of Medpace, Inc., a wholly owned subsidiary of Medpace Holdings, Inc.</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49"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sources and uses of the purchase price consideration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7"/>
              </w:rPr>
              <w:t>Sources of cash consideration:</w:t>
            </w:r>
          </w:p>
        </w:tc>
        <w:tc>
          <w:tcPr>
            <w:tcW w:w="8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3"/>
        </w:trPr>
        <w:tc>
          <w:tcPr>
            <w:tcW w:w="10620" w:type="dxa"/>
            <w:vAlign w:val="bottom"/>
            <w:gridSpan w:val="3"/>
          </w:tcPr>
          <w:p>
            <w:pPr>
              <w:ind w:left="260"/>
              <w:spacing w:after="0" w:line="184" w:lineRule="exact"/>
              <w:rPr>
                <w:sz w:val="20"/>
                <w:szCs w:val="20"/>
                <w:color w:val="auto"/>
              </w:rPr>
            </w:pPr>
            <w:r>
              <w:rPr>
                <w:rFonts w:ascii="Arial" w:cs="Arial" w:eastAsia="Arial" w:hAnsi="Arial"/>
                <w:sz w:val="17"/>
                <w:szCs w:val="17"/>
                <w:color w:val="auto"/>
              </w:rPr>
              <w:t>Sale of Successor common Stock</w:t>
            </w:r>
          </w:p>
        </w:tc>
        <w:tc>
          <w:tcPr>
            <w:tcW w:w="700" w:type="dxa"/>
            <w:vAlign w:val="bottom"/>
          </w:tcPr>
          <w:p>
            <w:pPr>
              <w:jc w:val="right"/>
              <w:spacing w:after="0" w:line="184" w:lineRule="exact"/>
              <w:rPr>
                <w:sz w:val="20"/>
                <w:szCs w:val="20"/>
                <w:color w:val="auto"/>
              </w:rPr>
            </w:pPr>
            <w:r>
              <w:rPr>
                <w:rFonts w:ascii="Arial" w:cs="Arial" w:eastAsia="Arial" w:hAnsi="Arial"/>
                <w:sz w:val="17"/>
                <w:szCs w:val="17"/>
                <w:color w:val="auto"/>
                <w:w w:val="95"/>
              </w:rPr>
              <w:t>$414,000</w:t>
            </w:r>
          </w:p>
        </w:tc>
        <w:tc>
          <w:tcPr>
            <w:tcW w:w="100" w:type="dxa"/>
            <w:vAlign w:val="bottom"/>
          </w:tcPr>
          <w:p>
            <w:pPr>
              <w:spacing w:after="0"/>
              <w:rPr>
                <w:sz w:val="15"/>
                <w:szCs w:val="15"/>
                <w:color w:val="auto"/>
              </w:rPr>
            </w:pPr>
          </w:p>
        </w:tc>
      </w:tr>
      <w:tr>
        <w:trPr>
          <w:trHeight w:val="183"/>
        </w:trPr>
        <w:tc>
          <w:tcPr>
            <w:tcW w:w="10620" w:type="dxa"/>
            <w:vAlign w:val="bottom"/>
            <w:gridSpan w:val="3"/>
            <w:shd w:val="clear" w:color="auto" w:fill="CCEEFF"/>
          </w:tcPr>
          <w:p>
            <w:pPr>
              <w:ind w:left="260"/>
              <w:spacing w:after="0" w:line="184" w:lineRule="exact"/>
              <w:rPr>
                <w:sz w:val="20"/>
                <w:szCs w:val="20"/>
                <w:color w:val="auto"/>
              </w:rPr>
            </w:pPr>
            <w:r>
              <w:rPr>
                <w:rFonts w:ascii="Arial" w:cs="Arial" w:eastAsia="Arial" w:hAnsi="Arial"/>
                <w:sz w:val="17"/>
                <w:szCs w:val="17"/>
                <w:color w:val="auto"/>
              </w:rPr>
              <w:t>Long-term debt issuance</w:t>
            </w:r>
          </w:p>
        </w:tc>
        <w:tc>
          <w:tcPr>
            <w:tcW w:w="7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530,000</w:t>
            </w:r>
          </w:p>
        </w:tc>
        <w:tc>
          <w:tcPr>
            <w:tcW w:w="100" w:type="dxa"/>
            <w:vAlign w:val="bottom"/>
            <w:shd w:val="clear" w:color="auto" w:fill="CCEEFF"/>
          </w:tcPr>
          <w:p>
            <w:pPr>
              <w:spacing w:after="0"/>
              <w:rPr>
                <w:sz w:val="15"/>
                <w:szCs w:val="15"/>
                <w:color w:val="auto"/>
              </w:rPr>
            </w:pPr>
          </w:p>
        </w:tc>
      </w:tr>
      <w:tr>
        <w:trPr>
          <w:trHeight w:val="183"/>
        </w:trPr>
        <w:tc>
          <w:tcPr>
            <w:tcW w:w="10620" w:type="dxa"/>
            <w:vAlign w:val="bottom"/>
            <w:gridSpan w:val="3"/>
          </w:tcPr>
          <w:p>
            <w:pPr>
              <w:ind w:left="260"/>
              <w:spacing w:after="0" w:line="184" w:lineRule="exact"/>
              <w:rPr>
                <w:sz w:val="20"/>
                <w:szCs w:val="20"/>
                <w:color w:val="auto"/>
              </w:rPr>
            </w:pPr>
            <w:r>
              <w:rPr>
                <w:rFonts w:ascii="Arial" w:cs="Arial" w:eastAsia="Arial" w:hAnsi="Arial"/>
                <w:sz w:val="17"/>
                <w:szCs w:val="17"/>
                <w:color w:val="auto"/>
              </w:rPr>
              <w:t>Revolving loan</w:t>
            </w:r>
          </w:p>
        </w:tc>
        <w:tc>
          <w:tcPr>
            <w:tcW w:w="700" w:type="dxa"/>
            <w:vAlign w:val="bottom"/>
          </w:tcPr>
          <w:p>
            <w:pPr>
              <w:jc w:val="right"/>
              <w:spacing w:after="0" w:line="184" w:lineRule="exact"/>
              <w:rPr>
                <w:sz w:val="20"/>
                <w:szCs w:val="20"/>
                <w:color w:val="auto"/>
              </w:rPr>
            </w:pPr>
            <w:r>
              <w:rPr>
                <w:rFonts w:ascii="Arial" w:cs="Arial" w:eastAsia="Arial" w:hAnsi="Arial"/>
                <w:sz w:val="17"/>
                <w:szCs w:val="17"/>
                <w:color w:val="auto"/>
              </w:rPr>
              <w:t>1,575</w:t>
            </w:r>
          </w:p>
        </w:tc>
        <w:tc>
          <w:tcPr>
            <w:tcW w:w="100" w:type="dxa"/>
            <w:vAlign w:val="bottom"/>
          </w:tcPr>
          <w:p>
            <w:pPr>
              <w:spacing w:after="0"/>
              <w:rPr>
                <w:sz w:val="15"/>
                <w:szCs w:val="15"/>
                <w:color w:val="auto"/>
              </w:rPr>
            </w:pPr>
          </w:p>
        </w:tc>
      </w:tr>
      <w:tr>
        <w:trPr>
          <w:trHeight w:val="183"/>
        </w:trPr>
        <w:tc>
          <w:tcPr>
            <w:tcW w:w="10620" w:type="dxa"/>
            <w:vAlign w:val="bottom"/>
            <w:gridSpan w:val="3"/>
            <w:shd w:val="clear" w:color="auto" w:fill="CCEEFF"/>
          </w:tcPr>
          <w:p>
            <w:pPr>
              <w:ind w:left="260"/>
              <w:spacing w:after="0" w:line="184" w:lineRule="exact"/>
              <w:rPr>
                <w:sz w:val="20"/>
                <w:szCs w:val="20"/>
                <w:color w:val="auto"/>
              </w:rPr>
            </w:pPr>
            <w:r>
              <w:rPr>
                <w:rFonts w:ascii="Arial" w:cs="Arial" w:eastAsia="Arial" w:hAnsi="Arial"/>
                <w:sz w:val="17"/>
                <w:szCs w:val="17"/>
                <w:color w:val="auto"/>
              </w:rPr>
              <w:t>Original issue discount</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(2,650)</w:t>
            </w:r>
          </w:p>
        </w:tc>
      </w:tr>
      <w:tr>
        <w:trPr>
          <w:trHeight w:val="190"/>
        </w:trPr>
        <w:tc>
          <w:tcPr>
            <w:tcW w:w="10620" w:type="dxa"/>
            <w:vAlign w:val="bottom"/>
            <w:gridSpan w:val="3"/>
          </w:tcPr>
          <w:p>
            <w:pPr>
              <w:ind w:left="260"/>
              <w:spacing w:after="0" w:line="184" w:lineRule="exact"/>
              <w:rPr>
                <w:sz w:val="20"/>
                <w:szCs w:val="20"/>
                <w:color w:val="auto"/>
              </w:rPr>
            </w:pPr>
            <w:r>
              <w:rPr>
                <w:rFonts w:ascii="Arial" w:cs="Arial" w:eastAsia="Arial" w:hAnsi="Arial"/>
                <w:sz w:val="17"/>
                <w:szCs w:val="17"/>
                <w:color w:val="auto"/>
              </w:rPr>
              <w:t>Loan origination fees</w:t>
            </w:r>
          </w:p>
        </w:tc>
        <w:tc>
          <w:tcPr>
            <w:tcW w:w="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(15,487)</w:t>
            </w:r>
          </w:p>
        </w:tc>
      </w:tr>
      <w:tr>
        <w:trPr>
          <w:trHeight w:val="183"/>
        </w:trPr>
        <w:tc>
          <w:tcPr>
            <w:tcW w:w="10620" w:type="dxa"/>
            <w:vAlign w:val="bottom"/>
            <w:gridSpan w:val="3"/>
            <w:shd w:val="clear" w:color="auto" w:fill="CCEEFF"/>
          </w:tcPr>
          <w:p>
            <w:pPr>
              <w:ind w:left="260"/>
              <w:spacing w:after="0" w:line="184" w:lineRule="exact"/>
              <w:rPr>
                <w:sz w:val="20"/>
                <w:szCs w:val="20"/>
                <w:color w:val="auto"/>
              </w:rPr>
            </w:pPr>
            <w:r>
              <w:rPr>
                <w:rFonts w:ascii="Arial" w:cs="Arial" w:eastAsia="Arial" w:hAnsi="Arial"/>
                <w:sz w:val="17"/>
                <w:szCs w:val="17"/>
                <w:color w:val="auto"/>
              </w:rPr>
              <w:t>Debt proceeds, net</w:t>
            </w:r>
          </w:p>
        </w:tc>
        <w:tc>
          <w:tcPr>
            <w:tcW w:w="70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513,438</w:t>
            </w:r>
          </w:p>
        </w:tc>
        <w:tc>
          <w:tcPr>
            <w:tcW w:w="100" w:type="dxa"/>
            <w:vAlign w:val="bottom"/>
            <w:shd w:val="clear" w:color="auto" w:fill="CCEEFF"/>
          </w:tcPr>
          <w:p>
            <w:pPr>
              <w:spacing w:after="0"/>
              <w:rPr>
                <w:sz w:val="15"/>
                <w:szCs w:val="15"/>
                <w:color w:val="auto"/>
              </w:rPr>
            </w:pPr>
          </w:p>
        </w:tc>
      </w:tr>
      <w:tr>
        <w:trPr>
          <w:trHeight w:val="190"/>
        </w:trPr>
        <w:tc>
          <w:tcPr>
            <w:tcW w:w="1062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Total sources of consideration paid</w:t>
            </w: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927,438</w:t>
            </w:r>
          </w:p>
        </w:tc>
        <w:tc>
          <w:tcPr>
            <w:tcW w:w="10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220" w:type="dxa"/>
            <w:vAlign w:val="bottom"/>
            <w:tcBorders>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7"/>
              </w:rPr>
              <w:t>Uses of cash consideration:</w:t>
            </w:r>
          </w:p>
        </w:tc>
        <w:tc>
          <w:tcPr>
            <w:tcW w:w="8400" w:type="dxa"/>
            <w:vAlign w:val="bottom"/>
            <w:tcBorders>
              <w:bottom w:val="single" w:sz="8" w:color="CCEEFF"/>
            </w:tcBorders>
            <w:gridSpan w:val="2"/>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83"/>
        </w:trPr>
        <w:tc>
          <w:tcPr>
            <w:tcW w:w="10620" w:type="dxa"/>
            <w:vAlign w:val="bottom"/>
            <w:gridSpan w:val="3"/>
          </w:tcPr>
          <w:p>
            <w:pPr>
              <w:ind w:left="260"/>
              <w:spacing w:after="0" w:line="184" w:lineRule="exact"/>
              <w:rPr>
                <w:sz w:val="20"/>
                <w:szCs w:val="20"/>
                <w:color w:val="auto"/>
              </w:rPr>
            </w:pPr>
            <w:r>
              <w:rPr>
                <w:rFonts w:ascii="Arial" w:cs="Arial" w:eastAsia="Arial" w:hAnsi="Arial"/>
                <w:sz w:val="17"/>
                <w:szCs w:val="17"/>
                <w:color w:val="auto"/>
              </w:rPr>
              <w:t>Purchase of Predecessor common stock</w:t>
            </w:r>
          </w:p>
        </w:tc>
        <w:tc>
          <w:tcPr>
            <w:tcW w:w="700" w:type="dxa"/>
            <w:vAlign w:val="bottom"/>
          </w:tcPr>
          <w:p>
            <w:pPr>
              <w:jc w:val="right"/>
              <w:spacing w:after="0" w:line="184" w:lineRule="exact"/>
              <w:rPr>
                <w:sz w:val="20"/>
                <w:szCs w:val="20"/>
                <w:color w:val="auto"/>
              </w:rPr>
            </w:pPr>
            <w:r>
              <w:rPr>
                <w:rFonts w:ascii="Arial" w:cs="Arial" w:eastAsia="Arial" w:hAnsi="Arial"/>
                <w:sz w:val="17"/>
                <w:szCs w:val="17"/>
                <w:color w:val="auto"/>
                <w:w w:val="95"/>
              </w:rPr>
              <w:t>$780,829</w:t>
            </w:r>
          </w:p>
        </w:tc>
        <w:tc>
          <w:tcPr>
            <w:tcW w:w="100" w:type="dxa"/>
            <w:vAlign w:val="bottom"/>
          </w:tcPr>
          <w:p>
            <w:pPr>
              <w:spacing w:after="0"/>
              <w:rPr>
                <w:sz w:val="15"/>
                <w:szCs w:val="15"/>
                <w:color w:val="auto"/>
              </w:rPr>
            </w:pPr>
          </w:p>
        </w:tc>
      </w:tr>
      <w:tr>
        <w:trPr>
          <w:trHeight w:val="183"/>
        </w:trPr>
        <w:tc>
          <w:tcPr>
            <w:tcW w:w="10620" w:type="dxa"/>
            <w:vAlign w:val="bottom"/>
            <w:gridSpan w:val="3"/>
            <w:shd w:val="clear" w:color="auto" w:fill="CCEEFF"/>
          </w:tcPr>
          <w:p>
            <w:pPr>
              <w:ind w:left="260"/>
              <w:spacing w:after="0" w:line="184" w:lineRule="exact"/>
              <w:rPr>
                <w:sz w:val="20"/>
                <w:szCs w:val="20"/>
                <w:color w:val="auto"/>
              </w:rPr>
            </w:pPr>
            <w:r>
              <w:rPr>
                <w:rFonts w:ascii="Arial" w:cs="Arial" w:eastAsia="Arial" w:hAnsi="Arial"/>
                <w:sz w:val="17"/>
                <w:szCs w:val="17"/>
                <w:color w:val="auto"/>
              </w:rPr>
              <w:t>Proceeds from stock option exercise</w:t>
            </w:r>
          </w:p>
        </w:tc>
        <w:tc>
          <w:tcPr>
            <w:tcW w:w="8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(15,221)</w:t>
            </w:r>
          </w:p>
        </w:tc>
      </w:tr>
      <w:tr>
        <w:trPr>
          <w:trHeight w:val="183"/>
        </w:trPr>
        <w:tc>
          <w:tcPr>
            <w:tcW w:w="10620" w:type="dxa"/>
            <w:vAlign w:val="bottom"/>
            <w:gridSpan w:val="3"/>
          </w:tcPr>
          <w:p>
            <w:pPr>
              <w:ind w:left="260"/>
              <w:spacing w:after="0" w:line="184" w:lineRule="exact"/>
              <w:rPr>
                <w:sz w:val="20"/>
                <w:szCs w:val="20"/>
                <w:color w:val="auto"/>
              </w:rPr>
            </w:pPr>
            <w:r>
              <w:rPr>
                <w:rFonts w:ascii="Arial" w:cs="Arial" w:eastAsia="Arial" w:hAnsi="Arial"/>
                <w:sz w:val="17"/>
                <w:szCs w:val="17"/>
                <w:color w:val="auto"/>
              </w:rPr>
              <w:t>Payment of Predecessor debt</w:t>
            </w:r>
          </w:p>
        </w:tc>
        <w:tc>
          <w:tcPr>
            <w:tcW w:w="700" w:type="dxa"/>
            <w:vAlign w:val="bottom"/>
          </w:tcPr>
          <w:p>
            <w:pPr>
              <w:jc w:val="right"/>
              <w:spacing w:after="0" w:line="184" w:lineRule="exact"/>
              <w:rPr>
                <w:sz w:val="20"/>
                <w:szCs w:val="20"/>
                <w:color w:val="auto"/>
              </w:rPr>
            </w:pPr>
            <w:r>
              <w:rPr>
                <w:rFonts w:ascii="Arial" w:cs="Arial" w:eastAsia="Arial" w:hAnsi="Arial"/>
                <w:sz w:val="17"/>
                <w:szCs w:val="17"/>
                <w:color w:val="auto"/>
              </w:rPr>
              <w:t>143,728</w:t>
            </w:r>
          </w:p>
        </w:tc>
        <w:tc>
          <w:tcPr>
            <w:tcW w:w="100" w:type="dxa"/>
            <w:vAlign w:val="bottom"/>
          </w:tcPr>
          <w:p>
            <w:pPr>
              <w:spacing w:after="0"/>
              <w:rPr>
                <w:sz w:val="15"/>
                <w:szCs w:val="15"/>
                <w:color w:val="auto"/>
              </w:rPr>
            </w:pPr>
          </w:p>
        </w:tc>
      </w:tr>
      <w:tr>
        <w:trPr>
          <w:trHeight w:val="183"/>
        </w:trPr>
        <w:tc>
          <w:tcPr>
            <w:tcW w:w="10620" w:type="dxa"/>
            <w:vAlign w:val="bottom"/>
            <w:gridSpan w:val="3"/>
            <w:shd w:val="clear" w:color="auto" w:fill="CCEEFF"/>
          </w:tcPr>
          <w:p>
            <w:pPr>
              <w:ind w:left="260"/>
              <w:spacing w:after="0" w:line="184" w:lineRule="exact"/>
              <w:rPr>
                <w:sz w:val="20"/>
                <w:szCs w:val="20"/>
                <w:color w:val="auto"/>
              </w:rPr>
            </w:pPr>
            <w:r>
              <w:rPr>
                <w:rFonts w:ascii="Arial" w:cs="Arial" w:eastAsia="Arial" w:hAnsi="Arial"/>
                <w:sz w:val="17"/>
                <w:szCs w:val="17"/>
                <w:color w:val="auto"/>
              </w:rPr>
              <w:t>Payment of Predecessor’s selling expenses</w:t>
            </w:r>
          </w:p>
        </w:tc>
        <w:tc>
          <w:tcPr>
            <w:tcW w:w="7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11,962</w:t>
            </w:r>
          </w:p>
        </w:tc>
        <w:tc>
          <w:tcPr>
            <w:tcW w:w="100" w:type="dxa"/>
            <w:vAlign w:val="bottom"/>
            <w:shd w:val="clear" w:color="auto" w:fill="CCEEFF"/>
          </w:tcPr>
          <w:p>
            <w:pPr>
              <w:spacing w:after="0"/>
              <w:rPr>
                <w:sz w:val="15"/>
                <w:szCs w:val="15"/>
                <w:color w:val="auto"/>
              </w:rPr>
            </w:pPr>
          </w:p>
        </w:tc>
      </w:tr>
      <w:tr>
        <w:trPr>
          <w:trHeight w:val="190"/>
        </w:trPr>
        <w:tc>
          <w:tcPr>
            <w:tcW w:w="1062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Total uses of consideration paid</w:t>
            </w: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921,298</w:t>
            </w:r>
          </w:p>
        </w:tc>
        <w:tc>
          <w:tcPr>
            <w:tcW w:w="10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2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The excess cash generated from the transaction of $6.1 million is not considered purchase price consideration as the funds were used to pay a portion of the Successor’s acquisition related expenses. The Successor’s acquisition related expenses are reflected in the Acquisition and integration expense line in the consolidated statements of operations for the period ended December 31, 2014.</w:t>
      </w:r>
    </w:p>
    <w:p>
      <w:pPr>
        <w:spacing w:after="0" w:line="14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In May 2014, Scioto Holdings, Inc. was renamed Medpace Holdings, Inc. (“Successor”). Furthermore, the Predecessor Medpace Holdings, Inc. was merged with another wholly owned subsidiary and renamed Medpace IntermediateCo, Inc. For the avoidance of doubt and for purposes of these consolidated financial statements, Successor refers to the consolidated Medpace Holdings reporting entity after the Transaction and Predecessor refers to the consolidated Medpace Holdings reporting entity prior to the Transaction.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Immediately following the Transaction, Cinven and Medpace Investors owned approximately 75% and 25%, respectively, of the Successor entity.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0"/>
          </w:cols>
          <w:pgMar w:left="240" w:top="449"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fair value of the assets acquired and liabilities assumed to the total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6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17,845</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1,648</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39,311</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Unbilled services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13,065</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Reimbursable pass-through expenses</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12,184</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12,205</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Property and equipment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39,661</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670,294</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306,307</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26,246</w:t>
            </w:r>
          </w:p>
        </w:tc>
      </w:tr>
      <w:tr>
        <w:trPr>
          <w:trHeight w:val="190"/>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3,237</w:t>
            </w:r>
          </w:p>
        </w:tc>
        <w:tc>
          <w:tcPr>
            <w:tcW w:w="100" w:type="dxa"/>
            <w:vAlign w:val="bottom"/>
          </w:tcPr>
          <w:p>
            <w:pPr>
              <w:spacing w:after="0"/>
              <w:rPr>
                <w:sz w:val="16"/>
                <w:szCs w:val="16"/>
                <w:color w:val="auto"/>
              </w:rPr>
            </w:pPr>
          </w:p>
        </w:tc>
      </w:tr>
      <w:tr>
        <w:trPr>
          <w:trHeight w:val="183"/>
        </w:trPr>
        <w:tc>
          <w:tcPr>
            <w:tcW w:w="104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Total assets acquired</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5"/>
              </w:rPr>
              <w:t>1,142,003</w:t>
            </w:r>
          </w:p>
        </w:tc>
      </w:tr>
      <w:tr>
        <w:trPr>
          <w:trHeight w:val="183"/>
        </w:trPr>
        <w:tc>
          <w:tcPr>
            <w:tcW w:w="10460" w:type="dxa"/>
            <w:vAlign w:val="bottom"/>
          </w:tcPr>
          <w:p>
            <w:pPr>
              <w:spacing w:after="0" w:line="184" w:lineRule="exact"/>
              <w:rPr>
                <w:sz w:val="20"/>
                <w:szCs w:val="20"/>
                <w:color w:val="auto"/>
              </w:rPr>
            </w:pPr>
            <w:r>
              <w:rPr>
                <w:rFonts w:ascii="Arial" w:cs="Arial" w:eastAsia="Arial" w:hAnsi="Arial"/>
                <w:sz w:val="17"/>
                <w:szCs w:val="17"/>
                <w:color w:val="auto"/>
              </w:rPr>
              <w:t>Liabilities assumed: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16,608</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Pre-funded study costs</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36,483</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Advanced billings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52,475</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Deemed landlord liability</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34,251</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Debt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1,551</w:t>
            </w:r>
          </w:p>
        </w:tc>
      </w:tr>
      <w:tr>
        <w:trPr>
          <w:trHeight w:val="183"/>
        </w:trPr>
        <w:tc>
          <w:tcPr>
            <w:tcW w:w="10460" w:type="dxa"/>
            <w:vAlign w:val="bottom"/>
          </w:tcPr>
          <w:p>
            <w:pPr>
              <w:ind w:left="260"/>
              <w:spacing w:after="0" w:line="184" w:lineRule="exact"/>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69,448</w:t>
            </w:r>
          </w:p>
        </w:tc>
      </w:tr>
      <w:tr>
        <w:trPr>
          <w:trHeight w:val="183"/>
        </w:trPr>
        <w:tc>
          <w:tcPr>
            <w:tcW w:w="104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15"/>
                <w:szCs w:val="15"/>
                <w:color w:val="auto"/>
              </w:rPr>
            </w:pPr>
          </w:p>
        </w:tc>
      </w:tr>
      <w:tr>
        <w:trPr>
          <w:trHeight w:val="196"/>
        </w:trPr>
        <w:tc>
          <w:tcPr>
            <w:tcW w:w="10460" w:type="dxa"/>
            <w:vAlign w:val="bottom"/>
          </w:tcPr>
          <w:p>
            <w:pPr>
              <w:ind w:left="500"/>
              <w:spacing w:after="0" w:line="189" w:lineRule="exact"/>
              <w:rPr>
                <w:sz w:val="20"/>
                <w:szCs w:val="20"/>
                <w:color w:val="auto"/>
              </w:rPr>
            </w:pPr>
            <w:r>
              <w:rPr>
                <w:rFonts w:ascii="Arial" w:cs="Arial" w:eastAsia="Arial" w:hAnsi="Arial"/>
                <w:sz w:val="17"/>
                <w:szCs w:val="17"/>
                <w:color w:val="auto"/>
              </w:rPr>
              <w:t>Total liabilities assumed</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220,705</w:t>
            </w:r>
          </w:p>
        </w:tc>
        <w:tc>
          <w:tcPr>
            <w:tcW w:w="100" w:type="dxa"/>
            <w:vAlign w:val="bottom"/>
          </w:tcPr>
          <w:p>
            <w:pPr>
              <w:spacing w:after="0"/>
              <w:rPr>
                <w:sz w:val="17"/>
                <w:szCs w:val="17"/>
                <w:color w:val="auto"/>
              </w:rPr>
            </w:pPr>
          </w:p>
        </w:tc>
      </w:tr>
      <w:tr>
        <w:trPr>
          <w:trHeight w:val="183"/>
        </w:trPr>
        <w:tc>
          <w:tcPr>
            <w:tcW w:w="104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Net assets acquired</w:t>
            </w:r>
          </w:p>
        </w:tc>
        <w:tc>
          <w:tcPr>
            <w:tcW w:w="1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921,298</w:t>
            </w:r>
          </w:p>
        </w:tc>
      </w:tr>
      <w:tr>
        <w:trPr>
          <w:trHeight w:val="20"/>
        </w:trPr>
        <w:tc>
          <w:tcPr>
            <w:tcW w:w="10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10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The Company accounts for acquisitions using the acquisition method of accounting. The Successor consolidated financial statements reflect the final allocation of the aggregate purchase price of $921.3 million to the assets acquired and liabilities assumed based on fair values at the date of the Transaction. The fair values assigned to identifiable intangible assets acquired were determined primarily by using an income approach which was based on assumptions and estimates made by management. Significant assumptions utilized in the income approach were based on company-specific information and projections, which are not observable in the market and are thus considered Level 3 measurements by authoritative guidance. The excess of the purchase price over the fair value of the assets acquired and liabilities assumed has been recorded as goodwill and represents the estimated future economic benefits arising from other assets acquired that could not be individually identified and separately recognized such as assembled workforce and growth opportunities.</w:t>
      </w:r>
    </w:p>
    <w:p>
      <w:pPr>
        <w:spacing w:after="0" w:line="145"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The Merger Agreement includes certain indemnifications between the sellers (led by CCMP) and the buyers (led by Cinven) with regards to Predecessor contingencies that arise after the Transaction and through April 1, 2015, as well as tax payments or refunds that are finalized after April 1, 2014 but which relate to periods prior to the Transaction. The Successor had $0.3 and $0.9 million in Prepaid expenses and other current assets and $0.5 and $0.8 million in Other assets on the consolidated balance sheets at December 31, 2015 and 2014, respectively, associated with refunds due from various taxing authorities that were generated in a Predecessor period. The Successor had $1.4 and $5.2 million in Other current liabilities and $0.5 and $0.9 million in Other long-term liabilities on the consolidated balance sheets at December 31, 2015 and 2014, associated with the anticipated settlement of these items, net of consulting fees and related tax, and other tax refunds received by the Successor Company prior to December 31, 2015 and 2014, respectively.</w:t>
      </w:r>
    </w:p>
    <w:p>
      <w:pPr>
        <w:spacing w:after="0" w:line="142"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Immediately prior to the Transaction, the Predecessor Company’s Board of Directors approved a plan to accelerate the vesting on unvested stock options and restricted share awards.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49"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 and Presentation</w:t>
      </w:r>
    </w:p>
    <w:p>
      <w:pPr>
        <w:spacing w:after="0" w:line="34"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of America (“US GAAP”) and include the accounts and operations of the Company and its subsidiaries. All intercompany accounts and transactions have been eliminated in consolidation.</w:t>
      </w:r>
    </w:p>
    <w:p>
      <w:pPr>
        <w:spacing w:after="0" w:line="143"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 Company’s consolidated balance sheets as of December 31, 2015 and 2014 and its related statements of operations, comprehensive (loss) income, shareholders’ equity, and cash flows presented subsequent to the Transaction for the year ended December 31, 2015 and the period from April 1 through December 31, 2014 are referenced herein as the successor financial statements (the “Successor” or “Successor Financial Statements”). The period April 1 through December 31, 2014 is referenced herein as the “Successor Period ended December 31, 2014.” The Company’s consolidated statements of operations, comprehensive (loss) income, shareholders’ equity and cash flows for the period from January 1 through March 31, 2014 and the year ended December 31, 2013 are referenced herein as the predecessor financial statements (the “Predecessor” or “Predecessor Financial Statements”). The January 1 through March 31, 2014 period is referenced herein as the “Predecessor Period ended March 31,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3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reclassified certain expenses from Miscellaneous (expense) income, net to Selling, general and administrative in the consolidated statements of operations to more appropriately reflect the nature of the expense items in the Successor Period ended December 31, 2014, the Predecessor period ended March 31, 2014 and the Predecessor year ended December 31, 2013, respectively. These changes have no impact on previously reported total revenue, net (loss) income, total comprehensive (loss) income, total assets, total liabilities, and shareholders’ equity.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34"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these estimates.</w:t>
      </w:r>
    </w:p>
    <w:p>
      <w:pPr>
        <w:spacing w:after="0" w:line="141" w:lineRule="exact"/>
        <w:rPr>
          <w:sz w:val="20"/>
          <w:szCs w:val="20"/>
          <w:color w:val="auto"/>
        </w:rPr>
      </w:pPr>
    </w:p>
    <w:p>
      <w:pPr>
        <w:jc w:val="both"/>
        <w:ind w:right="280"/>
        <w:spacing w:after="0" w:line="231" w:lineRule="auto"/>
        <w:rPr>
          <w:sz w:val="20"/>
          <w:szCs w:val="20"/>
          <w:color w:val="auto"/>
        </w:rPr>
      </w:pPr>
      <w:r>
        <w:rPr>
          <w:rFonts w:ascii="Arial" w:cs="Arial" w:eastAsia="Arial" w:hAnsi="Arial"/>
          <w:sz w:val="17"/>
          <w:szCs w:val="17"/>
          <w:color w:val="auto"/>
        </w:rPr>
        <w:t>Significant items that are subject to management estimates and assumptions include service revenue, net, allowances for doubtful accounts, acquisition purchase price allocations, long-lived asset impairment and useful lives, exit liabilities, the valuation of share-based compensation, uncertain income tax positions and contingencies.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34"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On July 25, 2016, the Board of Directors of the Company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34"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The Company emphasizes its full service outsourcing model, providing services focused on the development, management and execution of clinical trials. As part of this full service approach, the Company utilizes centralized systems, customer interface technology, support functions and processes that cross service offerings and align resources to deliver efficient clinical trial services. Given the full service approach, the chief executive officer, who is the chief operating decision maker (“CODM”) assesses the allocation of resources based on key metrics including revenue, backlog, and net awards by service offering and consolidated profitability and consolidated cash flows. Based on the Company’s full service model, internal management and reporting structure, and key metrics used by the CODM to make resource allocation decisions, management has determined that the Company’s operations consist of a single operating segment. Therefore, results of operations are presented as a single reportable segment.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34"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Assets and liabilities recorded in foreign currencies on foreign subsidiary financial statements are translated at the exchange rate on the balance sheet date, while equity accounts are translated at historical exchange rates. Revenue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49" w:right="2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and expenses are recorded at average rates of exchange during the year. Translation adjustments are recorded to Accumulated other comprehensive loss in the consolidated statements of shareholders’ equity and consolidated statements of comprehensive (loss) income.</w:t>
      </w:r>
    </w:p>
    <w:p>
      <w:pPr>
        <w:spacing w:after="0" w:line="141" w:lineRule="exact"/>
        <w:rPr>
          <w:sz w:val="20"/>
          <w:szCs w:val="20"/>
          <w:color w:val="auto"/>
        </w:rPr>
      </w:pPr>
    </w:p>
    <w:p>
      <w:pPr>
        <w:ind w:right="440"/>
        <w:spacing w:after="0" w:line="230" w:lineRule="auto"/>
        <w:rPr>
          <w:sz w:val="20"/>
          <w:szCs w:val="20"/>
          <w:color w:val="auto"/>
        </w:rPr>
      </w:pPr>
      <w:r>
        <w:rPr>
          <w:rFonts w:ascii="Arial" w:cs="Arial" w:eastAsia="Arial" w:hAnsi="Arial"/>
          <w:sz w:val="17"/>
          <w:szCs w:val="17"/>
          <w:color w:val="auto"/>
        </w:rPr>
        <w:t>Separately, net realized gains and losses on foreign currency transactions are included in Miscellaneous (expense) income, net, on the consolidated statements of operations. Foreign currency transactions resulted in net losses of $1.3 million, $1.2 million, $0.1 million and $0.3 million during the Successor year ended December 31, 2015, the Successor Period ended December 31, 2014, the Predecessor Period ended March 31, 2014 and the Predecessor year ended December 31, 2013,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3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generally enters into contracts with customers to provide services ranging in duration from a few months to several years. The contract terms generally provide for payments based on a fixed 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41"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The Company recognizes revenue for services provided on fixed fee arrangements based on the proportional performance methodology, which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Management believes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are updated and any revisions to the existing hours budget result in cumulative adjustments to the amount of revenue recognized in the period in which the revisions are identified.</w:t>
      </w:r>
    </w:p>
    <w:p>
      <w:pPr>
        <w:spacing w:after="0" w:line="148"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Fixed-fee contracts provide for pricing modifications upon scope of work changes. The Company recognizes revenue related to work performed in connection with scope changes when the underlying services are performed, a binding contractual commitment has been executed with the customer and collectability is reasonably assured. Costs are not deferred in anticipation of contracts being awarded or amendments being finalized, but are expensed as incurred.</w:t>
      </w:r>
    </w:p>
    <w:p>
      <w:pPr>
        <w:spacing w:after="0" w:line="141"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For unit-of-service arrangements, the Company recognizes revenue in the period in which the unit is delivered. Service unit elements largely consist of various project management, consulting and analytical testing services.</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Many contractual arrangements combine multiple service elements. For these contracts, arrangement consideration is allocated to identified units of account based on the relative selling price of each unit of account. The best evidence of selling price of a unit of account is vendor specific objective evidence (“VSOE”), which is the price charged when the deliverable is sold separately. When VSOE is not available to determine selling price, management uses relative third party evidence, if available. When neither VSOE nor third party evidence of selling price exists, management uses its best estimate of selling price considering all relevant information that is available.</w:t>
      </w:r>
    </w:p>
    <w:p>
      <w:pPr>
        <w:spacing w:after="0" w:line="14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Most contracts are terminable by the customer, either immediately or according to advance notice terms specified within the contracts. These contracts require payment of fees to the Company for services rendered through the date of termination and may require payment for subsequent services necessary to conclude the study or close out the contract. Final settlement amounts are typically subject to negotiation with the customer. These amounts are included in Service revenue, net when realization is reasonably assured.</w:t>
      </w:r>
    </w:p>
    <w:p>
      <w:pPr>
        <w:spacing w:after="0" w:line="141"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The Company occasionally enters into volume rebate arrangements with customers that provide for rebates if certain specified spending thresholds are met. These rebate obligations are recorded as a reduction of revenue when it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00"/>
          </w:cols>
          <w:pgMar w:left="240" w:top="449" w:right="25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appears probable that the customer will earn the rebates and the related amount is estimable. Service revenue is presented net of rebates of $0.1 million, $0.4 million, $0.1 million and $0.7 million in the consolidated statements of operations during the Successor year ended December 31, 2015, the Successor Period ended December 31, 2014, the Predecessor Period ended March 31, 2014 and the Predecessor year ended December 31, 2013.</w:t>
      </w:r>
    </w:p>
    <w:p>
      <w:pPr>
        <w:spacing w:after="0" w:line="14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Company records revenue net of any tax assessments by governmental authorities that are imposed and concurrent with specific revenue generating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34"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Financial instruments that subject the Company to credit risk primarily consist of cash and cash equivalents and accounts receivable. The cash and cash equivalent balances are held and maintained with financial institutions with reputable credit ratings and, consequently, the Company believes that such funds are subject to minimal credit risk.</w:t>
      </w:r>
    </w:p>
    <w:p>
      <w:pPr>
        <w:spacing w:after="0" w:line="143"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The Company generally does not require collateral or other securities to support customer receivables. In the Successor year ended December 31, 2015, the Successor Period ended December 31, 2014, the Predecessor Period ended March 31, 2014 and the Predecessor year ended December 31, 2013, credit losses have been immaterial and within management’s expectations. At December 31, 2015 and 2014, there were no customers accounting for more than 10% of the Company’s accounts receivable.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34"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Direct costs, excluding depreciation and amortization, include direct labor and related employee benefits, laboratory supplies, and other expenses contributing to service delivery. Direct costs, excluding depreciation and amortization, are expensed as incurred and are not deferred in anticipation of contracts being awarded or finalization of changes in scope. Selling, general and administrative includes administrative payroll and related employee benefits, sales and marketing expenses, administrative travel, and other expenses not directly related to service delivery. Rent, utilities, supplies, and software license expenses are allocated between Direct costs, excluding depreciation and amortization, and Selling, general and administrative based on the estimated contribution among service delivery and support function efforts on a percentage basis. Depreciation and amortization is reported separately in the accompanying consolidated statements of operations. Costs of sales and marketing activities not subject to recovery pursuant to customer contracts, such as feasibility assessments and negotiation of contracts, are expensed as incurred and recorded as a component of Selling, general and administrative in the accompanying consolidated statements of operations.</w:t>
      </w:r>
    </w:p>
    <w:p>
      <w:pPr>
        <w:spacing w:after="0" w:line="14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Advertising expenses are recorded as a component of Selling, general and administrative in the accompanying consolidated statements of operations. Total advertising expenses of $0.4 million, $0.2 million, $0.1 million, and $0.3 million were incurred during the Successor year ended December 31, 2015, the Successor Period ended December 31, 2014, the Predecessor Period ended March 31, 2014, and the Predecessor year ended December 31, 2013,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Reimbursed Out-of-Pocket Expenses</w:t>
      </w:r>
    </w:p>
    <w:p>
      <w:pPr>
        <w:spacing w:after="0" w:line="34"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color w:val="auto"/>
        </w:rPr>
        <w:t>The Company incurs on behalf of its clients various out-of-pocket expenditures including, but not limited to, travel, meetings, printing, and shipping and handling fees, which are reflected as a separate component of operating expenses and recorded in Reimbursed out-of-pocket expenses in the accompanying consolidated statements of operations. Reimbursements received are reflected in Reimbursed out-of-pocket revenue without mark-up or profit in the consolidated statements of operations.</w:t>
      </w:r>
    </w:p>
    <w:p>
      <w:pPr>
        <w:spacing w:after="0" w:line="141"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Fees paid to investigators and other disbursements in which the Company acts as an agent on behalf of the client are recorded net in the consolidated statements of operations with no impact on the Company’s revenue or expenses. Funds received in advance of study expenditures are recorded as Pre-funded study cost liabilities on the consolidated balance sheets. Any pre-funded amounts remaining at the conclusion of a study are returned to the client. Pre-funded study cost disbursements of $114.4 million, $92.5 million, $30.9 million, and $104.6 million were made during the Successor year ended December 31, 2015, the Successor Period ended December 31, 2014, the Predecessor Period ended March 31, 2014, and the Predecessor year ended December 31, 2013,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3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Company’s consolidated U.S. federal income tax return is comprised of its U.S. subsidiaries and a small number of its foreign subsidiaries. All foreign subsidiaries of the Company file tax returns in their local jurisdictions.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449" w:right="2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40"/>
        <w:spacing w:after="0" w:line="231" w:lineRule="auto"/>
        <w:rPr>
          <w:sz w:val="20"/>
          <w:szCs w:val="20"/>
          <w:color w:val="auto"/>
        </w:rPr>
      </w:pPr>
      <w:r>
        <w:rPr>
          <w:rFonts w:ascii="Arial" w:cs="Arial" w:eastAsia="Arial" w:hAnsi="Arial"/>
          <w:sz w:val="17"/>
          <w:szCs w:val="17"/>
          <w:color w:val="auto"/>
        </w:rPr>
        <w:t>The Company provides for income taxes on all transactions that have been recognized in the consolidated financial statements in accordance with accounting guidance governing income tax accounting. Accordingly, the impact of changes in income tax laws on deferred tax assets and deferred tax liabilities are recognized in net earnings in the period during which such changes are enacted.</w:t>
      </w:r>
    </w:p>
    <w:p>
      <w:pPr>
        <w:spacing w:after="0" w:line="14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 Company records deferred tax assets and liabilities based on temporary differences between the financial statement bases and tax bases of assets and liabilities. Deferred tax assets are recorded for tax benefit carryforwards using tax rates anticipated to be in effect in the year in which the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 The value of the Company’s deferred tax assets is estimated based on, among other things, the Company’s ability to generate a sufficient level of future taxable income. In estimating future taxable income, the Company has considered both positive and negative evidence, such as historical and forecasted results of operations, and has considered the implementation of prudent and feasible tax planning strategies.</w:t>
      </w:r>
    </w:p>
    <w:p>
      <w:pPr>
        <w:spacing w:after="0" w:line="1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provision has not been made for U.S. or additional foreign taxes on the undistributed portion of earnings of foreign subsidiaries as those earnings of $10.4 million as of December 31, 2015, have been permanently reinvested.</w:t>
      </w:r>
    </w:p>
    <w:p>
      <w:pPr>
        <w:spacing w:after="0" w:line="141"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The Company follows accounting guidance related to accounting for uncertainty in income taxes which requires significant judgment in determining what constitutes an individual tax position as well as assessing the possible outcome of each tax position. Changes in judgments as to recognition or measurement of tax positions can materially affect the estimate of the effective tax rate, and, consequently, the Company’s consolidated financial results. The Company considers many factors when evaluating and estimating tax positions and tax benefits, which may require periodic adjustments and which may not accurately anticipate actual outcomes. In addition, the calculation of tax liabilities involves dealing with uncertainties in the application of complex tax regulations in a multitude of jurisdictions. The Company determines its liability for uncertain tax positions globally. If the payment of these amounts ultimately proves to be unnecessary, the reversal of liabilities would result in tax benefits being recognized in the period when it is determined the liabilities are no longer necessary. If the calculation of the liability related to uncertain tax positions proves to be more or less than the ultimate assessment, a tax expense or tax benefit would result. Interest and penalties associated with uncertain tax positions are recognized as components of the Company’s Income tax provision (benefit).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Credits</w:t>
      </w:r>
    </w:p>
    <w:p>
      <w:pPr>
        <w:spacing w:after="0" w:line="34"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Research and development credits are available to the Company under tax laws in certain jurisdictions, based on qualifying research and development spend as defined under those tax laws. Certain tax jurisdictions provide refundable credits that are not wholly dependent on the Company’s income tax status or income tax position. In these circumstances the benefit of the credits is recorded as a reduction of operating expense. When they are wholly dependent upon the Company’s income tax position, research and development credits are recognized as a reduction of income tax expense.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stock-based employee compensation plans for which it incurs compensation expense.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Equity Awards</w:t>
      </w:r>
    </w:p>
    <w:p>
      <w:pPr>
        <w:spacing w:after="0" w:line="32"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Successor, coinciding with the Transaction, created an equity incentive plan for employees (the “Successor Plan”), providing for the future issuance of vested shares, stock options, restricted stock awards (“RSAs”) and restricted stock units (“RSUs”) in Medpace Holdings, Inc.’s common stock (the “Successor Awards”). The Successor Awards are subject to either equity or liability-classification pursuant to the terms of the participant’s award agreement and the Successor Plan based on accounting guidance which governs such transactions.</w:t>
      </w:r>
    </w:p>
    <w:p>
      <w:pPr>
        <w:spacing w:after="0" w:line="141" w:lineRule="exact"/>
        <w:rPr>
          <w:sz w:val="20"/>
          <w:szCs w:val="20"/>
          <w:color w:val="auto"/>
        </w:rPr>
      </w:pPr>
    </w:p>
    <w:p>
      <w:pPr>
        <w:jc w:val="both"/>
        <w:ind w:right="40"/>
        <w:spacing w:after="0" w:line="229" w:lineRule="auto"/>
        <w:rPr>
          <w:sz w:val="20"/>
          <w:szCs w:val="20"/>
          <w:color w:val="auto"/>
        </w:rPr>
      </w:pPr>
      <w:r>
        <w:rPr>
          <w:rFonts w:ascii="Arial" w:cs="Arial" w:eastAsia="Arial" w:hAnsi="Arial"/>
          <w:sz w:val="17"/>
          <w:szCs w:val="17"/>
          <w:color w:val="auto"/>
        </w:rPr>
        <w:t>Stock-based compensation expense is calculated using the fair value method on the grant date. The Successor expenses stock-based compensation using a graded vesting schedule. For liability-classified awards, the Company records fair value adjustments up to and including the settlement date. Changes in the fair value of the stock compensation liability that occur during the requisite service period are recognized as compensation cost over the vesting period. Changes in the fair value of the stock compensation liability that occur after the end of the requisite service period but before settlement, are compensation cost of the period in which the change occurs.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49"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Stock-based compensation expense is allocated between Direct costs, excluding depreciation and amortization, and Selling, general and administrative in the consolidated statements of operations based on the underlying classification and scope of work for the employees receiving the Successor Awards. The stock-based compensation expense represents awards ultimately expected to vest and, as such, has been reduced for estimated forfeitures.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Equity Awards</w:t>
      </w:r>
    </w:p>
    <w:p>
      <w:pPr>
        <w:spacing w:after="0" w:line="32" w:lineRule="exact"/>
        <w:rPr>
          <w:sz w:val="20"/>
          <w:szCs w:val="20"/>
          <w:color w:val="auto"/>
        </w:rPr>
      </w:pPr>
    </w:p>
    <w:p>
      <w:pPr>
        <w:ind w:right="1060"/>
        <w:spacing w:after="0" w:line="235" w:lineRule="auto"/>
        <w:rPr>
          <w:sz w:val="20"/>
          <w:szCs w:val="20"/>
          <w:color w:val="auto"/>
        </w:rPr>
      </w:pPr>
      <w:r>
        <w:rPr>
          <w:rFonts w:ascii="Arial" w:cs="Arial" w:eastAsia="Arial" w:hAnsi="Arial"/>
          <w:sz w:val="17"/>
          <w:szCs w:val="17"/>
          <w:color w:val="auto"/>
        </w:rPr>
        <w:t>The Predecessor awards, consisting of stock options and restricted share awards, are equity-classified instruments based on the terms of the Predecessor’s equity incentive plans and on accounting guidance which governs such transactions.</w:t>
      </w:r>
    </w:p>
    <w:p>
      <w:pPr>
        <w:spacing w:after="0" w:line="141"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The Predecessor determined the fair value of stock options and restricted shares on the grant date and recognized the associated compensation expense, net of assumed forfeitures, according to a graded vesting schedule as the requisite services were rendered. Restricted shares and stock options vested ratably over three and four years, respectively, from the date of grant.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34"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Successor Company’s RSAs are considered participating securities because they are legally issued at the date of grant and holders are entitled to receive non-forfeitable dividends during the vesting term. Basic EPS is computed by dividing the Company’s net income or loss available to common shareholders by the weighted average number of common shares outstanding and, if appropriate, participating securities outstanding during the period. Participating securities are included in the basic EPS denominator during periods when there is consolidated net income but excluded from the denominator during periods of a consolidated net loss as the shares have no contractual obligation to share in the Company’s losses. The computation of diluted EPS includes additional common shares, such as unvested RSUs and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00"/>
          </w:cols>
          <w:pgMar w:left="240" w:top="449" w:right="25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80"/>
        <w:spacing w:after="0" w:line="231" w:lineRule="auto"/>
        <w:rPr>
          <w:sz w:val="20"/>
          <w:szCs w:val="20"/>
          <w:color w:val="auto"/>
        </w:rPr>
      </w:pPr>
      <w:r>
        <w:rPr>
          <w:rFonts w:ascii="Arial" w:cs="Arial" w:eastAsia="Arial" w:hAnsi="Arial"/>
          <w:sz w:val="17"/>
          <w:szCs w:val="17"/>
          <w:color w:val="auto"/>
        </w:rPr>
        <w:t>The following table provides a reconciliation of the denominators for the EPS calculations as well as additional share data that was excluded from the denominators when the additional shares had an anti-dilutive effect caused by the consolidated net loss during the Successor year ended December 31, 2015, the Successor Period ended December 31, 2014 and the Predecessor Period ended March 31,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3660" w:type="dxa"/>
            <w:vAlign w:val="bottom"/>
            <w:gridSpan w:val="5"/>
          </w:tcPr>
          <w:p>
            <w:pPr>
              <w:ind w:left="800"/>
              <w:spacing w:after="0"/>
              <w:rPr>
                <w:sz w:val="20"/>
                <w:szCs w:val="20"/>
                <w:color w:val="auto"/>
              </w:rPr>
            </w:pPr>
            <w:r>
              <w:rPr>
                <w:rFonts w:ascii="Arial" w:cs="Arial" w:eastAsia="Arial" w:hAnsi="Arial"/>
                <w:sz w:val="14"/>
                <w:szCs w:val="14"/>
                <w:b w:val="1"/>
                <w:bCs w:val="1"/>
                <w:color w:val="auto"/>
              </w:rPr>
              <w:t>SUCCESSOR</w:t>
            </w:r>
          </w:p>
        </w:tc>
        <w:tc>
          <w:tcPr>
            <w:tcW w:w="2920" w:type="dxa"/>
            <w:vAlign w:val="bottom"/>
            <w:gridSpan w:val="4"/>
          </w:tcPr>
          <w:p>
            <w:pPr>
              <w:ind w:left="8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9"/>
        </w:trPr>
        <w:tc>
          <w:tcPr>
            <w:tcW w:w="484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rPr>
              <w:t>YEAR ENDED</w:t>
            </w:r>
          </w:p>
        </w:tc>
        <w:tc>
          <w:tcPr>
            <w:tcW w:w="10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PERIOD ENDED</w:t>
            </w:r>
          </w:p>
        </w:tc>
        <w:tc>
          <w:tcPr>
            <w:tcW w:w="38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Borders>
              <w:top w:val="single" w:sz="8" w:color="auto"/>
            </w:tcBorders>
            <w:gridSpan w:val="2"/>
          </w:tcPr>
          <w:p>
            <w:pPr>
              <w:jc w:val="center"/>
              <w:ind w:right="720"/>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40" w:type="dxa"/>
            <w:vAlign w:val="bottom"/>
          </w:tcPr>
          <w:p>
            <w:pPr>
              <w:spacing w:after="0"/>
              <w:rPr>
                <w:sz w:val="13"/>
                <w:szCs w:val="13"/>
                <w:color w:val="auto"/>
              </w:rPr>
            </w:pPr>
          </w:p>
        </w:tc>
        <w:tc>
          <w:tcPr>
            <w:tcW w:w="142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460" w:type="dxa"/>
            <w:vAlign w:val="bottom"/>
            <w:tcBorders>
              <w:right w:val="single" w:sz="8" w:color="auto"/>
            </w:tcBorders>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3"/>
                <w:szCs w:val="13"/>
                <w:color w:val="auto"/>
              </w:rPr>
            </w:pPr>
          </w:p>
        </w:tc>
        <w:tc>
          <w:tcPr>
            <w:tcW w:w="1780" w:type="dxa"/>
            <w:vAlign w:val="bottom"/>
            <w:gridSpan w:val="2"/>
          </w:tcPr>
          <w:p>
            <w:pPr>
              <w:jc w:val="center"/>
              <w:ind w:right="720"/>
              <w:spacing w:after="0" w:line="157" w:lineRule="exact"/>
              <w:rPr>
                <w:sz w:val="20"/>
                <w:szCs w:val="20"/>
                <w:color w:val="auto"/>
              </w:rPr>
            </w:pPr>
            <w:r>
              <w:rPr>
                <w:rFonts w:ascii="Arial" w:cs="Arial" w:eastAsia="Arial" w:hAnsi="Arial"/>
                <w:sz w:val="14"/>
                <w:szCs w:val="14"/>
                <w:b w:val="1"/>
                <w:bCs w:val="1"/>
                <w:color w:val="auto"/>
                <w:w w:val="98"/>
              </w:rPr>
              <w:t>MARCH 31,</w:t>
            </w:r>
          </w:p>
        </w:tc>
        <w:tc>
          <w:tcPr>
            <w:tcW w:w="11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right w:val="single" w:sz="8" w:color="auto"/>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7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Basic, weighted average shares:</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40" w:type="dxa"/>
            <w:vAlign w:val="bottom"/>
          </w:tcPr>
          <w:p>
            <w:pPr>
              <w:ind w:left="260"/>
              <w:spacing w:after="0" w:line="184" w:lineRule="exact"/>
              <w:rPr>
                <w:sz w:val="20"/>
                <w:szCs w:val="20"/>
                <w:color w:val="auto"/>
              </w:rPr>
            </w:pPr>
            <w:r>
              <w:rPr>
                <w:rFonts w:ascii="Arial" w:cs="Arial" w:eastAsia="Arial" w:hAnsi="Arial"/>
                <w:sz w:val="17"/>
                <w:szCs w:val="17"/>
                <w:color w:val="auto"/>
              </w:rPr>
              <w:t>Common Shares</w:t>
            </w:r>
          </w:p>
        </w:tc>
        <w:tc>
          <w:tcPr>
            <w:tcW w:w="1420" w:type="dxa"/>
            <w:vAlign w:val="bottom"/>
            <w:gridSpan w:val="2"/>
          </w:tcPr>
          <w:p>
            <w:pPr>
              <w:jc w:val="right"/>
              <w:ind w:right="380"/>
              <w:spacing w:after="0" w:line="184" w:lineRule="exact"/>
              <w:rPr>
                <w:sz w:val="20"/>
                <w:szCs w:val="20"/>
                <w:color w:val="auto"/>
              </w:rPr>
            </w:pPr>
            <w:r>
              <w:rPr>
                <w:rFonts w:ascii="Arial" w:cs="Arial" w:eastAsia="Arial" w:hAnsi="Arial"/>
                <w:sz w:val="17"/>
                <w:szCs w:val="17"/>
                <w:color w:val="auto"/>
              </w:rPr>
              <w:t>31,346</w:t>
            </w:r>
          </w:p>
        </w:tc>
        <w:tc>
          <w:tcPr>
            <w:tcW w:w="1460" w:type="dxa"/>
            <w:vAlign w:val="bottom"/>
            <w:tcBorders>
              <w:right w:val="single" w:sz="8" w:color="auto"/>
            </w:tcBorders>
            <w:gridSpan w:val="2"/>
          </w:tcPr>
          <w:p>
            <w:pPr>
              <w:jc w:val="right"/>
              <w:ind w:right="380"/>
              <w:spacing w:after="0" w:line="184" w:lineRule="exact"/>
              <w:rPr>
                <w:sz w:val="20"/>
                <w:szCs w:val="20"/>
                <w:color w:val="auto"/>
              </w:rPr>
            </w:pPr>
            <w:r>
              <w:rPr>
                <w:rFonts w:ascii="Arial" w:cs="Arial" w:eastAsia="Arial" w:hAnsi="Arial"/>
                <w:sz w:val="17"/>
                <w:szCs w:val="17"/>
                <w:color w:val="auto"/>
              </w:rPr>
              <w:t>30,869</w:t>
            </w:r>
          </w:p>
        </w:tc>
        <w:tc>
          <w:tcPr>
            <w:tcW w:w="780" w:type="dxa"/>
            <w:vAlign w:val="bottom"/>
          </w:tcPr>
          <w:p>
            <w:pPr>
              <w:spacing w:after="0"/>
              <w:rPr>
                <w:sz w:val="15"/>
                <w:szCs w:val="15"/>
                <w:color w:val="auto"/>
              </w:rPr>
            </w:pPr>
          </w:p>
        </w:tc>
        <w:tc>
          <w:tcPr>
            <w:tcW w:w="1780" w:type="dxa"/>
            <w:vAlign w:val="bottom"/>
            <w:gridSpan w:val="2"/>
          </w:tcPr>
          <w:p>
            <w:pPr>
              <w:jc w:val="right"/>
              <w:ind w:right="720"/>
              <w:spacing w:after="0" w:line="184" w:lineRule="exact"/>
              <w:rPr>
                <w:sz w:val="20"/>
                <w:szCs w:val="20"/>
                <w:color w:val="auto"/>
              </w:rPr>
            </w:pPr>
            <w:r>
              <w:rPr>
                <w:rFonts w:ascii="Arial" w:cs="Arial" w:eastAsia="Arial" w:hAnsi="Arial"/>
                <w:sz w:val="17"/>
                <w:szCs w:val="17"/>
                <w:color w:val="auto"/>
              </w:rPr>
              <w:t>25,047</w:t>
            </w:r>
          </w:p>
        </w:tc>
        <w:tc>
          <w:tcPr>
            <w:tcW w:w="11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24,987</w:t>
            </w: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RSAs</w:t>
            </w:r>
          </w:p>
        </w:tc>
        <w:tc>
          <w:tcPr>
            <w:tcW w:w="10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7"/>
                <w:szCs w:val="17"/>
                <w:color w:val="auto"/>
              </w:rPr>
              <w:t>Weighted average shares—basic</w:t>
            </w: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31,346</w:t>
            </w:r>
          </w:p>
        </w:tc>
        <w:tc>
          <w:tcPr>
            <w:tcW w:w="380" w:type="dxa"/>
            <w:vAlign w:val="bottom"/>
          </w:tcPr>
          <w:p>
            <w:pPr>
              <w:spacing w:after="0"/>
              <w:rPr>
                <w:sz w:val="17"/>
                <w:szCs w:val="17"/>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30,869</w:t>
            </w:r>
          </w:p>
        </w:tc>
        <w:tc>
          <w:tcPr>
            <w:tcW w:w="38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25,047</w:t>
            </w: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25,204</w:t>
            </w: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Diluted, weighted average shares:</w:t>
            </w:r>
          </w:p>
        </w:tc>
        <w:tc>
          <w:tcPr>
            <w:tcW w:w="104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40" w:type="dxa"/>
            <w:vAlign w:val="bottom"/>
          </w:tcPr>
          <w:p>
            <w:pPr>
              <w:ind w:left="260"/>
              <w:spacing w:after="0" w:line="184" w:lineRule="exact"/>
              <w:rPr>
                <w:sz w:val="20"/>
                <w:szCs w:val="20"/>
                <w:color w:val="auto"/>
              </w:rPr>
            </w:pPr>
            <w:r>
              <w:rPr>
                <w:rFonts w:ascii="Arial" w:cs="Arial" w:eastAsia="Arial" w:hAnsi="Arial"/>
                <w:sz w:val="17"/>
                <w:szCs w:val="17"/>
                <w:color w:val="auto"/>
              </w:rPr>
              <w:t>RSUs, unvested</w:t>
            </w:r>
          </w:p>
        </w:tc>
        <w:tc>
          <w:tcPr>
            <w:tcW w:w="1420" w:type="dxa"/>
            <w:vAlign w:val="bottom"/>
            <w:gridSpan w:val="2"/>
          </w:tcPr>
          <w:p>
            <w:pPr>
              <w:jc w:val="right"/>
              <w:ind w:right="380"/>
              <w:spacing w:after="0" w:line="184" w:lineRule="exact"/>
              <w:rPr>
                <w:sz w:val="20"/>
                <w:szCs w:val="20"/>
                <w:color w:val="auto"/>
              </w:rPr>
            </w:pPr>
            <w:r>
              <w:rPr>
                <w:rFonts w:ascii="Arial" w:cs="Arial" w:eastAsia="Arial" w:hAnsi="Arial"/>
                <w:sz w:val="17"/>
                <w:szCs w:val="17"/>
                <w:color w:val="auto"/>
              </w:rPr>
              <w:t>—</w:t>
            </w:r>
          </w:p>
        </w:tc>
        <w:tc>
          <w:tcPr>
            <w:tcW w:w="1460" w:type="dxa"/>
            <w:vAlign w:val="bottom"/>
            <w:tcBorders>
              <w:right w:val="single" w:sz="8" w:color="auto"/>
            </w:tcBorders>
            <w:gridSpan w:val="2"/>
          </w:tcPr>
          <w:p>
            <w:pPr>
              <w:jc w:val="right"/>
              <w:ind w:right="380"/>
              <w:spacing w:after="0" w:line="184" w:lineRule="exact"/>
              <w:rPr>
                <w:sz w:val="20"/>
                <w:szCs w:val="20"/>
                <w:color w:val="auto"/>
              </w:rPr>
            </w:pPr>
            <w:r>
              <w:rPr>
                <w:rFonts w:ascii="Arial" w:cs="Arial" w:eastAsia="Arial" w:hAnsi="Arial"/>
                <w:sz w:val="17"/>
                <w:szCs w:val="17"/>
                <w:color w:val="auto"/>
              </w:rPr>
              <w:t>—</w:t>
            </w:r>
          </w:p>
        </w:tc>
        <w:tc>
          <w:tcPr>
            <w:tcW w:w="780" w:type="dxa"/>
            <w:vAlign w:val="bottom"/>
          </w:tcPr>
          <w:p>
            <w:pPr>
              <w:spacing w:after="0"/>
              <w:rPr>
                <w:sz w:val="15"/>
                <w:szCs w:val="15"/>
                <w:color w:val="auto"/>
              </w:rPr>
            </w:pPr>
          </w:p>
        </w:tc>
        <w:tc>
          <w:tcPr>
            <w:tcW w:w="1780" w:type="dxa"/>
            <w:vAlign w:val="bottom"/>
            <w:gridSpan w:val="2"/>
          </w:tcPr>
          <w:p>
            <w:pPr>
              <w:jc w:val="right"/>
              <w:ind w:right="720"/>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In-the-money options</w:t>
            </w:r>
          </w:p>
        </w:tc>
        <w:tc>
          <w:tcPr>
            <w:tcW w:w="10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7"/>
                <w:szCs w:val="17"/>
                <w:color w:val="auto"/>
              </w:rPr>
              <w:t>Weighted average shares—diluted</w:t>
            </w: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vMerge w:val="continue"/>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31,346</w:t>
            </w:r>
          </w:p>
        </w:tc>
        <w:tc>
          <w:tcPr>
            <w:tcW w:w="3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30,869</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25,047</w:t>
            </w: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26,150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Exclusions from EPS denominator:</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40" w:type="dxa"/>
            <w:vAlign w:val="bottom"/>
          </w:tcPr>
          <w:p>
            <w:pPr>
              <w:ind w:left="260"/>
              <w:spacing w:after="0" w:line="184" w:lineRule="exact"/>
              <w:rPr>
                <w:sz w:val="20"/>
                <w:szCs w:val="20"/>
                <w:color w:val="auto"/>
              </w:rPr>
            </w:pPr>
            <w:r>
              <w:rPr>
                <w:rFonts w:ascii="Arial" w:cs="Arial" w:eastAsia="Arial" w:hAnsi="Arial"/>
                <w:sz w:val="17"/>
                <w:szCs w:val="17"/>
                <w:color w:val="auto"/>
              </w:rPr>
              <w:t>Exclusions from basic, weighted average shares: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RSAs (no obligation to share in losses)</w:t>
            </w:r>
          </w:p>
        </w:tc>
        <w:tc>
          <w:tcPr>
            <w:tcW w:w="1420" w:type="dxa"/>
            <w:vAlign w:val="bottom"/>
            <w:gridSpan w:val="2"/>
            <w:shd w:val="clear" w:color="auto" w:fill="CCEEFF"/>
          </w:tcPr>
          <w:p>
            <w:pPr>
              <w:jc w:val="right"/>
              <w:ind w:right="380"/>
              <w:spacing w:after="0" w:line="184" w:lineRule="exact"/>
              <w:rPr>
                <w:sz w:val="20"/>
                <w:szCs w:val="20"/>
                <w:color w:val="auto"/>
              </w:rPr>
            </w:pPr>
            <w:r>
              <w:rPr>
                <w:rFonts w:ascii="Arial" w:cs="Arial" w:eastAsia="Arial" w:hAnsi="Arial"/>
                <w:sz w:val="17"/>
                <w:szCs w:val="17"/>
                <w:color w:val="auto"/>
              </w:rPr>
              <w:t>574</w:t>
            </w:r>
          </w:p>
        </w:tc>
        <w:tc>
          <w:tcPr>
            <w:tcW w:w="1460" w:type="dxa"/>
            <w:vAlign w:val="bottom"/>
            <w:tcBorders>
              <w:right w:val="single" w:sz="8" w:color="auto"/>
            </w:tcBorders>
            <w:gridSpan w:val="2"/>
            <w:shd w:val="clear" w:color="auto" w:fill="CCEEFF"/>
          </w:tcPr>
          <w:p>
            <w:pPr>
              <w:jc w:val="right"/>
              <w:ind w:right="380"/>
              <w:spacing w:after="0" w:line="184" w:lineRule="exact"/>
              <w:rPr>
                <w:sz w:val="20"/>
                <w:szCs w:val="20"/>
                <w:color w:val="auto"/>
              </w:rPr>
            </w:pPr>
            <w:r>
              <w:rPr>
                <w:rFonts w:ascii="Arial" w:cs="Arial" w:eastAsia="Arial" w:hAnsi="Arial"/>
                <w:sz w:val="17"/>
                <w:szCs w:val="17"/>
                <w:color w:val="auto"/>
              </w:rPr>
              <w:t>250</w:t>
            </w:r>
          </w:p>
        </w:tc>
        <w:tc>
          <w:tcPr>
            <w:tcW w:w="7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237</w:t>
            </w: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4"/>
        </w:trPr>
        <w:tc>
          <w:tcPr>
            <w:tcW w:w="4840" w:type="dxa"/>
            <w:vAlign w:val="bottom"/>
          </w:tcPr>
          <w:p>
            <w:pPr>
              <w:ind w:left="260"/>
              <w:spacing w:after="0" w:line="184" w:lineRule="exact"/>
              <w:rPr>
                <w:sz w:val="20"/>
                <w:szCs w:val="20"/>
                <w:color w:val="auto"/>
              </w:rPr>
            </w:pPr>
            <w:r>
              <w:rPr>
                <w:rFonts w:ascii="Arial" w:cs="Arial" w:eastAsia="Arial" w:hAnsi="Arial"/>
                <w:sz w:val="17"/>
                <w:szCs w:val="17"/>
                <w:color w:val="auto"/>
              </w:rPr>
              <w:t>Additional exclusions from diluted, weighted average</w:t>
            </w:r>
          </w:p>
        </w:tc>
        <w:tc>
          <w:tcPr>
            <w:tcW w:w="10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tcPr>
          <w:p>
            <w:pPr>
              <w:ind w:left="500"/>
              <w:spacing w:after="0" w:line="189" w:lineRule="exact"/>
              <w:rPr>
                <w:sz w:val="20"/>
                <w:szCs w:val="20"/>
                <w:color w:val="auto"/>
              </w:rPr>
            </w:pPr>
            <w:r>
              <w:rPr>
                <w:rFonts w:ascii="Arial" w:cs="Arial" w:eastAsia="Arial" w:hAnsi="Arial"/>
                <w:sz w:val="17"/>
                <w:szCs w:val="17"/>
                <w:color w:val="auto"/>
              </w:rPr>
              <w:t>shares: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RSUs, unvested</w:t>
            </w:r>
          </w:p>
        </w:tc>
        <w:tc>
          <w:tcPr>
            <w:tcW w:w="10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86</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52</w:t>
            </w:r>
          </w:p>
        </w:tc>
        <w:tc>
          <w:tcPr>
            <w:tcW w:w="3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7"/>
                <w:szCs w:val="17"/>
                <w:color w:val="auto"/>
              </w:rPr>
              <w:t>Total anti-dilutive shares</w:t>
            </w: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vMerge w:val="continue"/>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86</w:t>
            </w:r>
          </w:p>
        </w:tc>
        <w:tc>
          <w:tcPr>
            <w:tcW w:w="3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52</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shares excluded from diluted EPS denominator</w:t>
            </w:r>
          </w:p>
        </w:tc>
        <w:tc>
          <w:tcPr>
            <w:tcW w:w="10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660</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302</w:t>
            </w:r>
          </w:p>
        </w:tc>
        <w:tc>
          <w:tcPr>
            <w:tcW w:w="3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237</w:t>
            </w: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For the Successor year ended December 31, 2015 and Successor Period ended December 31, 2014, the computation of diluted EPS also excludes the effect of 1,794,709 and 1,091,048 stock options, respectively, due to the Company’s net loss positions as well as the respective period’s average fair value of the Company’s common stock exceeded the exercise prices. During the Predecessor Period ended March 31, 2014, there are no additional dilutive shares as all stock options and restricted shares were vested, exercised, or terminated, as applicable, at period end.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47"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Valuations based on quoted prices in active markets for identical assets or liabilities.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2: Valuations based on directly observable inputs or unobservable inputs corroborated by market data.</w:t>
      </w:r>
    </w:p>
    <w:p>
      <w:pPr>
        <w:spacing w:after="0" w:line="145" w:lineRule="exact"/>
        <w:rPr>
          <w:sz w:val="20"/>
          <w:szCs w:val="20"/>
          <w:color w:val="auto"/>
        </w:rPr>
      </w:pPr>
    </w:p>
    <w:p>
      <w:pPr>
        <w:ind w:left="340" w:right="60"/>
        <w:spacing w:after="0" w:line="235" w:lineRule="auto"/>
        <w:rPr>
          <w:sz w:val="20"/>
          <w:szCs w:val="20"/>
          <w:color w:val="auto"/>
        </w:rPr>
      </w:pPr>
      <w:r>
        <w:rPr>
          <w:rFonts w:ascii="Arial" w:cs="Arial" w:eastAsia="Arial" w:hAnsi="Arial"/>
          <w:sz w:val="17"/>
          <w:szCs w:val="17"/>
          <w:color w:val="auto"/>
        </w:rPr>
        <w:t>Level 3: Valuations based on unobservable inputs supported by little or no market activity representing management’s determination of assumptions of how market participants would price the assets or liabilities.</w:t>
      </w:r>
    </w:p>
    <w:p>
      <w:pPr>
        <w:spacing w:after="0" w:line="141"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The fair value of financial instruments such as cash and cash equivalents, billed accounts receivable, net, unbilled services, accounts payable, accrued expenses, and advanced billings approximate their carrying amounts due to their short term maturities.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49"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100"/>
        <w:spacing w:after="0" w:line="231" w:lineRule="auto"/>
        <w:rPr>
          <w:sz w:val="20"/>
          <w:szCs w:val="20"/>
          <w:color w:val="auto"/>
        </w:rPr>
      </w:pPr>
      <w:r>
        <w:rPr>
          <w:rFonts w:ascii="Arial" w:cs="Arial" w:eastAsia="Arial" w:hAnsi="Arial"/>
          <w:sz w:val="17"/>
          <w:szCs w:val="17"/>
          <w:color w:val="auto"/>
        </w:rPr>
        <w:t>The Company does not have any recurring fair value measurements as of December 31, 2015. There were no transfers between Level 1, Level 2, or Level 3 during the Successor year ended December 31, 2015, the Successor Period ended December 31, 2014, the Predecessor Period ended March 31, 2014, or the Predecessor year ended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w:t>
      </w:r>
    </w:p>
    <w:p>
      <w:pPr>
        <w:spacing w:after="0" w:line="32"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Certain assets are measured on the accompanying consolidated balance sheets at cost and are not remeasured to fair value on a recurring basis. Total assets carried on the balance sheet and not remeasured to fair value on a recurring basis, identified as Level 3 measurements, as of December 31, 2015 are $693 million, comprised of $661 million of goodwill and $32 million of identified indefinite-lived intangible assets. During 2015, the Company recognized approximately $9.3 million of impairment related to goodwill.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 including Restricted Cash</w:t>
      </w:r>
    </w:p>
    <w:p>
      <w:pPr>
        <w:spacing w:after="0" w:line="34"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Cash and cash equivalents, including restricted cash, are invested in demand deposits, all of which have an original maturity of three months or less. Restricted cash consists of customer funds received in advance and subject to specific restrictions, as well as amounts placed in escrow for contingent payments resulting from acquisitions or other contractual arrangements. The Company includes changes in restricted cash balances as part of operating activities in the consolidated statements of cash flows.</w:t>
      </w:r>
    </w:p>
    <w:p>
      <w:pPr>
        <w:spacing w:after="0" w:line="141" w:lineRule="exact"/>
        <w:rPr>
          <w:sz w:val="20"/>
          <w:szCs w:val="20"/>
          <w:color w:val="auto"/>
        </w:rPr>
      </w:pPr>
    </w:p>
    <w:p>
      <w:pPr>
        <w:ind w:right="260"/>
        <w:spacing w:after="0" w:line="231" w:lineRule="auto"/>
        <w:rPr>
          <w:sz w:val="20"/>
          <w:szCs w:val="20"/>
          <w:color w:val="auto"/>
        </w:rPr>
      </w:pPr>
      <w:r>
        <w:rPr>
          <w:rFonts w:ascii="Arial" w:cs="Arial" w:eastAsia="Arial" w:hAnsi="Arial"/>
          <w:sz w:val="17"/>
          <w:szCs w:val="17"/>
          <w:color w:val="auto"/>
        </w:rPr>
        <w:t>In addition, Prepaid expenses and other current assets and Other assets in the consolidated balance sheets include $0.7 million and $0.8 million of cash held as collateral in support of a property mortgage in Leuven, Belgium at December 31, 2015 and 2014, respectively. The property mortgage was fully repaid during 2015 and the Company received a full refund during the first quarter of 2016.</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Unbilled Services</w:t>
      </w:r>
    </w:p>
    <w:p>
      <w:pPr>
        <w:spacing w:after="0" w:line="34"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Accounts receivable represent amounts due from the Company’s customers who are concentrated primarily in the pharmaceutical, biotechnology, and medical device industries. Unbilled services represent service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36" w:lineRule="exact"/>
        <w:rPr>
          <w:sz w:val="20"/>
          <w:szCs w:val="20"/>
          <w:color w:val="auto"/>
        </w:rPr>
      </w:pPr>
    </w:p>
    <w:p>
      <w:pPr>
        <w:ind w:right="280"/>
        <w:spacing w:after="0" w:line="229" w:lineRule="auto"/>
        <w:rPr>
          <w:sz w:val="20"/>
          <w:szCs w:val="20"/>
          <w:color w:val="auto"/>
        </w:rPr>
      </w:pPr>
      <w:r>
        <w:rPr>
          <w:rFonts w:ascii="Arial" w:cs="Arial" w:eastAsia="Arial" w:hAnsi="Arial"/>
          <w:sz w:val="17"/>
          <w:szCs w:val="17"/>
          <w:color w:val="auto"/>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Inventory, which consists primarily of laboratory supplies, is valued at the lower of cost or market. Inventory is stated at purchased cost using the first-in, first out (FIFO) cost method. The inventory balance is included in Prepaid expenses and other current assets in the consolidated balance sheets.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3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Property and equipment is recorded at cost. Depreciation is provided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The Company capitalizes costs of computer software developed for internal use and amortizes these costs on a straight-line basis over the estimated useful life, not to exceed three years. Leasehold improvements and deemed assets from landlord building construction are capitalized and amortized on a straight-line basis over the shorter of the estimated useful life of the improvement or the associated remaining lease term. Repairs and maintenance are expensed as incurred.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34"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The Company leases facilities and equipment to be used in its operations, some of which require capitalization in accordance with US GAAP. Upon the execution of new leases, the Company determines the appropriate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449"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classification of the lease as operating or capital and reflects the impact of this classification in its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37"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The carrying value of goodwill is reviewed at least annually for impairment, or as indicators of potential impairment are identified, at the reporting unit level. The reporting units are Phase II-IV clinical research services, Laboratories, and Clinics as of December 31, 2015.</w:t>
      </w:r>
    </w:p>
    <w:p>
      <w:pPr>
        <w:spacing w:after="0" w:line="14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performs its annual impairment tests during the fourth quarter each year, utilizing the quantitative two step model defined by accounting guidance which governs such assessments. The first step involves the Company comparing each of its reporting unit carrying values, inclusive of assigned goodwill, to their respective estimated fair values. Fair value is estimated using a combination of the income approach, a discounted cash flow analysis, and the market approach, utilizing the guideline company method.</w:t>
      </w:r>
    </w:p>
    <w:p>
      <w:pPr>
        <w:spacing w:after="0" w:line="141"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If the calculation in the first step results in any of the reporting units’ carrying values exceeding their respective estimated fair values, a second step is performed. The second step requires the Company to allocate the fair value of the reporting unit derived in the first step to the fair value of the reporting unit’s net assets. Any fair value in excess of amounts allocated to such net assets represent the implied fair value of goodwill for that reporting unit. Any excess of reporting unit carrying value of goodwill over the implied fair value of goodwill results in an impairment. The annual impairment test of goodwill performed in the fourth quarter of 2015 resulted in an impairment charge of $9.3 million related to the Company’s Clinics reporting unit.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45"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The Company has an indefinite lived intangible asset related to its trade name.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There was no indication of impairment related to the trade name asset based on the fourth quarter 2015 assessment.</w:t>
      </w:r>
    </w:p>
    <w:p>
      <w:pPr>
        <w:spacing w:after="0" w:line="141" w:lineRule="exact"/>
        <w:rPr>
          <w:sz w:val="20"/>
          <w:szCs w:val="20"/>
          <w:color w:val="auto"/>
        </w:rPr>
      </w:pPr>
    </w:p>
    <w:p>
      <w:pPr>
        <w:jc w:val="both"/>
        <w:ind w:right="220"/>
        <w:spacing w:after="0" w:line="231" w:lineRule="auto"/>
        <w:rPr>
          <w:sz w:val="20"/>
          <w:szCs w:val="20"/>
          <w:color w:val="auto"/>
        </w:rPr>
      </w:pPr>
      <w:r>
        <w:rPr>
          <w:rFonts w:ascii="Arial" w:cs="Arial" w:eastAsia="Arial" w:hAnsi="Arial"/>
          <w:sz w:val="17"/>
          <w:szCs w:val="17"/>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seventeen months to fifteen years.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4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Advanced Billings</w:t>
      </w:r>
    </w:p>
    <w:p>
      <w:pPr>
        <w:spacing w:after="0" w:line="4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Advanced billings represents cash received from customers or billed amounts per an agreed upon payment schedule where cash has not been received in advance of services being performed or revenue being recognized.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Deemed Landlord Liabilities</w:t>
      </w:r>
    </w:p>
    <w:p>
      <w:pPr>
        <w:spacing w:after="0" w:line="4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Deemed landlord liabilities are recorded at their net present value when the Company enters into qualifying leases and are reduced as the Company makes periodic lease payments on the properties.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Current Liabilities and Other Long-Term Liabilities</w:t>
      </w:r>
    </w:p>
    <w:p>
      <w:pPr>
        <w:spacing w:after="0" w:line="47"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Deferred rent represents the cumulative additional portion of rent expense recognized on a straight line basis in conjunction with the Company’s current leases at the balance sheet date. The Company defers incentives received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00"/>
          </w:cols>
          <w:pgMar w:left="240" w:top="449" w:right="25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auto"/>
        </w:rPr>
        <w:t>from landlords for the purpose of making leasehold improvements. These liabilities are amortized as a component of rent expense over the term of the respective lease.</w:t>
      </w:r>
    </w:p>
    <w:p>
      <w:pPr>
        <w:spacing w:after="0" w:line="14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Exit liabilities, if any exist, are recorded at their net present value to the extent the Company no longer receives any benefit from the related property and when the Company has ceased all use of the property.</w:t>
      </w:r>
    </w:p>
    <w:p>
      <w:pPr>
        <w:spacing w:after="0" w:line="14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Asset retirement obligations, to the extent they exist, are recorded at their net present value and accreted to the Company’s estimate of liability at the time the obligation would be required to be satisfied.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5"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In April 2015, the Financial Accounting Standards Board (“FASB”) issued an Accounting Standards Update (“ASU”), ASU No. 2015-03,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Debt Issuance Costs</w:t>
      </w:r>
      <w:r>
        <w:rPr>
          <w:rFonts w:ascii="Arial" w:cs="Arial" w:eastAsia="Arial" w:hAnsi="Arial"/>
          <w:sz w:val="16"/>
          <w:szCs w:val="16"/>
          <w:color w:val="auto"/>
        </w:rPr>
        <w:t>.” ASU No. 2015-03 requires debt issuance costs to be presented in the balance sheet as a direct deduction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debt liability. ASU No. 2015-03 was to be effective for annual reporting periods beginning after December 15, 2015, and interim periods within those fiscal years. The Company early adopted ASU No. 2015-03 during 2015 and as a result, $12.1 million in debt issuance costs previously reported in Other Assets were reclassified to Long-term Debt, net, less current portion, in the consolidated balance sheet at December 31, 2014. There was no impact to the Company’s consolidated statements of operations, comprehensive (loss) income, shareholders’ equity or cash flows.</w:t>
      </w:r>
    </w:p>
    <w:p>
      <w:pPr>
        <w:spacing w:after="0" w:line="122"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No. 2015-17 requires entities to present deferred tax assets and deferred tax liabilities as noncurrent in a classified balance sheet. ASU No. 2015-17 simplifies the current guidance, which requires entities to separately present deferred tax assets and deferred tax liabilities as current and noncurrent in a classified balance sheet. ASU No. 2015-17 was to be effective for annual reporting periods beginning after December 15, 2016, and interim periods within those annual periods. The Company early adopted ASU No. 2015-17 during 2015 and as a result, $3.3 million of Current deferred income tax assets were reclassified in the consolidated balance sheet at December 31, 2014. There was no impact to the Company’s consolidated statements of operations, comprehensive (loss) income, shareholders’ equity or cash flows.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of recognizing revenue and create</w:t>
      </w:r>
    </w:p>
    <w:p>
      <w:pPr>
        <w:spacing w:after="0" w:line="225" w:lineRule="auto"/>
        <w:rPr>
          <w:sz w:val="20"/>
          <w:szCs w:val="20"/>
          <w:color w:val="auto"/>
        </w:rPr>
      </w:pPr>
      <w:r>
        <w:rPr>
          <w:rFonts w:ascii="Arial" w:cs="Arial" w:eastAsia="Arial" w:hAnsi="Arial"/>
          <w:sz w:val="17"/>
          <w:szCs w:val="17"/>
          <w:color w:val="auto"/>
        </w:rPr>
        <w:t>common revenue recognition guidance between GAAP and International Financial Reporting Standards. In July 2015, the FASB issued ASU 2015-14,</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which delayed the effective date of ASU 2014-09 by one year and modified the</w:t>
      </w:r>
    </w:p>
    <w:p>
      <w:pPr>
        <w:spacing w:after="0" w:line="225" w:lineRule="auto"/>
        <w:rPr>
          <w:sz w:val="20"/>
          <w:szCs w:val="20"/>
          <w:color w:val="auto"/>
        </w:rPr>
      </w:pPr>
      <w:r>
        <w:rPr>
          <w:rFonts w:ascii="Arial" w:cs="Arial" w:eastAsia="Arial" w:hAnsi="Arial"/>
          <w:sz w:val="17"/>
          <w:szCs w:val="17"/>
          <w:color w:val="auto"/>
        </w:rPr>
        <w:t>standard to allow early adoption. For public entities, the standard is now effective for reporting periods beginning after December 15, 2017. Earlier</w:t>
      </w:r>
    </w:p>
    <w:p>
      <w:pPr>
        <w:spacing w:after="0" w:line="225" w:lineRule="auto"/>
        <w:rPr>
          <w:sz w:val="20"/>
          <w:szCs w:val="20"/>
          <w:color w:val="auto"/>
        </w:rPr>
      </w:pPr>
      <w:r>
        <w:rPr>
          <w:rFonts w:ascii="Arial" w:cs="Arial" w:eastAsia="Arial" w:hAnsi="Arial"/>
          <w:sz w:val="17"/>
          <w:szCs w:val="17"/>
          <w:color w:val="auto"/>
        </w:rPr>
        <w:t>application is permitted only as of annual reporting periods beginning after December 15, 2016, including interim reporting periods within that reporting</w:t>
      </w:r>
    </w:p>
    <w:p>
      <w:pPr>
        <w:spacing w:after="0" w:line="225" w:lineRule="auto"/>
        <w:rPr>
          <w:sz w:val="20"/>
          <w:szCs w:val="20"/>
          <w:color w:val="auto"/>
        </w:rPr>
      </w:pPr>
      <w:r>
        <w:rPr>
          <w:rFonts w:ascii="Arial" w:cs="Arial" w:eastAsia="Arial" w:hAnsi="Arial"/>
          <w:sz w:val="17"/>
          <w:szCs w:val="17"/>
          <w:color w:val="auto"/>
        </w:rPr>
        <w:t>period. Entities can transition to the standard either retrospectively or as a cumulative-effect adjustment as of the date of adoption. The Company is</w:t>
      </w:r>
    </w:p>
    <w:p>
      <w:pPr>
        <w:spacing w:after="0"/>
        <w:rPr>
          <w:sz w:val="20"/>
          <w:szCs w:val="20"/>
          <w:color w:val="auto"/>
        </w:rPr>
      </w:pPr>
      <w:r>
        <w:rPr>
          <w:rFonts w:ascii="Arial" w:cs="Arial" w:eastAsia="Arial" w:hAnsi="Arial"/>
          <w:sz w:val="17"/>
          <w:szCs w:val="17"/>
          <w:color w:val="auto"/>
        </w:rPr>
        <w:t>currently assessing the potential impact of ASU No. 2014-09 on the Company’s consolidated financial statements.</w:t>
      </w:r>
    </w:p>
    <w:p>
      <w:pPr>
        <w:spacing w:after="0" w:line="127" w:lineRule="exact"/>
        <w:rPr>
          <w:sz w:val="20"/>
          <w:szCs w:val="20"/>
          <w:color w:val="auto"/>
        </w:rPr>
      </w:pPr>
    </w:p>
    <w:p>
      <w:pPr>
        <w:ind w:right="440"/>
        <w:spacing w:after="0" w:line="233" w:lineRule="auto"/>
        <w:rPr>
          <w:sz w:val="20"/>
          <w:szCs w:val="20"/>
          <w:color w:val="auto"/>
        </w:rPr>
      </w:pPr>
      <w:r>
        <w:rPr>
          <w:rFonts w:ascii="Arial" w:cs="Arial" w:eastAsia="Arial" w:hAnsi="Arial"/>
          <w:sz w:val="17"/>
          <w:szCs w:val="17"/>
          <w:color w:val="auto"/>
        </w:rPr>
        <w:t>In April 2014, the FASB issued amendments to ASC 205,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through issuance of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This ASU requires management to assess an entity’s ability to continue as a going concern by incorporating and expanding upon certain principles that are currently in U.S. auditing standards. The new guidance is effective for fiscal years ending after December 15, 2016, and for annual periods and interim periods thereafter, with early adoption permitted. The Company does not anticipate that this ASU will have any impact on the consolidated financial statements.</w:t>
      </w:r>
    </w:p>
    <w:p>
      <w:pPr>
        <w:spacing w:after="0" w:line="12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April 2015, the FASB issued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which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either prospectively to all arrangements entered into or materially modified after the effective date, or retrospectively. ASU 2015-05 is effective for fiscal years, and interim periods within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449"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those fiscal years, beginning after December 15, 2015, and early adoption is permitted. The Company is currently evaluating the impact of the adoption of this standard on its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ACCOUNTS RECEIVABLE BILLED, NET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billed, net of allowance for doubtful accounts,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0"/>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jc w:val="right"/>
              <w:ind w:right="61"/>
              <w:spacing w:after="0" w:line="150"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77"/>
              <w:spacing w:after="0" w:line="150"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Accounts receivable, billed</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w w:val="97"/>
              </w:rPr>
              <w:t>$40,721</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7"/>
              </w:rPr>
              <w:t>$52,733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line="184" w:lineRule="exact"/>
              <w:rPr>
                <w:sz w:val="20"/>
                <w:szCs w:val="20"/>
                <w:color w:val="auto"/>
              </w:rPr>
            </w:pPr>
            <w:r>
              <w:rPr>
                <w:rFonts w:ascii="Arial" w:cs="Arial" w:eastAsia="Arial" w:hAnsi="Arial"/>
                <w:sz w:val="17"/>
                <w:szCs w:val="17"/>
                <w:color w:val="auto"/>
              </w:rPr>
              <w:t>Reimbursable out-of-pocket expenses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jc w:val="right"/>
              <w:ind w:right="120"/>
              <w:spacing w:after="0" w:line="184" w:lineRule="exact"/>
              <w:rPr>
                <w:sz w:val="20"/>
                <w:szCs w:val="20"/>
                <w:color w:val="auto"/>
              </w:rPr>
            </w:pPr>
            <w:r>
              <w:rPr>
                <w:rFonts w:ascii="Arial" w:cs="Arial" w:eastAsia="Arial" w:hAnsi="Arial"/>
                <w:sz w:val="17"/>
                <w:szCs w:val="17"/>
                <w:color w:val="auto"/>
              </w:rPr>
              <w:t>7,355</w:t>
            </w:r>
          </w:p>
        </w:tc>
        <w:tc>
          <w:tcPr>
            <w:tcW w:w="1040" w:type="dxa"/>
            <w:vAlign w:val="bottom"/>
            <w:gridSpan w:val="3"/>
          </w:tcPr>
          <w:p>
            <w:pPr>
              <w:jc w:val="right"/>
              <w:ind w:right="100"/>
              <w:spacing w:after="0" w:line="184" w:lineRule="exact"/>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183"/>
        </w:trPr>
        <w:tc>
          <w:tcPr>
            <w:tcW w:w="65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Less allowance for doubtful accounts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(1,724)</w:t>
            </w:r>
          </w:p>
        </w:tc>
        <w:tc>
          <w:tcPr>
            <w:tcW w:w="1040" w:type="dxa"/>
            <w:vAlign w:val="bottom"/>
            <w:gridSpan w:val="3"/>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(5,855)</w:t>
            </w:r>
          </w:p>
        </w:tc>
        <w:tc>
          <w:tcPr>
            <w:tcW w:w="0" w:type="dxa"/>
            <w:vAlign w:val="bottom"/>
          </w:tcPr>
          <w:p>
            <w:pPr>
              <w:spacing w:after="0"/>
              <w:rPr>
                <w:sz w:val="1"/>
                <w:szCs w:val="1"/>
                <w:color w:val="auto"/>
              </w:rPr>
            </w:pPr>
          </w:p>
        </w:tc>
      </w:tr>
      <w:tr>
        <w:trPr>
          <w:trHeight w:val="190"/>
        </w:trPr>
        <w:tc>
          <w:tcPr>
            <w:tcW w:w="6560" w:type="dxa"/>
            <w:vAlign w:val="bottom"/>
          </w:tcPr>
          <w:p>
            <w:pPr>
              <w:ind w:left="260"/>
              <w:spacing w:after="0" w:line="189" w:lineRule="exact"/>
              <w:rPr>
                <w:sz w:val="20"/>
                <w:szCs w:val="20"/>
                <w:color w:val="auto"/>
              </w:rPr>
            </w:pPr>
            <w:r>
              <w:rPr>
                <w:rFonts w:ascii="Arial" w:cs="Arial" w:eastAsia="Arial" w:hAnsi="Arial"/>
                <w:sz w:val="17"/>
                <w:szCs w:val="17"/>
                <w:color w:val="auto"/>
              </w:rPr>
              <w:t>Accounts receivable billed, 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46,352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52,468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560" w:type="dxa"/>
            <w:vAlign w:val="bottom"/>
          </w:tcPr>
          <w:p>
            <w:pPr>
              <w:spacing w:after="0"/>
              <w:rPr>
                <w:sz w:val="20"/>
                <w:szCs w:val="20"/>
                <w:color w:val="auto"/>
              </w:rPr>
            </w:pPr>
            <w:r>
              <w:rPr>
                <w:rFonts w:ascii="Arial" w:cs="Arial" w:eastAsia="Arial" w:hAnsi="Arial"/>
                <w:sz w:val="17"/>
                <w:szCs w:val="17"/>
                <w:color w:val="auto"/>
              </w:rPr>
              <w:t>A rollforward of allowance for doubtful account activity is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300"/>
              <w:spacing w:after="0" w:line="139" w:lineRule="exact"/>
              <w:rPr>
                <w:sz w:val="20"/>
                <w:szCs w:val="20"/>
                <w:color w:val="auto"/>
              </w:rPr>
            </w:pPr>
            <w:r>
              <w:rPr>
                <w:rFonts w:ascii="Arial" w:cs="Arial" w:eastAsia="Arial" w:hAnsi="Arial"/>
                <w:sz w:val="14"/>
                <w:szCs w:val="14"/>
                <w:b w:val="1"/>
                <w:bCs w:val="1"/>
                <w:color w:val="auto"/>
              </w:rPr>
              <w:t>YEAR ENDED</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Borders>
              <w:top w:val="single" w:sz="8" w:color="auto"/>
            </w:tcBorders>
            <w:gridSpan w:val="4"/>
          </w:tcPr>
          <w:p>
            <w:pPr>
              <w:ind w:left="20"/>
              <w:spacing w:after="0" w:line="139" w:lineRule="exact"/>
              <w:rPr>
                <w:sz w:val="20"/>
                <w:szCs w:val="20"/>
                <w:color w:val="auto"/>
              </w:rPr>
            </w:pPr>
            <w:r>
              <w:rPr>
                <w:rFonts w:ascii="Arial" w:cs="Arial" w:eastAsia="Arial" w:hAnsi="Arial"/>
                <w:sz w:val="14"/>
                <w:szCs w:val="14"/>
                <w:b w:val="1"/>
                <w:bCs w:val="1"/>
                <w:color w:val="auto"/>
                <w:w w:val="97"/>
              </w:rPr>
              <w:t>PERIOD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480" w:type="dxa"/>
            <w:vAlign w:val="bottom"/>
            <w:tcBorders>
              <w:right w:val="single" w:sz="8" w:color="auto"/>
            </w:tcBorders>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right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Allowance for doubtful accounts—beginning balance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(5,855)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(5,595)</w:t>
            </w:r>
          </w:p>
        </w:tc>
        <w:tc>
          <w:tcPr>
            <w:tcW w:w="4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(5,573)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line="184" w:lineRule="exact"/>
              <w:rPr>
                <w:sz w:val="20"/>
                <w:szCs w:val="20"/>
                <w:color w:val="auto"/>
              </w:rPr>
            </w:pPr>
            <w:r>
              <w:rPr>
                <w:rFonts w:ascii="Arial" w:cs="Arial" w:eastAsia="Arial" w:hAnsi="Arial"/>
                <w:sz w:val="17"/>
                <w:szCs w:val="17"/>
                <w:color w:val="auto"/>
              </w:rPr>
              <w:t>Current year provision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(642)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Borders>
              <w:right w:val="single" w:sz="8" w:color="auto"/>
            </w:tcBorders>
            <w:gridSpan w:val="2"/>
          </w:tcPr>
          <w:p>
            <w:pPr>
              <w:jc w:val="right"/>
              <w:ind w:right="360"/>
              <w:spacing w:after="0" w:line="184" w:lineRule="exact"/>
              <w:rPr>
                <w:sz w:val="20"/>
                <w:szCs w:val="20"/>
                <w:color w:val="auto"/>
              </w:rPr>
            </w:pPr>
            <w:r>
              <w:rPr>
                <w:rFonts w:ascii="Arial" w:cs="Arial" w:eastAsia="Arial" w:hAnsi="Arial"/>
                <w:sz w:val="17"/>
                <w:szCs w:val="17"/>
                <w:color w:val="auto"/>
              </w:rPr>
              <w:t>(624)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40"/>
              <w:spacing w:after="0" w:line="184"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3"/>
        </w:trPr>
        <w:tc>
          <w:tcPr>
            <w:tcW w:w="65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Write-offs and recoveries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4,773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tcBorders>
              <w:right w:val="single" w:sz="8" w:color="auto"/>
            </w:tcBorders>
            <w:gridSpan w:val="2"/>
            <w:shd w:val="clear" w:color="auto" w:fill="CCEEFF"/>
          </w:tcPr>
          <w:p>
            <w:pPr>
              <w:jc w:val="right"/>
              <w:ind w:right="420"/>
              <w:spacing w:after="0" w:line="184" w:lineRule="exact"/>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Allowance for doubtful accounts—ending balance</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220" w:type="dxa"/>
            <w:vAlign w:val="bottom"/>
            <w:gridSpan w:val="2"/>
          </w:tcPr>
          <w:p>
            <w:pPr>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(1,724)</w:t>
            </w:r>
          </w:p>
        </w:tc>
        <w:tc>
          <w:tcPr>
            <w:tcW w:w="500" w:type="dxa"/>
            <w:vAlign w:val="bottom"/>
            <w:gridSpan w:val="2"/>
          </w:tcPr>
          <w:p>
            <w:pPr>
              <w:jc w:val="right"/>
              <w:ind w:right="169"/>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tcPr>
          <w:p>
            <w:pPr>
              <w:jc w:val="right"/>
              <w:ind w:right="360"/>
              <w:spacing w:after="0" w:line="189" w:lineRule="exact"/>
              <w:rPr>
                <w:sz w:val="20"/>
                <w:szCs w:val="20"/>
                <w:color w:val="auto"/>
              </w:rPr>
            </w:pPr>
            <w:r>
              <w:rPr>
                <w:rFonts w:ascii="Arial" w:cs="Arial" w:eastAsia="Arial" w:hAnsi="Arial"/>
                <w:sz w:val="17"/>
                <w:szCs w:val="17"/>
                <w:color w:val="auto"/>
              </w:rPr>
              <w:t>(5,855)</w:t>
            </w:r>
          </w:p>
        </w:tc>
        <w:tc>
          <w:tcPr>
            <w:tcW w:w="160" w:type="dxa"/>
            <w:vAlign w:val="bottom"/>
          </w:tcPr>
          <w:p>
            <w:pPr>
              <w:spacing w:after="0"/>
              <w:rPr>
                <w:sz w:val="16"/>
                <w:szCs w:val="16"/>
                <w:color w:val="auto"/>
              </w:rPr>
            </w:pPr>
          </w:p>
        </w:tc>
        <w:tc>
          <w:tcPr>
            <w:tcW w:w="740" w:type="dxa"/>
            <w:vAlign w:val="bottom"/>
            <w:gridSpan w:val="3"/>
          </w:tcPr>
          <w:p>
            <w:pPr>
              <w:ind w:left="6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 NET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SUCCESSOR</w:t>
            </w:r>
          </w:p>
        </w:tc>
      </w:tr>
      <w:tr>
        <w:trPr>
          <w:trHeight w:val="150"/>
        </w:trPr>
        <w:tc>
          <w:tcPr>
            <w:tcW w:w="9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0"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0"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76"/>
        </w:trPr>
        <w:tc>
          <w:tcPr>
            <w:tcW w:w="95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Land</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940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1,036</w:t>
            </w:r>
          </w:p>
        </w:tc>
        <w:tc>
          <w:tcPr>
            <w:tcW w:w="100" w:type="dxa"/>
            <w:vAlign w:val="bottom"/>
            <w:shd w:val="clear" w:color="auto" w:fill="CCEEFF"/>
          </w:tcPr>
          <w:p>
            <w:pPr>
              <w:spacing w:after="0"/>
              <w:rPr>
                <w:sz w:val="15"/>
                <w:szCs w:val="15"/>
                <w:color w:val="auto"/>
              </w:rPr>
            </w:pPr>
          </w:p>
        </w:tc>
      </w:tr>
      <w:tr>
        <w:trPr>
          <w:trHeight w:val="183"/>
        </w:trPr>
        <w:tc>
          <w:tcPr>
            <w:tcW w:w="9580" w:type="dxa"/>
            <w:vAlign w:val="bottom"/>
          </w:tcPr>
          <w:p>
            <w:pPr>
              <w:spacing w:after="0" w:line="184" w:lineRule="exact"/>
              <w:rPr>
                <w:sz w:val="20"/>
                <w:szCs w:val="20"/>
                <w:color w:val="auto"/>
              </w:rPr>
            </w:pPr>
            <w:r>
              <w:rPr>
                <w:rFonts w:ascii="Arial" w:cs="Arial" w:eastAsia="Arial" w:hAnsi="Arial"/>
                <w:sz w:val="17"/>
                <w:szCs w:val="17"/>
                <w:color w:val="auto"/>
              </w:rPr>
              <w:t>Equipment</w:t>
            </w:r>
          </w:p>
        </w:tc>
        <w:tc>
          <w:tcPr>
            <w:tcW w:w="100" w:type="dxa"/>
            <w:vAlign w:val="bottom"/>
          </w:tcPr>
          <w:p>
            <w:pPr>
              <w:spacing w:after="0"/>
              <w:rPr>
                <w:sz w:val="15"/>
                <w:szCs w:val="15"/>
                <w:color w:val="auto"/>
              </w:rPr>
            </w:pPr>
          </w:p>
        </w:tc>
        <w:tc>
          <w:tcPr>
            <w:tcW w:w="6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8,218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6,773</w:t>
            </w:r>
          </w:p>
        </w:tc>
      </w:tr>
      <w:tr>
        <w:trPr>
          <w:trHeight w:val="183"/>
        </w:trPr>
        <w:tc>
          <w:tcPr>
            <w:tcW w:w="95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Furniture, fixtures, and leasehold improvements</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8,563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6,515</w:t>
            </w:r>
          </w:p>
        </w:tc>
      </w:tr>
      <w:tr>
        <w:trPr>
          <w:trHeight w:val="183"/>
        </w:trPr>
        <w:tc>
          <w:tcPr>
            <w:tcW w:w="9580" w:type="dxa"/>
            <w:vAlign w:val="bottom"/>
          </w:tcPr>
          <w:p>
            <w:pPr>
              <w:spacing w:after="0" w:line="184" w:lineRule="exact"/>
              <w:rPr>
                <w:sz w:val="20"/>
                <w:szCs w:val="20"/>
                <w:color w:val="auto"/>
              </w:rPr>
            </w:pPr>
            <w:r>
              <w:rPr>
                <w:rFonts w:ascii="Arial" w:cs="Arial" w:eastAsia="Arial" w:hAnsi="Arial"/>
                <w:sz w:val="17"/>
                <w:szCs w:val="17"/>
                <w:color w:val="auto"/>
              </w:rPr>
              <w:t>Computer hardware, software, and phone equipment</w:t>
            </w:r>
          </w:p>
        </w:tc>
        <w:tc>
          <w:tcPr>
            <w:tcW w:w="100" w:type="dxa"/>
            <w:vAlign w:val="bottom"/>
          </w:tcPr>
          <w:p>
            <w:pPr>
              <w:spacing w:after="0"/>
              <w:rPr>
                <w:sz w:val="15"/>
                <w:szCs w:val="15"/>
                <w:color w:val="auto"/>
              </w:rPr>
            </w:pPr>
          </w:p>
        </w:tc>
        <w:tc>
          <w:tcPr>
            <w:tcW w:w="6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4,569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2,090</w:t>
            </w:r>
          </w:p>
        </w:tc>
      </w:tr>
      <w:tr>
        <w:trPr>
          <w:trHeight w:val="183"/>
        </w:trPr>
        <w:tc>
          <w:tcPr>
            <w:tcW w:w="95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Buildings</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2,839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3,147</w:t>
            </w:r>
          </w:p>
        </w:tc>
      </w:tr>
      <w:tr>
        <w:trPr>
          <w:trHeight w:val="183"/>
        </w:trPr>
        <w:tc>
          <w:tcPr>
            <w:tcW w:w="9580" w:type="dxa"/>
            <w:vAlign w:val="bottom"/>
          </w:tcPr>
          <w:p>
            <w:pPr>
              <w:spacing w:after="0" w:line="184" w:lineRule="exact"/>
              <w:rPr>
                <w:sz w:val="20"/>
                <w:szCs w:val="20"/>
                <w:color w:val="auto"/>
              </w:rPr>
            </w:pPr>
            <w:r>
              <w:rPr>
                <w:rFonts w:ascii="Arial" w:cs="Arial" w:eastAsia="Arial" w:hAnsi="Arial"/>
                <w:sz w:val="17"/>
                <w:szCs w:val="17"/>
                <w:color w:val="auto"/>
              </w:rPr>
              <w:t>Deemed assets from landlord building construction</w:t>
            </w:r>
          </w:p>
        </w:tc>
        <w:tc>
          <w:tcPr>
            <w:tcW w:w="100" w:type="dxa"/>
            <w:vAlign w:val="bottom"/>
          </w:tcPr>
          <w:p>
            <w:pPr>
              <w:spacing w:after="0"/>
              <w:rPr>
                <w:sz w:val="15"/>
                <w:szCs w:val="15"/>
                <w:color w:val="auto"/>
              </w:rPr>
            </w:pPr>
          </w:p>
        </w:tc>
        <w:tc>
          <w:tcPr>
            <w:tcW w:w="6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22,752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w w:val="96"/>
              </w:rPr>
              <w:t>22,752</w:t>
            </w:r>
          </w:p>
        </w:tc>
      </w:tr>
      <w:tr>
        <w:trPr>
          <w:trHeight w:val="183"/>
        </w:trPr>
        <w:tc>
          <w:tcPr>
            <w:tcW w:w="95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Construction-in-progress</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304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5"/>
                <w:szCs w:val="15"/>
                <w:color w:val="auto"/>
              </w:rPr>
            </w:pPr>
          </w:p>
        </w:tc>
      </w:tr>
      <w:tr>
        <w:trPr>
          <w:trHeight w:val="190"/>
        </w:trPr>
        <w:tc>
          <w:tcPr>
            <w:tcW w:w="9580" w:type="dxa"/>
            <w:vAlign w:val="bottom"/>
          </w:tcPr>
          <w:p>
            <w:pPr>
              <w:ind w:left="260"/>
              <w:spacing w:after="0" w:line="189" w:lineRule="exact"/>
              <w:rPr>
                <w:sz w:val="20"/>
                <w:szCs w:val="20"/>
                <w:color w:val="auto"/>
              </w:rPr>
            </w:pPr>
            <w:r>
              <w:rPr>
                <w:rFonts w:ascii="Arial" w:cs="Arial" w:eastAsia="Arial" w:hAnsi="Arial"/>
                <w:sz w:val="17"/>
                <w:szCs w:val="17"/>
                <w:color w:val="auto"/>
              </w:rPr>
              <w:t>Property and equipment at cost</w:t>
            </w:r>
          </w:p>
        </w:tc>
        <w:tc>
          <w:tcPr>
            <w:tcW w:w="100" w:type="dxa"/>
            <w:vAlign w:val="bottom"/>
          </w:tcPr>
          <w:p>
            <w:pPr>
              <w:spacing w:after="0"/>
              <w:rPr>
                <w:sz w:val="16"/>
                <w:szCs w:val="16"/>
                <w:color w:val="auto"/>
              </w:rPr>
            </w:pPr>
          </w:p>
        </w:tc>
        <w:tc>
          <w:tcPr>
            <w:tcW w:w="6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48,185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6"/>
              </w:rPr>
              <w:t>42,605</w:t>
            </w:r>
          </w:p>
        </w:tc>
      </w:tr>
      <w:tr>
        <w:trPr>
          <w:trHeight w:val="183"/>
        </w:trPr>
        <w:tc>
          <w:tcPr>
            <w:tcW w:w="95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Less: Accumulated depreciation</w:t>
            </w: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w w:val="97"/>
              </w:rPr>
              <w:t>(10,673)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(4,521)</w:t>
            </w:r>
          </w:p>
        </w:tc>
      </w:tr>
      <w:tr>
        <w:trPr>
          <w:trHeight w:val="190"/>
        </w:trPr>
        <w:tc>
          <w:tcPr>
            <w:tcW w:w="9580" w:type="dxa"/>
            <w:vAlign w:val="bottom"/>
          </w:tcPr>
          <w:p>
            <w:pPr>
              <w:ind w:left="260"/>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37,512</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5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38,084</w:t>
            </w:r>
          </w:p>
        </w:tc>
        <w:tc>
          <w:tcPr>
            <w:tcW w:w="100" w:type="dxa"/>
            <w:vAlign w:val="bottom"/>
          </w:tcPr>
          <w:p>
            <w:pPr>
              <w:spacing w:after="0"/>
              <w:rPr>
                <w:sz w:val="16"/>
                <w:szCs w:val="16"/>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9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jc w:val="both"/>
        <w:ind w:right="140"/>
        <w:spacing w:after="0" w:line="260" w:lineRule="auto"/>
        <w:rPr>
          <w:sz w:val="20"/>
          <w:szCs w:val="20"/>
          <w:color w:val="auto"/>
        </w:rPr>
      </w:pPr>
      <w:r>
        <w:rPr>
          <w:rFonts w:ascii="Arial" w:cs="Arial" w:eastAsia="Arial" w:hAnsi="Arial"/>
          <w:sz w:val="16"/>
          <w:szCs w:val="16"/>
          <w:color w:val="auto"/>
        </w:rPr>
        <w:t>Depreciation expense, which includes amortization from capital leases, was $6.4 million for the year ended 2015, $4.6 million for Successor Period ended December 31, 2014, $1.8 million for the Predecessor Period ended March 31, 2014, and $6.7 million for the Predecessor year ended December 31, 2013.</w:t>
      </w:r>
    </w:p>
    <w:p>
      <w:pPr>
        <w:spacing w:after="0" w:line="125"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In 2011, Medpace, Inc. entered into two multi-year lease agreements governing the future occupancy of additional office space in Cincinnati, Ohio. The Company assumed occupancy of both spaces during 2012 and began making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49"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lease payments at that time. The leases expire in 2027 and the Company has one 10-year option to extend the term of the leases.</w:t>
      </w:r>
    </w:p>
    <w:p>
      <w:pPr>
        <w:spacing w:after="0" w:line="145"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In accordance with the accounting guidance related to leases, the Company was deemed in substance to be the owner of the property during the construction phase. The accounting guidance requires that a lessee be considered the owner of a real estate project during the construction period if a related party of the lessee is an owner of the real estate. Given that a related party of Medpace made an equity investment in the lessor, Medpace was considered the owner of the property for accounting purposes during the buildings’ construction. Accordingly, the Company reflected the building and related liabilities as Deemed assets from landlord building construction (“Deemed Assets”) and Deemed landlord liabilities, respectively in the consolidated balance sheets. The Deemed Assets are being fully depreciated, on a straight line basis, over the 15-year term of the lease.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 AND INTANGIBLE ASSETS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5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2013—Predecessor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$ 322,692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560" w:type="dxa"/>
            <w:vAlign w:val="bottom"/>
            <w:vMerge w:val="restart"/>
          </w:tcPr>
          <w:p>
            <w:pPr>
              <w:spacing w:after="0"/>
              <w:rPr>
                <w:sz w:val="20"/>
                <w:szCs w:val="20"/>
                <w:color w:val="auto"/>
              </w:rPr>
            </w:pPr>
            <w:r>
              <w:rPr>
                <w:rFonts w:ascii="Arial" w:cs="Arial" w:eastAsia="Arial" w:hAnsi="Arial"/>
                <w:sz w:val="17"/>
                <w:szCs w:val="17"/>
                <w:color w:val="auto"/>
              </w:rPr>
              <w:t>Balance as of March 31, 2014—Predecessor</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60" w:type="dxa"/>
            <w:vAlign w:val="bottom"/>
            <w:vMerge w:val="continue"/>
          </w:tcPr>
          <w:p>
            <w:pPr>
              <w:spacing w:after="0"/>
              <w:rPr>
                <w:sz w:val="15"/>
                <w:szCs w:val="15"/>
                <w:color w:val="auto"/>
              </w:rPr>
            </w:pPr>
          </w:p>
        </w:tc>
        <w:tc>
          <w:tcPr>
            <w:tcW w:w="860" w:type="dxa"/>
            <w:vAlign w:val="bottom"/>
            <w:gridSpan w:val="2"/>
          </w:tcPr>
          <w:p>
            <w:pPr>
              <w:jc w:val="right"/>
              <w:ind w:right="100"/>
              <w:spacing w:after="0" w:line="176" w:lineRule="exact"/>
              <w:rPr>
                <w:sz w:val="20"/>
                <w:szCs w:val="20"/>
                <w:color w:val="auto"/>
              </w:rPr>
            </w:pPr>
            <w:r>
              <w:rPr>
                <w:rFonts w:ascii="Arial" w:cs="Arial" w:eastAsia="Arial" w:hAnsi="Arial"/>
                <w:sz w:val="17"/>
                <w:szCs w:val="17"/>
                <w:color w:val="auto"/>
              </w:rPr>
              <w:t>322,692</w:t>
            </w:r>
          </w:p>
        </w:tc>
        <w:tc>
          <w:tcPr>
            <w:tcW w:w="0" w:type="dxa"/>
            <w:vAlign w:val="bottom"/>
          </w:tcPr>
          <w:p>
            <w:pPr>
              <w:spacing w:after="0"/>
              <w:rPr>
                <w:sz w:val="1"/>
                <w:szCs w:val="1"/>
                <w:color w:val="auto"/>
              </w:rPr>
            </w:pPr>
          </w:p>
        </w:tc>
      </w:tr>
      <w:tr>
        <w:trPr>
          <w:trHeight w:val="183"/>
        </w:trPr>
        <w:tc>
          <w:tcPr>
            <w:tcW w:w="105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Elimination of Predecessor Goodwill</w:t>
            </w:r>
          </w:p>
        </w:tc>
        <w:tc>
          <w:tcPr>
            <w:tcW w:w="8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(322,692)</w:t>
            </w:r>
          </w:p>
        </w:tc>
        <w:tc>
          <w:tcPr>
            <w:tcW w:w="0" w:type="dxa"/>
            <w:vAlign w:val="bottom"/>
          </w:tcPr>
          <w:p>
            <w:pPr>
              <w:spacing w:after="0"/>
              <w:rPr>
                <w:sz w:val="1"/>
                <w:szCs w:val="1"/>
                <w:color w:val="auto"/>
              </w:rPr>
            </w:pPr>
          </w:p>
        </w:tc>
      </w:tr>
      <w:tr>
        <w:trPr>
          <w:trHeight w:val="190"/>
        </w:trPr>
        <w:tc>
          <w:tcPr>
            <w:tcW w:w="10560" w:type="dxa"/>
            <w:vAlign w:val="bottom"/>
          </w:tcPr>
          <w:p>
            <w:pPr>
              <w:spacing w:after="0" w:line="184" w:lineRule="exact"/>
              <w:rPr>
                <w:sz w:val="20"/>
                <w:szCs w:val="20"/>
                <w:color w:val="auto"/>
              </w:rPr>
            </w:pPr>
            <w:r>
              <w:rPr>
                <w:rFonts w:ascii="Arial" w:cs="Arial" w:eastAsia="Arial" w:hAnsi="Arial"/>
                <w:sz w:val="17"/>
                <w:szCs w:val="17"/>
                <w:color w:val="auto"/>
              </w:rPr>
              <w:t>Goodwill from Transaction</w:t>
            </w:r>
          </w:p>
        </w:tc>
        <w:tc>
          <w:tcPr>
            <w:tcW w:w="76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670,294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5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Balance as of December 31, 2014—Successor</w:t>
            </w:r>
          </w:p>
        </w:tc>
        <w:tc>
          <w:tcPr>
            <w:tcW w:w="7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670,294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560" w:type="dxa"/>
            <w:vAlign w:val="bottom"/>
          </w:tcPr>
          <w:p>
            <w:pPr>
              <w:ind w:left="260"/>
              <w:spacing w:after="0" w:line="189" w:lineRule="exact"/>
              <w:rPr>
                <w:sz w:val="20"/>
                <w:szCs w:val="20"/>
                <w:color w:val="auto"/>
              </w:rPr>
            </w:pPr>
            <w:r>
              <w:rPr>
                <w:rFonts w:ascii="Arial" w:cs="Arial" w:eastAsia="Arial" w:hAnsi="Arial"/>
                <w:sz w:val="17"/>
                <w:szCs w:val="17"/>
                <w:color w:val="auto"/>
              </w:rPr>
              <w:t>Impairment of Goodwill</w:t>
            </w:r>
          </w:p>
        </w:tc>
        <w:tc>
          <w:tcPr>
            <w:tcW w:w="8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(9,313)</w:t>
            </w:r>
          </w:p>
        </w:tc>
        <w:tc>
          <w:tcPr>
            <w:tcW w:w="0" w:type="dxa"/>
            <w:vAlign w:val="bottom"/>
          </w:tcPr>
          <w:p>
            <w:pPr>
              <w:spacing w:after="0"/>
              <w:rPr>
                <w:sz w:val="1"/>
                <w:szCs w:val="1"/>
                <w:color w:val="auto"/>
              </w:rPr>
            </w:pPr>
          </w:p>
        </w:tc>
      </w:tr>
      <w:tr>
        <w:trPr>
          <w:trHeight w:val="183"/>
        </w:trPr>
        <w:tc>
          <w:tcPr>
            <w:tcW w:w="105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Balance as of December 31, 2015—Successor</w:t>
            </w:r>
          </w:p>
        </w:tc>
        <w:tc>
          <w:tcPr>
            <w:tcW w:w="7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97"/>
              </w:rPr>
              <w:t>$ 660,981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annual impairment test performed in the fourth quarter of 2015 resulted in an impairment charge of $9.3 million related to the Company’s Clinics reporting unit. The current year goodwill impairment charge represents the total accumulated goodwill impairment losses as of December 31, 2015.</w:t>
      </w:r>
    </w:p>
    <w:p>
      <w:pPr>
        <w:spacing w:after="0" w:line="125" w:lineRule="exact"/>
        <w:rPr>
          <w:sz w:val="20"/>
          <w:szCs w:val="20"/>
          <w:color w:val="auto"/>
        </w:rPr>
      </w:pPr>
    </w:p>
    <w:p>
      <w:pPr>
        <w:ind w:right="520"/>
        <w:spacing w:after="0" w:line="235" w:lineRule="auto"/>
        <w:rPr>
          <w:sz w:val="20"/>
          <w:szCs w:val="20"/>
          <w:color w:val="auto"/>
        </w:rPr>
      </w:pPr>
      <w:r>
        <w:rPr>
          <w:rFonts w:ascii="Arial" w:cs="Arial" w:eastAsia="Arial" w:hAnsi="Arial"/>
          <w:sz w:val="17"/>
          <w:szCs w:val="17"/>
          <w:color w:val="auto"/>
        </w:rPr>
        <w:t>In 2014, the Company eliminated its Predecessor goodwill and recorded $670.3 million of Successor goodwill based on the purchase price allocation resulting from the Transaction.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Accumulated impairment charges for the Predecessor as of December 31, 2013 were $0.3 million.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49"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58"/>
              <w:spacing w:after="0"/>
              <w:rPr>
                <w:sz w:val="20"/>
                <w:szCs w:val="20"/>
                <w:color w:val="auto"/>
              </w:rPr>
            </w:pPr>
            <w:r>
              <w:rPr>
                <w:rFonts w:ascii="Arial" w:cs="Arial" w:eastAsia="Arial" w:hAnsi="Arial"/>
                <w:sz w:val="14"/>
                <w:szCs w:val="14"/>
                <w:b w:val="1"/>
                <w:bCs w:val="1"/>
                <w:color w:val="auto"/>
                <w:w w:val="94"/>
              </w:rPr>
              <w:t>GROSS</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13"/>
                <w:szCs w:val="13"/>
                <w:color w:val="auto"/>
              </w:rPr>
            </w:pPr>
          </w:p>
        </w:tc>
        <w:tc>
          <w:tcPr>
            <w:tcW w:w="7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w w:val="99"/>
              </w:rPr>
              <w:t>CARRYING</w:t>
            </w:r>
          </w:p>
        </w:tc>
        <w:tc>
          <w:tcPr>
            <w:tcW w:w="520" w:type="dxa"/>
            <w:vAlign w:val="bottom"/>
          </w:tcPr>
          <w:p>
            <w:pPr>
              <w:spacing w:after="0"/>
              <w:rPr>
                <w:sz w:val="13"/>
                <w:szCs w:val="13"/>
                <w:color w:val="auto"/>
              </w:rPr>
            </w:pPr>
          </w:p>
        </w:tc>
        <w:tc>
          <w:tcPr>
            <w:tcW w:w="16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3"/>
        </w:trPr>
        <w:tc>
          <w:tcPr>
            <w:tcW w:w="77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Balances as of December 31, 2015—Successor:</w:t>
            </w: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60"/>
              <w:spacing w:after="0" w:line="184" w:lineRule="exact"/>
              <w:rPr>
                <w:sz w:val="20"/>
                <w:szCs w:val="20"/>
                <w:color w:val="auto"/>
              </w:rPr>
            </w:pPr>
            <w:r>
              <w:rPr>
                <w:rFonts w:ascii="Arial" w:cs="Arial" w:eastAsia="Arial" w:hAnsi="Arial"/>
                <w:sz w:val="17"/>
                <w:szCs w:val="17"/>
                <w:color w:val="auto"/>
              </w:rPr>
              <w:t>Backlog</w:t>
            </w:r>
          </w:p>
        </w:tc>
        <w:tc>
          <w:tcPr>
            <w:tcW w:w="120" w:type="dxa"/>
            <w:vAlign w:val="bottom"/>
          </w:tcPr>
          <w:p>
            <w:pPr>
              <w:spacing w:after="0" w:line="18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84" w:lineRule="exact"/>
              <w:rPr>
                <w:sz w:val="20"/>
                <w:szCs w:val="20"/>
                <w:color w:val="auto"/>
              </w:rPr>
            </w:pPr>
            <w:r>
              <w:rPr>
                <w:rFonts w:ascii="Arial" w:cs="Arial" w:eastAsia="Arial" w:hAnsi="Arial"/>
                <w:sz w:val="17"/>
                <w:szCs w:val="17"/>
                <w:color w:val="auto"/>
              </w:rPr>
              <w:t>72,630</w:t>
            </w:r>
          </w:p>
        </w:tc>
        <w:tc>
          <w:tcPr>
            <w:tcW w:w="820" w:type="dxa"/>
            <w:vAlign w:val="bottom"/>
            <w:gridSpan w:val="2"/>
          </w:tcPr>
          <w:p>
            <w:pPr>
              <w:ind w:left="520"/>
              <w:spacing w:after="0" w:line="184"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40"/>
              <w:spacing w:after="0" w:line="184" w:lineRule="exact"/>
              <w:rPr>
                <w:sz w:val="20"/>
                <w:szCs w:val="20"/>
                <w:color w:val="auto"/>
              </w:rPr>
            </w:pPr>
            <w:r>
              <w:rPr>
                <w:rFonts w:ascii="Arial" w:cs="Arial" w:eastAsia="Arial" w:hAnsi="Arial"/>
                <w:sz w:val="17"/>
                <w:szCs w:val="17"/>
                <w:color w:val="auto"/>
              </w:rPr>
              <w:t>72,630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Customer relationships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145,051</w:t>
            </w: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26,991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4"/>
              </w:rPr>
              <w:t>118,060</w:t>
            </w:r>
          </w:p>
        </w:tc>
        <w:tc>
          <w:tcPr>
            <w:tcW w:w="0" w:type="dxa"/>
            <w:vAlign w:val="bottom"/>
          </w:tcPr>
          <w:p>
            <w:pPr>
              <w:spacing w:after="0"/>
              <w:rPr>
                <w:sz w:val="1"/>
                <w:szCs w:val="1"/>
                <w:color w:val="auto"/>
              </w:rPr>
            </w:pPr>
          </w:p>
        </w:tc>
      </w:tr>
      <w:tr>
        <w:trPr>
          <w:trHeight w:val="183"/>
        </w:trPr>
        <w:tc>
          <w:tcPr>
            <w:tcW w:w="7700" w:type="dxa"/>
            <w:vAlign w:val="bottom"/>
          </w:tcPr>
          <w:p>
            <w:pPr>
              <w:ind w:left="260"/>
              <w:spacing w:after="0" w:line="184" w:lineRule="exact"/>
              <w:rPr>
                <w:sz w:val="20"/>
                <w:szCs w:val="20"/>
                <w:color w:val="auto"/>
              </w:rPr>
            </w:pPr>
            <w:r>
              <w:rPr>
                <w:rFonts w:ascii="Arial" w:cs="Arial" w:eastAsia="Arial" w:hAnsi="Arial"/>
                <w:sz w:val="17"/>
                <w:szCs w:val="17"/>
                <w:color w:val="auto"/>
              </w:rPr>
              <w:t>Developed technologies</w:t>
            </w:r>
          </w:p>
        </w:tc>
        <w:tc>
          <w:tcPr>
            <w:tcW w:w="120" w:type="dxa"/>
            <w:vAlign w:val="bottom"/>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7"/>
                <w:szCs w:val="17"/>
                <w:color w:val="auto"/>
              </w:rPr>
              <w:t>54,475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540"/>
              <w:spacing w:after="0" w:line="184" w:lineRule="exact"/>
              <w:rPr>
                <w:sz w:val="20"/>
                <w:szCs w:val="20"/>
                <w:color w:val="auto"/>
              </w:rPr>
            </w:pPr>
            <w:r>
              <w:rPr>
                <w:rFonts w:ascii="Arial" w:cs="Arial" w:eastAsia="Arial" w:hAnsi="Arial"/>
                <w:sz w:val="17"/>
                <w:szCs w:val="17"/>
                <w:color w:val="auto"/>
              </w:rPr>
              <w:t>19,066</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35,409</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Trade name (indefinite-lived)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31,646</w:t>
            </w: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90"/>
        </w:trPr>
        <w:tc>
          <w:tcPr>
            <w:tcW w:w="7700" w:type="dxa"/>
            <w:vAlign w:val="bottom"/>
          </w:tcPr>
          <w:p>
            <w:pPr>
              <w:ind w:left="260"/>
              <w:spacing w:after="0" w:line="184" w:lineRule="exact"/>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2,505</w:t>
            </w:r>
          </w:p>
        </w:tc>
        <w:tc>
          <w:tcPr>
            <w:tcW w:w="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877</w:t>
            </w:r>
          </w:p>
        </w:tc>
        <w:tc>
          <w:tcPr>
            <w:tcW w:w="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1,628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306,307</w:t>
            </w:r>
          </w:p>
        </w:tc>
        <w:tc>
          <w:tcPr>
            <w:tcW w:w="820" w:type="dxa"/>
            <w:vAlign w:val="bottom"/>
            <w:gridSpan w:val="2"/>
            <w:shd w:val="clear" w:color="auto" w:fill="CCEEFF"/>
          </w:tcPr>
          <w:p>
            <w:pPr>
              <w:ind w:left="520"/>
              <w:spacing w:after="0" w:line="184"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119,564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4"/>
              </w:rPr>
              <w:t>186,743</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7"/>
                <w:szCs w:val="17"/>
                <w:color w:val="auto"/>
              </w:rPr>
              <w:t>Balances as of December 31, 2014—Successor: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Backlog</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72,630</w:t>
            </w:r>
          </w:p>
        </w:tc>
        <w:tc>
          <w:tcPr>
            <w:tcW w:w="820" w:type="dxa"/>
            <w:vAlign w:val="bottom"/>
            <w:gridSpan w:val="2"/>
            <w:shd w:val="clear" w:color="auto" w:fill="CCEEFF"/>
          </w:tcPr>
          <w:p>
            <w:pPr>
              <w:ind w:left="520"/>
              <w:spacing w:after="0" w:line="184"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39,777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32,853</w:t>
            </w:r>
          </w:p>
        </w:tc>
        <w:tc>
          <w:tcPr>
            <w:tcW w:w="0" w:type="dxa"/>
            <w:vAlign w:val="bottom"/>
          </w:tcPr>
          <w:p>
            <w:pPr>
              <w:spacing w:after="0"/>
              <w:rPr>
                <w:sz w:val="1"/>
                <w:szCs w:val="1"/>
                <w:color w:val="auto"/>
              </w:rPr>
            </w:pPr>
          </w:p>
        </w:tc>
      </w:tr>
      <w:tr>
        <w:trPr>
          <w:trHeight w:val="183"/>
        </w:trPr>
        <w:tc>
          <w:tcPr>
            <w:tcW w:w="7700" w:type="dxa"/>
            <w:vAlign w:val="bottom"/>
          </w:tcPr>
          <w:p>
            <w:pPr>
              <w:ind w:left="260"/>
              <w:spacing w:after="0" w:line="184" w:lineRule="exact"/>
              <w:rPr>
                <w:sz w:val="20"/>
                <w:szCs w:val="20"/>
                <w:color w:val="auto"/>
              </w:rPr>
            </w:pPr>
            <w:r>
              <w:rPr>
                <w:rFonts w:ascii="Arial" w:cs="Arial" w:eastAsia="Arial" w:hAnsi="Arial"/>
                <w:sz w:val="17"/>
                <w:szCs w:val="17"/>
                <w:color w:val="auto"/>
              </w:rPr>
              <w:t>Customer relationships</w:t>
            </w:r>
          </w:p>
        </w:tc>
        <w:tc>
          <w:tcPr>
            <w:tcW w:w="120" w:type="dxa"/>
            <w:vAlign w:val="bottom"/>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7"/>
                <w:szCs w:val="17"/>
                <w:color w:val="auto"/>
              </w:rPr>
              <w:t>145,051</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540"/>
              <w:spacing w:after="0" w:line="184" w:lineRule="exact"/>
              <w:rPr>
                <w:sz w:val="20"/>
                <w:szCs w:val="20"/>
                <w:color w:val="auto"/>
              </w:rPr>
            </w:pPr>
            <w:r>
              <w:rPr>
                <w:rFonts w:ascii="Arial" w:cs="Arial" w:eastAsia="Arial" w:hAnsi="Arial"/>
                <w:sz w:val="17"/>
                <w:szCs w:val="17"/>
                <w:color w:val="auto"/>
              </w:rPr>
              <w:t>8,099</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w w:val="94"/>
              </w:rPr>
              <w:t>136,952</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Developed technologies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54,475</w:t>
            </w: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8,171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46,304</w:t>
            </w:r>
          </w:p>
        </w:tc>
        <w:tc>
          <w:tcPr>
            <w:tcW w:w="0" w:type="dxa"/>
            <w:vAlign w:val="bottom"/>
          </w:tcPr>
          <w:p>
            <w:pPr>
              <w:spacing w:after="0"/>
              <w:rPr>
                <w:sz w:val="1"/>
                <w:szCs w:val="1"/>
                <w:color w:val="auto"/>
              </w:rPr>
            </w:pPr>
          </w:p>
        </w:tc>
      </w:tr>
      <w:tr>
        <w:trPr>
          <w:trHeight w:val="183"/>
        </w:trPr>
        <w:tc>
          <w:tcPr>
            <w:tcW w:w="7700" w:type="dxa"/>
            <w:vAlign w:val="bottom"/>
          </w:tcPr>
          <w:p>
            <w:pPr>
              <w:ind w:left="260"/>
              <w:spacing w:after="0" w:line="184" w:lineRule="exact"/>
              <w:rPr>
                <w:sz w:val="20"/>
                <w:szCs w:val="20"/>
                <w:color w:val="auto"/>
              </w:rPr>
            </w:pPr>
            <w:r>
              <w:rPr>
                <w:rFonts w:ascii="Arial" w:cs="Arial" w:eastAsia="Arial" w:hAnsi="Arial"/>
                <w:sz w:val="17"/>
                <w:szCs w:val="17"/>
                <w:color w:val="auto"/>
              </w:rPr>
              <w:t>Trade name (indefinite-lived)</w:t>
            </w:r>
          </w:p>
        </w:tc>
        <w:tc>
          <w:tcPr>
            <w:tcW w:w="120" w:type="dxa"/>
            <w:vAlign w:val="bottom"/>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7"/>
                <w:szCs w:val="17"/>
                <w:color w:val="auto"/>
              </w:rPr>
              <w:t>31,646</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540"/>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2,505</w:t>
            </w:r>
          </w:p>
        </w:tc>
        <w:tc>
          <w:tcPr>
            <w:tcW w:w="5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375</w:t>
            </w:r>
          </w:p>
        </w:tc>
        <w:tc>
          <w:tcPr>
            <w:tcW w:w="5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2,130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306,307</w:t>
            </w:r>
          </w:p>
        </w:tc>
        <w:tc>
          <w:tcPr>
            <w:tcW w:w="82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56,422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4"/>
              </w:rPr>
              <w:t>249,885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As of December 31, 2015, estimated amortization expense of the Company’s intangible assets for each of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50,672</w:t>
            </w:r>
          </w:p>
        </w:tc>
      </w:tr>
      <w:tr>
        <w:trPr>
          <w:trHeight w:val="183"/>
        </w:trPr>
        <w:tc>
          <w:tcPr>
            <w:tcW w:w="10620" w:type="dxa"/>
            <w:vAlign w:val="bottom"/>
          </w:tcPr>
          <w:p>
            <w:pPr>
              <w:spacing w:after="0" w:line="184"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37,790</w:t>
            </w:r>
          </w:p>
        </w:tc>
      </w:tr>
      <w:tr>
        <w:trPr>
          <w:trHeight w:val="183"/>
        </w:trPr>
        <w:tc>
          <w:tcPr>
            <w:tcW w:w="106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29,371</w:t>
            </w:r>
          </w:p>
        </w:tc>
      </w:tr>
      <w:tr>
        <w:trPr>
          <w:trHeight w:val="183"/>
        </w:trPr>
        <w:tc>
          <w:tcPr>
            <w:tcW w:w="10620" w:type="dxa"/>
            <w:vAlign w:val="bottom"/>
          </w:tcPr>
          <w:p>
            <w:pPr>
              <w:spacing w:after="0" w:line="184" w:lineRule="exact"/>
              <w:rPr>
                <w:sz w:val="20"/>
                <w:szCs w:val="20"/>
                <w:color w:val="auto"/>
              </w:rPr>
            </w:pPr>
            <w:r>
              <w:rPr>
                <w:rFonts w:ascii="Arial" w:cs="Arial" w:eastAsia="Arial" w:hAnsi="Arial"/>
                <w:sz w:val="17"/>
                <w:szCs w:val="17"/>
                <w:color w:val="auto"/>
              </w:rPr>
              <w:t>2019</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14,639</w:t>
            </w:r>
          </w:p>
        </w:tc>
      </w:tr>
      <w:tr>
        <w:trPr>
          <w:trHeight w:val="183"/>
        </w:trPr>
        <w:tc>
          <w:tcPr>
            <w:tcW w:w="106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7,797</w:t>
            </w:r>
          </w:p>
        </w:tc>
      </w:tr>
      <w:tr>
        <w:trPr>
          <w:trHeight w:val="190"/>
        </w:trPr>
        <w:tc>
          <w:tcPr>
            <w:tcW w:w="10620" w:type="dxa"/>
            <w:vAlign w:val="bottom"/>
          </w:tcPr>
          <w:p>
            <w:pPr>
              <w:spacing w:after="0" w:line="184" w:lineRule="exact"/>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14,828</w:t>
            </w:r>
          </w:p>
        </w:tc>
        <w:tc>
          <w:tcPr>
            <w:tcW w:w="100" w:type="dxa"/>
            <w:vAlign w:val="bottom"/>
          </w:tcPr>
          <w:p>
            <w:pPr>
              <w:spacing w:after="0"/>
              <w:rPr>
                <w:sz w:val="16"/>
                <w:szCs w:val="16"/>
                <w:color w:val="auto"/>
              </w:rPr>
            </w:pPr>
          </w:p>
        </w:tc>
      </w:tr>
      <w:tr>
        <w:trPr>
          <w:trHeight w:val="183"/>
        </w:trPr>
        <w:tc>
          <w:tcPr>
            <w:tcW w:w="106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future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4"/>
              </w:rPr>
              <w:t>155,097</w:t>
            </w:r>
          </w:p>
        </w:tc>
      </w:tr>
      <w:tr>
        <w:trPr>
          <w:trHeight w:val="20"/>
        </w:trPr>
        <w:tc>
          <w:tcPr>
            <w:tcW w:w="10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10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80" w:type="dxa"/>
            <w:vAlign w:val="bottom"/>
            <w:gridSpan w:val="5"/>
          </w:tcPr>
          <w:p>
            <w:pPr>
              <w:ind w:left="400"/>
              <w:spacing w:after="0"/>
              <w:rPr>
                <w:sz w:val="20"/>
                <w:szCs w:val="20"/>
                <w:color w:val="auto"/>
              </w:rPr>
            </w:pPr>
            <w:r>
              <w:rPr>
                <w:rFonts w:ascii="Arial" w:cs="Arial" w:eastAsia="Arial" w:hAnsi="Arial"/>
                <w:sz w:val="14"/>
                <w:szCs w:val="14"/>
                <w:b w:val="1"/>
                <w:bCs w:val="1"/>
                <w:color w:val="auto"/>
              </w:rPr>
              <w:t>SUCCESSOR</w:t>
            </w:r>
          </w:p>
        </w:tc>
      </w:tr>
      <w:tr>
        <w:trPr>
          <w:trHeight w:val="150"/>
        </w:trPr>
        <w:tc>
          <w:tcPr>
            <w:tcW w:w="41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620" w:type="dxa"/>
            <w:vAlign w:val="bottom"/>
            <w:tcBorders>
              <w:top w:val="single" w:sz="8" w:color="auto"/>
            </w:tcBorders>
          </w:tcPr>
          <w:p>
            <w:pPr>
              <w:jc w:val="right"/>
              <w:ind w:right="82"/>
              <w:spacing w:after="0" w:line="150"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7"/>
              <w:spacing w:after="0" w:line="150"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76"/>
        </w:trPr>
        <w:tc>
          <w:tcPr>
            <w:tcW w:w="41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Employee compensation and benefits</w:t>
            </w:r>
          </w:p>
        </w:tc>
        <w:tc>
          <w:tcPr>
            <w:tcW w:w="54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7"/>
              </w:rPr>
              <w:t>$17,195</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7"/>
              </w:rPr>
              <w:t>$18,216</w:t>
            </w:r>
          </w:p>
        </w:tc>
        <w:tc>
          <w:tcPr>
            <w:tcW w:w="100" w:type="dxa"/>
            <w:vAlign w:val="bottom"/>
            <w:tcBorders>
              <w:top w:val="single" w:sz="8" w:color="CCEEFF"/>
            </w:tcBorders>
            <w:shd w:val="clear" w:color="auto" w:fill="CCEEFF"/>
          </w:tcPr>
          <w:p>
            <w:pPr>
              <w:spacing w:after="0"/>
              <w:rPr>
                <w:sz w:val="15"/>
                <w:szCs w:val="15"/>
                <w:color w:val="auto"/>
              </w:rPr>
            </w:pPr>
          </w:p>
        </w:tc>
      </w:tr>
      <w:tr>
        <w:trPr>
          <w:trHeight w:val="190"/>
        </w:trPr>
        <w:tc>
          <w:tcPr>
            <w:tcW w:w="4160" w:type="dxa"/>
            <w:vAlign w:val="bottom"/>
          </w:tcPr>
          <w:p>
            <w:pPr>
              <w:spacing w:after="0" w:line="184" w:lineRule="exact"/>
              <w:rPr>
                <w:sz w:val="20"/>
                <w:szCs w:val="20"/>
                <w:color w:val="auto"/>
              </w:rPr>
            </w:pPr>
            <w:r>
              <w:rPr>
                <w:rFonts w:ascii="Arial" w:cs="Arial" w:eastAsia="Arial" w:hAnsi="Arial"/>
                <w:sz w:val="17"/>
                <w:szCs w:val="17"/>
                <w:color w:val="auto"/>
              </w:rPr>
              <w:t>Other</w:t>
            </w:r>
          </w:p>
        </w:tc>
        <w:tc>
          <w:tcPr>
            <w:tcW w:w="548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2,916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2,091</w:t>
            </w:r>
          </w:p>
        </w:tc>
        <w:tc>
          <w:tcPr>
            <w:tcW w:w="100" w:type="dxa"/>
            <w:vAlign w:val="bottom"/>
          </w:tcPr>
          <w:p>
            <w:pPr>
              <w:spacing w:after="0"/>
              <w:rPr>
                <w:sz w:val="16"/>
                <w:szCs w:val="16"/>
                <w:color w:val="auto"/>
              </w:rPr>
            </w:pPr>
          </w:p>
        </w:tc>
      </w:tr>
      <w:tr>
        <w:trPr>
          <w:trHeight w:val="183"/>
        </w:trPr>
        <w:tc>
          <w:tcPr>
            <w:tcW w:w="41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accrued expenses</w:t>
            </w:r>
          </w:p>
        </w:tc>
        <w:tc>
          <w:tcPr>
            <w:tcW w:w="54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20,111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20,307</w:t>
            </w:r>
          </w:p>
        </w:tc>
        <w:tc>
          <w:tcPr>
            <w:tcW w:w="100" w:type="dxa"/>
            <w:vAlign w:val="bottom"/>
            <w:shd w:val="clear" w:color="auto" w:fill="CCEEFF"/>
          </w:tcPr>
          <w:p>
            <w:pPr>
              <w:spacing w:after="0"/>
              <w:rPr>
                <w:sz w:val="15"/>
                <w:szCs w:val="15"/>
                <w:color w:val="auto"/>
              </w:rPr>
            </w:pPr>
          </w:p>
        </w:tc>
      </w:tr>
      <w:tr>
        <w:trPr>
          <w:trHeight w:val="20"/>
        </w:trPr>
        <w:tc>
          <w:tcPr>
            <w:tcW w:w="4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160" w:type="dxa"/>
            <w:vAlign w:val="bottom"/>
            <w:tcBorders>
              <w:bottom w:val="single" w:sz="8" w:color="auto"/>
            </w:tcBorders>
          </w:tcPr>
          <w:p>
            <w:pPr>
              <w:spacing w:after="0"/>
              <w:rPr>
                <w:sz w:val="17"/>
                <w:szCs w:val="17"/>
                <w:color w:val="auto"/>
              </w:rPr>
            </w:pPr>
          </w:p>
        </w:tc>
        <w:tc>
          <w:tcPr>
            <w:tcW w:w="6320" w:type="dxa"/>
            <w:vAlign w:val="bottom"/>
            <w:tcBorders>
              <w:bottom w:val="single" w:sz="8" w:color="auto"/>
            </w:tcBorders>
            <w:gridSpan w:val="3"/>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366"/>
        </w:trPr>
        <w:tc>
          <w:tcPr>
            <w:tcW w:w="4160" w:type="dxa"/>
            <w:vAlign w:val="bottom"/>
          </w:tcPr>
          <w:p>
            <w:pPr>
              <w:spacing w:after="0"/>
              <w:rPr>
                <w:sz w:val="24"/>
                <w:szCs w:val="24"/>
                <w:color w:val="auto"/>
              </w:rPr>
            </w:pPr>
          </w:p>
        </w:tc>
        <w:tc>
          <w:tcPr>
            <w:tcW w:w="6320" w:type="dxa"/>
            <w:vAlign w:val="bottom"/>
            <w:gridSpan w:val="3"/>
          </w:tcPr>
          <w:p>
            <w:pPr>
              <w:ind w:left="1400"/>
              <w:spacing w:after="0"/>
              <w:rPr>
                <w:sz w:val="20"/>
                <w:szCs w:val="20"/>
                <w:color w:val="auto"/>
              </w:rPr>
            </w:pPr>
            <w:r>
              <w:rPr>
                <w:rFonts w:ascii="Arial" w:cs="Arial" w:eastAsia="Arial" w:hAnsi="Arial"/>
                <w:sz w:val="16"/>
                <w:szCs w:val="16"/>
                <w:color w:val="auto"/>
              </w:rPr>
              <w:t>F-22</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0"/>
        </w:trPr>
        <w:tc>
          <w:tcPr>
            <w:tcW w:w="700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1"/>
              <w:spacing w:after="0" w:line="150"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0"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Term loan</w:t>
            </w:r>
          </w:p>
        </w:tc>
        <w:tc>
          <w:tcPr>
            <w:tcW w:w="2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5"/>
              </w:rPr>
              <w:t>$390,000</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4"/>
              </w:rPr>
              <w:t>505,000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0" w:type="dxa"/>
            <w:vAlign w:val="bottom"/>
          </w:tcPr>
          <w:p>
            <w:pPr>
              <w:spacing w:after="0" w:line="184" w:lineRule="exact"/>
              <w:rPr>
                <w:sz w:val="20"/>
                <w:szCs w:val="20"/>
                <w:color w:val="auto"/>
              </w:rPr>
            </w:pPr>
            <w:r>
              <w:rPr>
                <w:rFonts w:ascii="Arial" w:cs="Arial" w:eastAsia="Arial" w:hAnsi="Arial"/>
                <w:sz w:val="17"/>
                <w:szCs w:val="17"/>
                <w:color w:val="auto"/>
              </w:rPr>
              <w:t>Mortgage notes payable</w:t>
            </w:r>
          </w:p>
        </w:tc>
        <w:tc>
          <w:tcPr>
            <w:tcW w:w="2460" w:type="dxa"/>
            <w:vAlign w:val="bottom"/>
          </w:tcPr>
          <w:p>
            <w:pPr>
              <w:spacing w:after="0"/>
              <w:rPr>
                <w:sz w:val="15"/>
                <w:szCs w:val="15"/>
                <w:color w:val="auto"/>
              </w:rPr>
            </w:pPr>
          </w:p>
        </w:tc>
        <w:tc>
          <w:tcPr>
            <w:tcW w:w="11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Capital lease</w:t>
            </w:r>
          </w:p>
        </w:tc>
        <w:tc>
          <w:tcPr>
            <w:tcW w:w="2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390,059</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4"/>
              </w:rPr>
              <w:t>506,189</w:t>
            </w: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Less unamortized discount</w:t>
            </w:r>
          </w:p>
        </w:tc>
        <w:tc>
          <w:tcPr>
            <w:tcW w:w="3620" w:type="dxa"/>
            <w:vAlign w:val="bottom"/>
            <w:gridSpan w:val="3"/>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(1,984)</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(2,360)</w:t>
            </w:r>
          </w:p>
        </w:tc>
        <w:tc>
          <w:tcPr>
            <w:tcW w:w="0" w:type="dxa"/>
            <w:vAlign w:val="bottom"/>
          </w:tcPr>
          <w:p>
            <w:pPr>
              <w:spacing w:after="0"/>
              <w:rPr>
                <w:sz w:val="1"/>
                <w:szCs w:val="1"/>
                <w:color w:val="auto"/>
              </w:rPr>
            </w:pPr>
          </w:p>
        </w:tc>
      </w:tr>
      <w:tr>
        <w:trPr>
          <w:trHeight w:val="183"/>
        </w:trPr>
        <w:tc>
          <w:tcPr>
            <w:tcW w:w="7000" w:type="dxa"/>
            <w:vAlign w:val="bottom"/>
          </w:tcPr>
          <w:p>
            <w:pPr>
              <w:spacing w:after="0" w:line="184" w:lineRule="exact"/>
              <w:rPr>
                <w:sz w:val="20"/>
                <w:szCs w:val="20"/>
                <w:color w:val="auto"/>
              </w:rPr>
            </w:pPr>
            <w:r>
              <w:rPr>
                <w:rFonts w:ascii="Arial" w:cs="Arial" w:eastAsia="Arial" w:hAnsi="Arial"/>
                <w:sz w:val="17"/>
                <w:szCs w:val="17"/>
                <w:color w:val="auto"/>
              </w:rPr>
              <w:t>Less unamortized debt issuance costs</w:t>
            </w:r>
          </w:p>
        </w:tc>
        <w:tc>
          <w:tcPr>
            <w:tcW w:w="3620" w:type="dxa"/>
            <w:vAlign w:val="bottom"/>
            <w:gridSpan w:val="3"/>
          </w:tcPr>
          <w:p>
            <w:pPr>
              <w:jc w:val="right"/>
              <w:ind w:right="400"/>
              <w:spacing w:after="0" w:line="184" w:lineRule="exact"/>
              <w:rPr>
                <w:sz w:val="20"/>
                <w:szCs w:val="20"/>
                <w:color w:val="auto"/>
              </w:rPr>
            </w:pPr>
            <w:r>
              <w:rPr>
                <w:rFonts w:ascii="Arial" w:cs="Arial" w:eastAsia="Arial" w:hAnsi="Arial"/>
                <w:sz w:val="17"/>
                <w:szCs w:val="17"/>
                <w:color w:val="auto"/>
              </w:rPr>
              <w:t>(10,134)</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(12,056)</w:t>
            </w: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Less current portion of long-term debt</w:t>
            </w:r>
          </w:p>
        </w:tc>
        <w:tc>
          <w:tcPr>
            <w:tcW w:w="2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60"/>
              <w:spacing w:after="0"/>
              <w:rPr>
                <w:sz w:val="20"/>
                <w:szCs w:val="20"/>
                <w:color w:val="auto"/>
              </w:rPr>
            </w:pPr>
            <w:r>
              <w:rPr>
                <w:rFonts w:ascii="Arial" w:cs="Arial" w:eastAsia="Arial" w:hAnsi="Arial"/>
                <w:sz w:val="17"/>
                <w:szCs w:val="17"/>
                <w:color w:val="auto"/>
              </w:rPr>
              <w:t>Long-term debt, net, less current portion</w:t>
            </w: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0" w:type="dxa"/>
            <w:vAlign w:val="bottom"/>
            <w:vMerge w:val="continue"/>
          </w:tcPr>
          <w:p>
            <w:pPr>
              <w:spacing w:after="0"/>
              <w:rPr>
                <w:sz w:val="16"/>
                <w:szCs w:val="16"/>
                <w:color w:val="auto"/>
              </w:rPr>
            </w:pPr>
          </w:p>
        </w:tc>
        <w:tc>
          <w:tcPr>
            <w:tcW w:w="3620" w:type="dxa"/>
            <w:vAlign w:val="bottom"/>
            <w:gridSpan w:val="3"/>
          </w:tcPr>
          <w:p>
            <w:pPr>
              <w:jc w:val="right"/>
              <w:ind w:right="4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377,882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4"/>
              </w:rPr>
              <w:t>491,518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000" w:type="dxa"/>
            <w:vAlign w:val="bottom"/>
          </w:tcPr>
          <w:p>
            <w:pPr>
              <w:spacing w:after="0"/>
              <w:rPr>
                <w:sz w:val="20"/>
                <w:szCs w:val="20"/>
                <w:color w:val="auto"/>
              </w:rPr>
            </w:pPr>
            <w:r>
              <w:rPr>
                <w:rFonts w:ascii="Arial" w:cs="Arial" w:eastAsia="Arial" w:hAnsi="Arial"/>
                <w:sz w:val="17"/>
                <w:szCs w:val="17"/>
                <w:color w:val="auto"/>
              </w:rPr>
              <w:t>Principal payments on debt are due as follows (in thousands):</w:t>
            </w:r>
          </w:p>
        </w:tc>
        <w:tc>
          <w:tcPr>
            <w:tcW w:w="2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0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2016</w:t>
            </w:r>
          </w:p>
        </w:tc>
        <w:tc>
          <w:tcPr>
            <w:tcW w:w="2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83"/>
        </w:trPr>
        <w:tc>
          <w:tcPr>
            <w:tcW w:w="7000" w:type="dxa"/>
            <w:vAlign w:val="bottom"/>
          </w:tcPr>
          <w:p>
            <w:pPr>
              <w:spacing w:after="0" w:line="184" w:lineRule="exact"/>
              <w:rPr>
                <w:sz w:val="20"/>
                <w:szCs w:val="20"/>
                <w:color w:val="auto"/>
              </w:rPr>
            </w:pPr>
            <w:r>
              <w:rPr>
                <w:rFonts w:ascii="Arial" w:cs="Arial" w:eastAsia="Arial" w:hAnsi="Arial"/>
                <w:sz w:val="17"/>
                <w:szCs w:val="17"/>
                <w:color w:val="auto"/>
              </w:rPr>
              <w:t>2017</w:t>
            </w:r>
          </w:p>
        </w:tc>
        <w:tc>
          <w:tcPr>
            <w:tcW w:w="2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2018</w:t>
            </w:r>
          </w:p>
        </w:tc>
        <w:tc>
          <w:tcPr>
            <w:tcW w:w="2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000" w:type="dxa"/>
            <w:vAlign w:val="bottom"/>
          </w:tcPr>
          <w:p>
            <w:pPr>
              <w:spacing w:after="0" w:line="184" w:lineRule="exact"/>
              <w:rPr>
                <w:sz w:val="20"/>
                <w:szCs w:val="20"/>
                <w:color w:val="auto"/>
              </w:rPr>
            </w:pPr>
            <w:r>
              <w:rPr>
                <w:rFonts w:ascii="Arial" w:cs="Arial" w:eastAsia="Arial" w:hAnsi="Arial"/>
                <w:sz w:val="17"/>
                <w:szCs w:val="17"/>
                <w:color w:val="auto"/>
              </w:rPr>
              <w:t>2019</w:t>
            </w:r>
          </w:p>
        </w:tc>
        <w:tc>
          <w:tcPr>
            <w:tcW w:w="2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2020</w:t>
            </w:r>
          </w:p>
        </w:tc>
        <w:tc>
          <w:tcPr>
            <w:tcW w:w="2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7000" w:type="dxa"/>
            <w:vAlign w:val="bottom"/>
          </w:tcPr>
          <w:p>
            <w:pPr>
              <w:spacing w:after="0" w:line="184" w:lineRule="exact"/>
              <w:rPr>
                <w:sz w:val="20"/>
                <w:szCs w:val="20"/>
                <w:color w:val="auto"/>
              </w:rPr>
            </w:pPr>
            <w:r>
              <w:rPr>
                <w:rFonts w:ascii="Arial" w:cs="Arial" w:eastAsia="Arial" w:hAnsi="Arial"/>
                <w:sz w:val="17"/>
                <w:szCs w:val="17"/>
                <w:color w:val="auto"/>
              </w:rPr>
              <w:t>Thereafter</w:t>
            </w:r>
          </w:p>
        </w:tc>
        <w:tc>
          <w:tcPr>
            <w:tcW w:w="2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w w:val="94"/>
              </w:rPr>
              <w:t>390,000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w:t>
            </w:r>
          </w:p>
        </w:tc>
        <w:tc>
          <w:tcPr>
            <w:tcW w:w="2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4"/>
              </w:rPr>
              <w:t>390,059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Company Credit Facilities</w:t>
      </w:r>
    </w:p>
    <w:p>
      <w:pPr>
        <w:spacing w:after="0" w:line="47"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On April 1, 2014, in connection with the Transaction, the Successor entered into a $530.0 million credit agreement (the “Credit Agreement”), consisting of a $530.0 million term loan issued at 99.50% and a $60.0 million revolving credit facility (“Revolver”) issued at 99.00%. The term loan portion of the Credit Agreement has a seven year term and the Revolver has a five year term.</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Credit Agreement provides for the Company’s option, interest at the Eurocurrency rate or Base rate for term loan and Revolver borrowings. Base rate is the higher of several published customary market rates, including Federal Funds rate or Prime at time of borrowing. The Company, at its discretion, may choose interest periods of 1, 2, 3 or 6 months, which determines the interest rate to be applied. Interest on Eurocurrency loans continues to be payable at the end of the selected Eurocurrency term and interest on Base rate loans are payable quarterly in conjunction with any required principal payments.</w:t>
      </w:r>
    </w:p>
    <w:p>
      <w:pPr>
        <w:spacing w:after="0" w:line="136"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 Credit Agreement initially provided for Eurocurrency loans at interest rates of 4.00% and 3.75% and interest rates of 3.00% and 2.75% with respect to Base rate for term loans and Revolver borrowings, respectively. Upon expiration of initial interest periods, term loan and Revolver borrowings under the Credit Agreement bear interest at a rate per annum equal to an applicable spread, with pricing levels providing for an interest rate reduction of 25 basis points upon achievement of a defined financial net debt leverage ratio, plus a Eurocurrency or Base rate. The defined net debt leverage ratio required for the reduced interest level was achieved in the second quarter of 2015 and has subsequently maintained. Term loan Eurocurrency rates are subject to a minimum floor of 1.00% or a Base rate which is subject to a floor of 2.00%. However, Revolver borrowings are not subject to minimum floor rates. The applicable spread for the term loan is 3.75% or 4.00% for the Eurocurrency rate and 2.75% or 3.00% with respect to the Base rate. The applicable spread for the Revolver is 3.50% or 3.75% for the Eurocurrency rate and 2.50% or 2.75% with respect to the Base rate.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449"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Medpace pays commitment fees on a quarterly basis at an annual rate of 0.50% of the unused borrowings under the Revolver, which is recorded as a component of Interest expense, net in the consolidated statements of operations. The commitment fee is subject to a pricing level reduction to 0.375% upon achievement of a defined financial net debt leverage. As of December 31, 2015, the Company had met the requirements for the pricing level reduction.</w:t>
      </w:r>
    </w:p>
    <w:p>
      <w:pPr>
        <w:spacing w:after="0" w:line="13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original issue discount of $2.7 million related to the issuance of the term loan was recorded as a reduction of the underlying debt issuances and is being amortized over the life of the debt using the effective-interest method. Per the terms of the Credit Agreement, principal is scheduled to be paid quarterly on the last business day of March, June, September and December of each year, beginning September 2014. However, the Company is no longer subject to the quarterly term loan amortization as a result of voluntary prepayments in term loan principal during 2015 and 2014.</w:t>
      </w:r>
    </w:p>
    <w:p>
      <w:pPr>
        <w:spacing w:after="0" w:line="141"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Origination fees of $15.5 million were originally capitalized related to the issuance of the Credit Agreement and are being amortized over the life of the debt using the effective-interest method. The unamortized portion of these fees related to the term loan were $10.1 million and $12.1 million at December 31, 2015 and 2014, respectively, and are recorded within Long-term debt, net, less current portion. The unamortized portion of the origination fees attributable to the Revolver were $1.3 million and $1.7 million at December 31, 2015 and 2014, respectively, and were recorded as a component of Other assets in the consolidated balance sheets.</w:t>
      </w:r>
    </w:p>
    <w:p>
      <w:pPr>
        <w:spacing w:after="0" w:line="14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 The Successor was in compliance with all financial covenants as of December 31, 2015 and 2014.</w:t>
      </w:r>
    </w:p>
    <w:p>
      <w:pPr>
        <w:spacing w:after="0" w:line="141"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As of December 31, 2015 the Company did not have any outstanding letters of credit under the Credit Agreement resulting in $60.0 million in undrawn capacity available under the Revolver. As of December 31, 2014, the Company had $2.2 million in outstanding letters of credit under the Credit Agreement resulting in $57.8 million in undrawn capacity available under the Revolver. The gross term loan balance as of December 31, 2015 and 2014 was $390.0 million and $505.0 million, respectively, and is currently at the Eurocurrency minimum floor interest rate of 4.75%.</w:t>
      </w:r>
    </w:p>
    <w:p>
      <w:pPr>
        <w:spacing w:after="0" w:line="89" w:lineRule="exact"/>
        <w:rPr>
          <w:sz w:val="20"/>
          <w:szCs w:val="20"/>
          <w:color w:val="auto"/>
        </w:rPr>
      </w:pPr>
    </w:p>
    <w:p>
      <w:pPr>
        <w:ind w:right="500"/>
        <w:spacing w:after="0" w:line="235" w:lineRule="auto"/>
        <w:rPr>
          <w:sz w:val="20"/>
          <w:szCs w:val="20"/>
          <w:color w:val="auto"/>
        </w:rPr>
      </w:pPr>
      <w:r>
        <w:rPr>
          <w:rFonts w:ascii="Arial" w:cs="Arial" w:eastAsia="Arial" w:hAnsi="Arial"/>
          <w:sz w:val="17"/>
          <w:szCs w:val="17"/>
          <w:color w:val="auto"/>
        </w:rPr>
        <w:t>The estimated fair value of the Successor’s term loan at December 31, 2015 and 2014, based on Level 1 quoted market prices, approximates $386.3 million and $500.9 million compared to the carrying value of $388.0 million and $502.6 million.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Predecessor Company Credit Facilities</w:t>
      </w:r>
    </w:p>
    <w:p>
      <w:pPr>
        <w:spacing w:after="0" w:line="34"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On June 17, 2011, the Predecessor Company entered into a $335.0 million credit agreement (the “Predecessor Credit Agreement”), consisting of a $285.0 million term loan issued at 98.50% and a $50.0 million revolving credit facility (“Predecessor Revolver”). The Predecessor Credit Agreement, which was terminated in 2014 in connection with the Transaction, was guaranteed by the Company and its subsidiaries and was subject to covenants relating to financial ratios and restrictions on certain types of transactions. The Predecessor was in compliance with all financial covenants as of December 31, 2013.</w:t>
      </w:r>
    </w:p>
    <w:p>
      <w:pPr>
        <w:spacing w:after="0" w:line="13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Predecessor Credit Agreement initially provided borrowings at interest rates based on a EuroDollar rate plus a margin of 5.00%, or a base rate plus a margin of 4.00%. Prior to the amendment discussed below, the EuroDollar rate was subject to a minimum floor of 1.50% and the base rate was subject to a minimum floor of 2.50%. Interest on the EuroDollar margin tranche of the loan was payable at the end of the selected EuroDollar term, which was typically a 30-day term or a 60-day term. Interest on the base rate tranche of the loan was payable quarterly in conjunction with any required principal payments. The Predecessor paid commitment fees on a quarterly basis at an annual rate of 0.50% of the unused amount of borrowings, which was recorded as a component of Interest expense, net in the consolidated statements of operations. The term loan portion of the Predecessor Credit Agreement had a six year term and the Predecessor Revolver had a five year term.</w:t>
      </w:r>
    </w:p>
    <w:p>
      <w:pPr>
        <w:spacing w:after="0" w:line="14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original issue discount of $4.3 million from the issuance of the term loan was recorded as a reduction of the underlying debt balance and was being amortized over the life of the debt using a method which approximated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49"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effective-interest method. Per the terms of the Predecessor Credit Agreement, principal was scheduled to be paid quarterly on the last business day of March, June, September and December of each year. However, as a result of voluntary prepayments in term loan principal during 2013, the Predecessor was not subject to the quarterly term loan amortization from that point forward.</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total of $5.9 million in loan origination fees were initially capitalized in conjunction with the issuance of the Predecessor Credit Agreement and those fees, net of the adjustment discussed below, were amortized over the life of the debt using a method which approximated the effective-interest method.</w:t>
      </w:r>
    </w:p>
    <w:p>
      <w:pPr>
        <w:spacing w:after="0" w:line="141" w:lineRule="exact"/>
        <w:rPr>
          <w:sz w:val="20"/>
          <w:szCs w:val="20"/>
          <w:color w:val="auto"/>
        </w:rPr>
      </w:pPr>
    </w:p>
    <w:p>
      <w:pPr>
        <w:ind w:right="700"/>
        <w:spacing w:after="0" w:line="289" w:lineRule="auto"/>
        <w:rPr>
          <w:sz w:val="20"/>
          <w:szCs w:val="20"/>
          <w:color w:val="auto"/>
        </w:rPr>
      </w:pPr>
      <w:r>
        <w:rPr>
          <w:rFonts w:ascii="Arial" w:cs="Arial" w:eastAsia="Arial" w:hAnsi="Arial"/>
          <w:sz w:val="17"/>
          <w:szCs w:val="17"/>
          <w:color w:val="auto"/>
        </w:rPr>
        <w:t xml:space="preserve">The gross term loan balance was $166.7 million at December 31, 2013 and was subject to interest at the EuroDollar minimum floor rate of 5.25%. </w:t>
      </w:r>
      <w:r>
        <w:rPr>
          <w:rFonts w:ascii="Arial" w:cs="Arial" w:eastAsia="Arial" w:hAnsi="Arial"/>
          <w:sz w:val="17"/>
          <w:szCs w:val="17"/>
          <w:b w:val="1"/>
          <w:bCs w:val="1"/>
          <w:i w:val="1"/>
          <w:iCs w:val="1"/>
          <w:color w:val="auto"/>
        </w:rPr>
        <w:t>Amendment of the Predecessor Company Credit Facilities</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On April 11, 2013, the Predecessor amended its credit facilities, primarily to modify the borrowing rate. The Predecessor Credit Agreement, as amended, provided for borrowings at interest rates that were based on a EuroDollar rate plus a margin of 4.25%, or a base rate plus a margin of 3.25%. The EuroDollar rate was subject to a minimum floor of 1.25% and the base rate was subject to a minimum floor of 2.25%.</w:t>
      </w:r>
    </w:p>
    <w:p>
      <w:pPr>
        <w:spacing w:after="0" w:line="143"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In connection with amendment of the Predecessor Credit Agreement, three of the Predecessor’s previous lenders exited the credit facility. Pursuant to the accounting guidance governing such transactions, the Predecessor recorded a $1.5 million loss on the extinguishment of debt for the pro-rata share of unamortized debt issuance costs and original issue discount associated with those lenders. The loss on extinguishment was recorded in Miscellaneous (expense) income, net on the consolidated statement of operations for the year ended December 31, 2013. The original unamortized costs associated with the remaining lenders, in addition to the $1.1 million in new loan origination fees incurred in connection with the refinancing, were being amortized over the remaining term of the debt using a method which approximated the effective-interest method.</w:t>
      </w:r>
    </w:p>
    <w:p>
      <w:pPr>
        <w:spacing w:after="0" w:line="143"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outstanding term loan balance of $143.7 million as of March 31, 2014 was paid in full in connection with the Transaction and the Predecessor Credit Agreement was terminated.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Notes Payable</w:t>
      </w:r>
    </w:p>
    <w:p>
      <w:pPr>
        <w:spacing w:after="0" w:line="3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Medpace entered into a mortgage contract with a European bank in 2006 related to the purchase of a laboratory facility in Leuven, Belgium. The Euro-denominated mortgage bears a fixed annual interest rate of 4.90%, requires monthly payments of principal and interest, and has a final maturity of December 2021. The mortgage is secured by building and land and also requires that Medpace maintain a cash balance held as collateral with the bank. During 2015, the mortgage was fully repaid and the Company received a full refund of cash collateral during the first quarter of 2016.</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360"/>
          </w:cols>
          <w:pgMar w:left="240" w:top="449" w:right="2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CONTINGENCIES, AND GUARANTEES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3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Company has payment obligations under non-cancellable operating and capital leases, primarily for office space and furniture and fixtures to support its global operations. These leases often contain customary scheduled rent increases or escalation clauses and renewal options. Rent expense is recorded on a straight line basis. As of December 31, 2015, minimum future lease payments required under these leases are as follows for the years ending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NON-RELATED</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RELATED PARTY</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right"/>
              <w:ind w:right="880"/>
              <w:spacing w:after="0" w:line="157" w:lineRule="exact"/>
              <w:rPr>
                <w:sz w:val="20"/>
                <w:szCs w:val="20"/>
                <w:color w:val="auto"/>
              </w:rPr>
            </w:pPr>
            <w:r>
              <w:rPr>
                <w:rFonts w:ascii="Arial" w:cs="Arial" w:eastAsia="Arial" w:hAnsi="Arial"/>
                <w:sz w:val="14"/>
                <w:szCs w:val="14"/>
                <w:b w:val="1"/>
                <w:bCs w:val="1"/>
                <w:color w:val="auto"/>
                <w:w w:val="97"/>
              </w:rPr>
              <w:t>RELATED PARTY</w:t>
            </w:r>
          </w:p>
        </w:tc>
        <w:tc>
          <w:tcPr>
            <w:tcW w:w="22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PARTIES OPERATING</w:t>
            </w:r>
          </w:p>
        </w:tc>
        <w:tc>
          <w:tcPr>
            <w:tcW w:w="9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 LEASE</w:t>
            </w:r>
          </w:p>
        </w:tc>
        <w:tc>
          <w:tcPr>
            <w:tcW w:w="400" w:type="dxa"/>
            <w:vAlign w:val="bottom"/>
          </w:tcPr>
          <w:p>
            <w:pPr>
              <w:spacing w:after="0"/>
              <w:rPr>
                <w:sz w:val="14"/>
                <w:szCs w:val="14"/>
                <w:color w:val="auto"/>
              </w:rPr>
            </w:pPr>
          </w:p>
        </w:tc>
        <w:tc>
          <w:tcPr>
            <w:tcW w:w="21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7"/>
              </w:rPr>
              <w:t>OPERATING LEASE</w:t>
            </w:r>
          </w:p>
        </w:tc>
        <w:tc>
          <w:tcPr>
            <w:tcW w:w="160" w:type="dxa"/>
            <w:vAlign w:val="bottom"/>
          </w:tcPr>
          <w:p>
            <w:pPr>
              <w:spacing w:after="0"/>
              <w:rPr>
                <w:sz w:val="14"/>
                <w:szCs w:val="14"/>
                <w:color w:val="auto"/>
              </w:rPr>
            </w:pPr>
          </w:p>
        </w:tc>
        <w:tc>
          <w:tcPr>
            <w:tcW w:w="208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LEASES</w:t>
            </w:r>
          </w:p>
        </w:tc>
        <w:tc>
          <w:tcPr>
            <w:tcW w:w="0" w:type="dxa"/>
            <w:vAlign w:val="bottom"/>
          </w:tcPr>
          <w:p>
            <w:pPr>
              <w:spacing w:after="0"/>
              <w:rPr>
                <w:sz w:val="1"/>
                <w:szCs w:val="1"/>
                <w:color w:val="auto"/>
              </w:rPr>
            </w:pPr>
          </w:p>
        </w:tc>
      </w:tr>
      <w:tr>
        <w:trPr>
          <w:trHeight w:val="176"/>
        </w:trPr>
        <w:tc>
          <w:tcPr>
            <w:tcW w:w="38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2016</w:t>
            </w:r>
          </w:p>
        </w:tc>
        <w:tc>
          <w:tcPr>
            <w:tcW w:w="4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62</w:t>
            </w: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2,112</w:t>
            </w:r>
          </w:p>
        </w:tc>
        <w:tc>
          <w:tcPr>
            <w:tcW w:w="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4,048</w:t>
            </w: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6,160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line="184" w:lineRule="exact"/>
              <w:rPr>
                <w:sz w:val="20"/>
                <w:szCs w:val="20"/>
                <w:color w:val="auto"/>
              </w:rPr>
            </w:pPr>
            <w:r>
              <w:rPr>
                <w:rFonts w:ascii="Arial" w:cs="Arial" w:eastAsia="Arial" w:hAnsi="Arial"/>
                <w:sz w:val="17"/>
                <w:szCs w:val="17"/>
                <w:color w:val="auto"/>
              </w:rPr>
              <w:t>2017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right"/>
              <w:ind w:right="800"/>
              <w:spacing w:after="0" w:line="184" w:lineRule="exact"/>
              <w:rPr>
                <w:sz w:val="20"/>
                <w:szCs w:val="20"/>
                <w:color w:val="auto"/>
              </w:rPr>
            </w:pPr>
            <w:r>
              <w:rPr>
                <w:rFonts w:ascii="Arial" w:cs="Arial" w:eastAsia="Arial" w:hAnsi="Arial"/>
                <w:sz w:val="17"/>
                <w:szCs w:val="17"/>
                <w:color w:val="auto"/>
              </w:rPr>
              <w:t>2,112</w:t>
            </w:r>
          </w:p>
        </w:tc>
        <w:tc>
          <w:tcPr>
            <w:tcW w:w="160" w:type="dxa"/>
            <w:vAlign w:val="bottom"/>
          </w:tcPr>
          <w:p>
            <w:pPr>
              <w:spacing w:after="0"/>
              <w:rPr>
                <w:sz w:val="15"/>
                <w:szCs w:val="15"/>
                <w:color w:val="auto"/>
              </w:rPr>
            </w:pPr>
          </w:p>
        </w:tc>
        <w:tc>
          <w:tcPr>
            <w:tcW w:w="2080" w:type="dxa"/>
            <w:vAlign w:val="bottom"/>
            <w:gridSpan w:val="2"/>
          </w:tcPr>
          <w:p>
            <w:pPr>
              <w:jc w:val="right"/>
              <w:ind w:right="800"/>
              <w:spacing w:after="0" w:line="184" w:lineRule="exact"/>
              <w:rPr>
                <w:sz w:val="20"/>
                <w:szCs w:val="20"/>
                <w:color w:val="auto"/>
              </w:rPr>
            </w:pPr>
            <w:r>
              <w:rPr>
                <w:rFonts w:ascii="Arial" w:cs="Arial" w:eastAsia="Arial" w:hAnsi="Arial"/>
                <w:sz w:val="17"/>
                <w:szCs w:val="17"/>
                <w:color w:val="auto"/>
              </w:rPr>
              <w:t>2,786</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4,898</w:t>
            </w: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2018</w:t>
            </w: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800"/>
              <w:spacing w:after="0" w:line="184" w:lineRule="exact"/>
              <w:rPr>
                <w:sz w:val="20"/>
                <w:szCs w:val="20"/>
                <w:color w:val="auto"/>
              </w:rPr>
            </w:pPr>
            <w:r>
              <w:rPr>
                <w:rFonts w:ascii="Arial" w:cs="Arial" w:eastAsia="Arial" w:hAnsi="Arial"/>
                <w:sz w:val="17"/>
                <w:szCs w:val="17"/>
                <w:color w:val="auto"/>
              </w:rPr>
              <w:t>2,112</w:t>
            </w:r>
          </w:p>
        </w:tc>
        <w:tc>
          <w:tcPr>
            <w:tcW w:w="1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right"/>
              <w:ind w:right="800"/>
              <w:spacing w:after="0" w:line="184" w:lineRule="exact"/>
              <w:rPr>
                <w:sz w:val="20"/>
                <w:szCs w:val="20"/>
                <w:color w:val="auto"/>
              </w:rPr>
            </w:pPr>
            <w:r>
              <w:rPr>
                <w:rFonts w:ascii="Arial" w:cs="Arial" w:eastAsia="Arial" w:hAnsi="Arial"/>
                <w:sz w:val="17"/>
                <w:szCs w:val="17"/>
                <w:color w:val="auto"/>
              </w:rPr>
              <w:t>2,650</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4,762</w:t>
            </w:r>
          </w:p>
        </w:tc>
        <w:tc>
          <w:tcPr>
            <w:tcW w:w="0" w:type="dxa"/>
            <w:vAlign w:val="bottom"/>
          </w:tcPr>
          <w:p>
            <w:pPr>
              <w:spacing w:after="0"/>
              <w:rPr>
                <w:sz w:val="1"/>
                <w:szCs w:val="1"/>
                <w:color w:val="auto"/>
              </w:rPr>
            </w:pPr>
          </w:p>
        </w:tc>
      </w:tr>
      <w:tr>
        <w:trPr>
          <w:trHeight w:val="183"/>
        </w:trPr>
        <w:tc>
          <w:tcPr>
            <w:tcW w:w="3800" w:type="dxa"/>
            <w:vAlign w:val="bottom"/>
          </w:tcPr>
          <w:p>
            <w:pPr>
              <w:spacing w:after="0" w:line="184" w:lineRule="exact"/>
              <w:rPr>
                <w:sz w:val="20"/>
                <w:szCs w:val="20"/>
                <w:color w:val="auto"/>
              </w:rPr>
            </w:pPr>
            <w:r>
              <w:rPr>
                <w:rFonts w:ascii="Arial" w:cs="Arial" w:eastAsia="Arial" w:hAnsi="Arial"/>
                <w:sz w:val="17"/>
                <w:szCs w:val="17"/>
                <w:color w:val="auto"/>
              </w:rPr>
              <w:t>2019</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right"/>
              <w:ind w:right="800"/>
              <w:spacing w:after="0" w:line="184" w:lineRule="exact"/>
              <w:rPr>
                <w:sz w:val="20"/>
                <w:szCs w:val="20"/>
                <w:color w:val="auto"/>
              </w:rPr>
            </w:pPr>
            <w:r>
              <w:rPr>
                <w:rFonts w:ascii="Arial" w:cs="Arial" w:eastAsia="Arial" w:hAnsi="Arial"/>
                <w:sz w:val="17"/>
                <w:szCs w:val="17"/>
                <w:color w:val="auto"/>
              </w:rPr>
              <w:t>2,112</w:t>
            </w:r>
          </w:p>
        </w:tc>
        <w:tc>
          <w:tcPr>
            <w:tcW w:w="160" w:type="dxa"/>
            <w:vAlign w:val="bottom"/>
          </w:tcPr>
          <w:p>
            <w:pPr>
              <w:spacing w:after="0"/>
              <w:rPr>
                <w:sz w:val="15"/>
                <w:szCs w:val="15"/>
                <w:color w:val="auto"/>
              </w:rPr>
            </w:pPr>
          </w:p>
        </w:tc>
        <w:tc>
          <w:tcPr>
            <w:tcW w:w="2080" w:type="dxa"/>
            <w:vAlign w:val="bottom"/>
            <w:gridSpan w:val="2"/>
          </w:tcPr>
          <w:p>
            <w:pPr>
              <w:jc w:val="right"/>
              <w:ind w:right="800"/>
              <w:spacing w:after="0" w:line="184" w:lineRule="exact"/>
              <w:rPr>
                <w:sz w:val="20"/>
                <w:szCs w:val="20"/>
                <w:color w:val="auto"/>
              </w:rPr>
            </w:pPr>
            <w:r>
              <w:rPr>
                <w:rFonts w:ascii="Arial" w:cs="Arial" w:eastAsia="Arial" w:hAnsi="Arial"/>
                <w:sz w:val="17"/>
                <w:szCs w:val="17"/>
                <w:color w:val="auto"/>
              </w:rPr>
              <w:t>1,482</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3,594</w:t>
            </w: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2020</w:t>
            </w: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800"/>
              <w:spacing w:after="0" w:line="184" w:lineRule="exact"/>
              <w:rPr>
                <w:sz w:val="20"/>
                <w:szCs w:val="20"/>
                <w:color w:val="auto"/>
              </w:rPr>
            </w:pPr>
            <w:r>
              <w:rPr>
                <w:rFonts w:ascii="Arial" w:cs="Arial" w:eastAsia="Arial" w:hAnsi="Arial"/>
                <w:sz w:val="17"/>
                <w:szCs w:val="17"/>
                <w:color w:val="auto"/>
              </w:rPr>
              <w:t>2,112</w:t>
            </w:r>
          </w:p>
        </w:tc>
        <w:tc>
          <w:tcPr>
            <w:tcW w:w="1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right"/>
              <w:ind w:right="800"/>
              <w:spacing w:after="0" w:line="184" w:lineRule="exact"/>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3,246</w:t>
            </w:r>
          </w:p>
        </w:tc>
        <w:tc>
          <w:tcPr>
            <w:tcW w:w="0" w:type="dxa"/>
            <w:vAlign w:val="bottom"/>
          </w:tcPr>
          <w:p>
            <w:pPr>
              <w:spacing w:after="0"/>
              <w:rPr>
                <w:sz w:val="1"/>
                <w:szCs w:val="1"/>
                <w:color w:val="auto"/>
              </w:rPr>
            </w:pPr>
          </w:p>
        </w:tc>
      </w:tr>
      <w:tr>
        <w:trPr>
          <w:trHeight w:val="183"/>
        </w:trPr>
        <w:tc>
          <w:tcPr>
            <w:tcW w:w="3800" w:type="dxa"/>
            <w:vAlign w:val="bottom"/>
          </w:tcPr>
          <w:p>
            <w:pPr>
              <w:spacing w:after="0" w:line="184" w:lineRule="exact"/>
              <w:rPr>
                <w:sz w:val="20"/>
                <w:szCs w:val="20"/>
                <w:color w:val="auto"/>
              </w:rPr>
            </w:pPr>
            <w:r>
              <w:rPr>
                <w:rFonts w:ascii="Arial" w:cs="Arial" w:eastAsia="Arial" w:hAnsi="Arial"/>
                <w:sz w:val="17"/>
                <w:szCs w:val="17"/>
                <w:color w:val="auto"/>
              </w:rPr>
              <w:t>Thereafter</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right"/>
              <w:ind w:right="800"/>
              <w:spacing w:after="0" w:line="184" w:lineRule="exact"/>
              <w:rPr>
                <w:sz w:val="20"/>
                <w:szCs w:val="20"/>
                <w:color w:val="auto"/>
              </w:rPr>
            </w:pPr>
            <w:r>
              <w:rPr>
                <w:rFonts w:ascii="Arial" w:cs="Arial" w:eastAsia="Arial" w:hAnsi="Arial"/>
                <w:sz w:val="17"/>
                <w:szCs w:val="17"/>
                <w:color w:val="auto"/>
              </w:rPr>
              <w:t>3,872</w:t>
            </w:r>
          </w:p>
        </w:tc>
        <w:tc>
          <w:tcPr>
            <w:tcW w:w="160" w:type="dxa"/>
            <w:vAlign w:val="bottom"/>
          </w:tcPr>
          <w:p>
            <w:pPr>
              <w:spacing w:after="0"/>
              <w:rPr>
                <w:sz w:val="15"/>
                <w:szCs w:val="15"/>
                <w:color w:val="auto"/>
              </w:rPr>
            </w:pPr>
          </w:p>
        </w:tc>
        <w:tc>
          <w:tcPr>
            <w:tcW w:w="2080" w:type="dxa"/>
            <w:vAlign w:val="bottom"/>
            <w:gridSpan w:val="2"/>
          </w:tcPr>
          <w:p>
            <w:pPr>
              <w:jc w:val="right"/>
              <w:ind w:right="800"/>
              <w:spacing w:after="0" w:line="184" w:lineRule="exact"/>
              <w:rPr>
                <w:sz w:val="20"/>
                <w:szCs w:val="20"/>
                <w:color w:val="auto"/>
              </w:rPr>
            </w:pPr>
            <w:r>
              <w:rPr>
                <w:rFonts w:ascii="Arial" w:cs="Arial" w:eastAsia="Arial" w:hAnsi="Arial"/>
                <w:sz w:val="17"/>
                <w:szCs w:val="17"/>
                <w:color w:val="auto"/>
              </w:rPr>
              <w:t>3,759</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7,631</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minimum lease payments</w:t>
            </w:r>
          </w:p>
        </w:tc>
        <w:tc>
          <w:tcPr>
            <w:tcW w:w="92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62</w:t>
            </w:r>
          </w:p>
        </w:tc>
        <w:tc>
          <w:tcPr>
            <w:tcW w:w="4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2040" w:type="dxa"/>
            <w:vAlign w:val="bottom"/>
            <w:gridSpan w:val="2"/>
            <w:shd w:val="clear" w:color="auto" w:fill="CCEEFF"/>
          </w:tcPr>
          <w:p>
            <w:pPr>
              <w:jc w:val="right"/>
              <w:ind w:right="800"/>
              <w:spacing w:after="0" w:line="184" w:lineRule="exact"/>
              <w:rPr>
                <w:sz w:val="20"/>
                <w:szCs w:val="20"/>
                <w:color w:val="auto"/>
              </w:rPr>
            </w:pPr>
            <w:r>
              <w:rPr>
                <w:rFonts w:ascii="Arial" w:cs="Arial" w:eastAsia="Arial" w:hAnsi="Arial"/>
                <w:sz w:val="17"/>
                <w:szCs w:val="17"/>
                <w:color w:val="auto"/>
              </w:rPr>
              <w:t>14,432</w:t>
            </w:r>
          </w:p>
        </w:tc>
        <w:tc>
          <w:tcPr>
            <w:tcW w:w="1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CCEEFF"/>
          </w:tcPr>
          <w:p>
            <w:pPr>
              <w:jc w:val="right"/>
              <w:ind w:right="800"/>
              <w:spacing w:after="0" w:line="184" w:lineRule="exact"/>
              <w:rPr>
                <w:sz w:val="20"/>
                <w:szCs w:val="20"/>
                <w:color w:val="auto"/>
              </w:rPr>
            </w:pPr>
            <w:r>
              <w:rPr>
                <w:rFonts w:ascii="Arial" w:cs="Arial" w:eastAsia="Arial" w:hAnsi="Arial"/>
                <w:sz w:val="17"/>
                <w:szCs w:val="17"/>
                <w:color w:val="auto"/>
              </w:rPr>
              <w:t>15,859</w:t>
            </w:r>
          </w:p>
        </w:tc>
        <w:tc>
          <w:tcPr>
            <w:tcW w:w="1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30,291</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7"/>
                <w:szCs w:val="17"/>
                <w:color w:val="auto"/>
              </w:rPr>
              <w:t>Less amounts representing interest</w:t>
            </w: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400"/>
              <w:spacing w:after="0" w:line="176" w:lineRule="exact"/>
              <w:rPr>
                <w:sz w:val="20"/>
                <w:szCs w:val="20"/>
                <w:color w:val="auto"/>
              </w:rPr>
            </w:pPr>
            <w:r>
              <w:rPr>
                <w:rFonts w:ascii="Arial" w:cs="Arial" w:eastAsia="Arial" w:hAnsi="Arial"/>
                <w:sz w:val="17"/>
                <w:szCs w:val="17"/>
                <w:color w:val="auto"/>
              </w:rPr>
              <w:t>3</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Present value of net minimum lease payments</w:t>
            </w:r>
          </w:p>
        </w:tc>
        <w:tc>
          <w:tcPr>
            <w:tcW w:w="40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240"/>
              <w:spacing w:after="0" w:line="184" w:lineRule="exact"/>
              <w:rPr>
                <w:sz w:val="20"/>
                <w:szCs w:val="20"/>
                <w:color w:val="auto"/>
              </w:rPr>
            </w:pPr>
            <w:r>
              <w:rPr>
                <w:rFonts w:ascii="Arial" w:cs="Arial" w:eastAsia="Arial" w:hAnsi="Arial"/>
                <w:sz w:val="17"/>
                <w:szCs w:val="17"/>
                <w:color w:val="auto"/>
              </w:rPr>
              <w:t>(including $59 classified to other current</w:t>
            </w: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liabilities)</w:t>
            </w:r>
          </w:p>
        </w:tc>
        <w:tc>
          <w:tcPr>
            <w:tcW w:w="92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59</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260"/>
        <w:spacing w:after="0" w:line="231" w:lineRule="auto"/>
        <w:rPr>
          <w:sz w:val="20"/>
          <w:szCs w:val="20"/>
          <w:color w:val="auto"/>
        </w:rPr>
      </w:pPr>
      <w:r>
        <w:rPr>
          <w:rFonts w:ascii="Arial" w:cs="Arial" w:eastAsia="Arial" w:hAnsi="Arial"/>
          <w:sz w:val="17"/>
          <w:szCs w:val="17"/>
          <w:color w:val="auto"/>
        </w:rPr>
        <w:t>The related party capital lease relates to assets utilized in the Company’s medical device operations. The related party operating lease is for one of the Company’s three buildings within its corporate headquarters. The non-related party operating leases are for the Company’s remaining leases throughout the world consisting primarily of office space, fixtures and vehicles.</w:t>
      </w:r>
    </w:p>
    <w:p>
      <w:pPr>
        <w:spacing w:after="0" w:line="14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Rental expense under operating leases totaled $5.8 million, $4.3 million, $1.4 million and $7.4 million for the Successor year ended December 31, 2015, the Successor Period ended December 31, 2014, the Predecessor Period ended March 31, 2014 and for the Predecessor year ended December 31, 2013, respectively, and is allocated between Direct costs, excluding depreciation and amortization, and Selling, general and administrative in the consolidated 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Deemed Landlord Liabilities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minimum annual payments required in conjunction with the Deemed landlord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7"/>
              </w:rPr>
              <w:t>RELATED PARTY</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1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840"/>
              <w:spacing w:after="0" w:line="157" w:lineRule="exact"/>
              <w:rPr>
                <w:sz w:val="20"/>
                <w:szCs w:val="20"/>
                <w:color w:val="auto"/>
              </w:rPr>
            </w:pPr>
            <w:r>
              <w:rPr>
                <w:rFonts w:ascii="Arial" w:cs="Arial" w:eastAsia="Arial" w:hAnsi="Arial"/>
                <w:sz w:val="14"/>
                <w:szCs w:val="14"/>
                <w:b w:val="1"/>
                <w:bCs w:val="1"/>
                <w:color w:val="auto"/>
                <w:w w:val="98"/>
              </w:rPr>
              <w:t>MINIMUM</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1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840"/>
              <w:spacing w:after="0" w:line="157" w:lineRule="exact"/>
              <w:rPr>
                <w:sz w:val="20"/>
                <w:szCs w:val="20"/>
                <w:color w:val="auto"/>
              </w:rPr>
            </w:pPr>
            <w:r>
              <w:rPr>
                <w:rFonts w:ascii="Arial" w:cs="Arial" w:eastAsia="Arial" w:hAnsi="Arial"/>
                <w:sz w:val="14"/>
                <w:szCs w:val="14"/>
                <w:b w:val="1"/>
                <w:bCs w:val="1"/>
                <w:color w:val="auto"/>
                <w:w w:val="98"/>
              </w:rPr>
              <w:t>LEASE</w:t>
            </w:r>
          </w:p>
        </w:tc>
        <w:tc>
          <w:tcPr>
            <w:tcW w:w="120" w:type="dxa"/>
            <w:vAlign w:val="bottom"/>
          </w:tcPr>
          <w:p>
            <w:pPr>
              <w:spacing w:after="0"/>
              <w:rPr>
                <w:sz w:val="13"/>
                <w:szCs w:val="13"/>
                <w:color w:val="auto"/>
              </w:rPr>
            </w:pPr>
          </w:p>
        </w:tc>
        <w:tc>
          <w:tcPr>
            <w:tcW w:w="1300" w:type="dxa"/>
            <w:vAlign w:val="bottom"/>
            <w:gridSpan w:val="2"/>
          </w:tcPr>
          <w:p>
            <w:pPr>
              <w:jc w:val="right"/>
              <w:ind w:right="860"/>
              <w:spacing w:after="0" w:line="157" w:lineRule="exact"/>
              <w:rPr>
                <w:sz w:val="20"/>
                <w:szCs w:val="20"/>
                <w:color w:val="auto"/>
              </w:rPr>
            </w:pPr>
            <w:r>
              <w:rPr>
                <w:rFonts w:ascii="Arial" w:cs="Arial" w:eastAsia="Arial" w:hAnsi="Arial"/>
                <w:sz w:val="14"/>
                <w:szCs w:val="14"/>
                <w:b w:val="1"/>
                <w:bCs w:val="1"/>
                <w:color w:val="auto"/>
              </w:rPr>
              <w:t>LESS:</w:t>
            </w:r>
          </w:p>
        </w:tc>
        <w:tc>
          <w:tcPr>
            <w:tcW w:w="120" w:type="dxa"/>
            <w:vAlign w:val="bottom"/>
          </w:tcPr>
          <w:p>
            <w:pPr>
              <w:spacing w:after="0"/>
              <w:rPr>
                <w:sz w:val="13"/>
                <w:szCs w:val="13"/>
                <w:color w:val="auto"/>
              </w:rPr>
            </w:pPr>
          </w:p>
        </w:tc>
        <w:tc>
          <w:tcPr>
            <w:tcW w:w="10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PRINCIPAL</w:t>
            </w:r>
          </w:p>
        </w:tc>
      </w:tr>
      <w:tr>
        <w:trPr>
          <w:trHeight w:val="169"/>
        </w:trPr>
        <w:tc>
          <w:tcPr>
            <w:tcW w:w="3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PAYMENTS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AMOUNTS DUE</w:t>
            </w:r>
          </w:p>
        </w:tc>
      </w:tr>
      <w:tr>
        <w:trPr>
          <w:trHeight w:val="176"/>
        </w:trPr>
        <w:tc>
          <w:tcPr>
            <w:tcW w:w="31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2016</w:t>
            </w:r>
          </w:p>
        </w:tc>
        <w:tc>
          <w:tcPr>
            <w:tcW w:w="38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3,757</w:t>
            </w: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2,207</w:t>
            </w: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1,550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3160" w:type="dxa"/>
            <w:vAlign w:val="bottom"/>
          </w:tcPr>
          <w:p>
            <w:pPr>
              <w:spacing w:after="0" w:line="184" w:lineRule="exact"/>
              <w:rPr>
                <w:sz w:val="20"/>
                <w:szCs w:val="20"/>
                <w:color w:val="auto"/>
              </w:rPr>
            </w:pPr>
            <w:r>
              <w:rPr>
                <w:rFonts w:ascii="Arial" w:cs="Arial" w:eastAsia="Arial" w:hAnsi="Arial"/>
                <w:sz w:val="17"/>
                <w:szCs w:val="17"/>
                <w:color w:val="auto"/>
              </w:rPr>
              <w:t>2017</w:t>
            </w: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700"/>
              <w:spacing w:after="0" w:line="184" w:lineRule="exact"/>
              <w:rPr>
                <w:sz w:val="20"/>
                <w:szCs w:val="20"/>
                <w:color w:val="auto"/>
              </w:rPr>
            </w:pPr>
            <w:r>
              <w:rPr>
                <w:rFonts w:ascii="Arial" w:cs="Arial" w:eastAsia="Arial" w:hAnsi="Arial"/>
                <w:sz w:val="17"/>
                <w:szCs w:val="17"/>
                <w:color w:val="auto"/>
              </w:rPr>
              <w:t>3,837</w:t>
            </w:r>
          </w:p>
        </w:tc>
        <w:tc>
          <w:tcPr>
            <w:tcW w:w="120" w:type="dxa"/>
            <w:vAlign w:val="bottom"/>
          </w:tcPr>
          <w:p>
            <w:pPr>
              <w:spacing w:after="0"/>
              <w:rPr>
                <w:sz w:val="15"/>
                <w:szCs w:val="15"/>
                <w:color w:val="auto"/>
              </w:rPr>
            </w:pPr>
          </w:p>
        </w:tc>
        <w:tc>
          <w:tcPr>
            <w:tcW w:w="1300" w:type="dxa"/>
            <w:vAlign w:val="bottom"/>
            <w:gridSpan w:val="2"/>
          </w:tcPr>
          <w:p>
            <w:pPr>
              <w:jc w:val="right"/>
              <w:ind w:right="720"/>
              <w:spacing w:after="0" w:line="184" w:lineRule="exact"/>
              <w:rPr>
                <w:sz w:val="20"/>
                <w:szCs w:val="20"/>
                <w:color w:val="auto"/>
              </w:rPr>
            </w:pPr>
            <w:r>
              <w:rPr>
                <w:rFonts w:ascii="Arial" w:cs="Arial" w:eastAsia="Arial" w:hAnsi="Arial"/>
                <w:sz w:val="17"/>
                <w:szCs w:val="17"/>
                <w:color w:val="auto"/>
              </w:rPr>
              <w:t>2,091</w:t>
            </w:r>
          </w:p>
        </w:tc>
        <w:tc>
          <w:tcPr>
            <w:tcW w:w="120" w:type="dxa"/>
            <w:vAlign w:val="bottom"/>
          </w:tcPr>
          <w:p>
            <w:pPr>
              <w:spacing w:after="0"/>
              <w:rPr>
                <w:sz w:val="15"/>
                <w:szCs w:val="15"/>
                <w:color w:val="auto"/>
              </w:rPr>
            </w:pPr>
          </w:p>
        </w:tc>
        <w:tc>
          <w:tcPr>
            <w:tcW w:w="10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1,746</w:t>
            </w:r>
          </w:p>
        </w:tc>
      </w:tr>
      <w:tr>
        <w:trPr>
          <w:trHeight w:val="183"/>
        </w:trPr>
        <w:tc>
          <w:tcPr>
            <w:tcW w:w="31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2018</w:t>
            </w:r>
          </w:p>
        </w:tc>
        <w:tc>
          <w:tcPr>
            <w:tcW w:w="3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700"/>
              <w:spacing w:after="0" w:line="184" w:lineRule="exact"/>
              <w:rPr>
                <w:sz w:val="20"/>
                <w:szCs w:val="20"/>
                <w:color w:val="auto"/>
              </w:rPr>
            </w:pPr>
            <w:r>
              <w:rPr>
                <w:rFonts w:ascii="Arial" w:cs="Arial" w:eastAsia="Arial" w:hAnsi="Arial"/>
                <w:sz w:val="17"/>
                <w:szCs w:val="17"/>
                <w:color w:val="auto"/>
              </w:rPr>
              <w:t>3,886</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1,961</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1,925</w:t>
            </w:r>
          </w:p>
        </w:tc>
      </w:tr>
      <w:tr>
        <w:trPr>
          <w:trHeight w:val="183"/>
        </w:trPr>
        <w:tc>
          <w:tcPr>
            <w:tcW w:w="3160" w:type="dxa"/>
            <w:vAlign w:val="bottom"/>
          </w:tcPr>
          <w:p>
            <w:pPr>
              <w:spacing w:after="0" w:line="184" w:lineRule="exact"/>
              <w:rPr>
                <w:sz w:val="20"/>
                <w:szCs w:val="20"/>
                <w:color w:val="auto"/>
              </w:rPr>
            </w:pPr>
            <w:r>
              <w:rPr>
                <w:rFonts w:ascii="Arial" w:cs="Arial" w:eastAsia="Arial" w:hAnsi="Arial"/>
                <w:sz w:val="17"/>
                <w:szCs w:val="17"/>
                <w:color w:val="auto"/>
              </w:rPr>
              <w:t>2019</w:t>
            </w: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700"/>
              <w:spacing w:after="0" w:line="184" w:lineRule="exact"/>
              <w:rPr>
                <w:sz w:val="20"/>
                <w:szCs w:val="20"/>
                <w:color w:val="auto"/>
              </w:rPr>
            </w:pPr>
            <w:r>
              <w:rPr>
                <w:rFonts w:ascii="Arial" w:cs="Arial" w:eastAsia="Arial" w:hAnsi="Arial"/>
                <w:sz w:val="17"/>
                <w:szCs w:val="17"/>
                <w:color w:val="auto"/>
              </w:rPr>
              <w:t>3,937</w:t>
            </w:r>
          </w:p>
        </w:tc>
        <w:tc>
          <w:tcPr>
            <w:tcW w:w="120" w:type="dxa"/>
            <w:vAlign w:val="bottom"/>
          </w:tcPr>
          <w:p>
            <w:pPr>
              <w:spacing w:after="0"/>
              <w:rPr>
                <w:sz w:val="15"/>
                <w:szCs w:val="15"/>
                <w:color w:val="auto"/>
              </w:rPr>
            </w:pPr>
          </w:p>
        </w:tc>
        <w:tc>
          <w:tcPr>
            <w:tcW w:w="1300" w:type="dxa"/>
            <w:vAlign w:val="bottom"/>
            <w:gridSpan w:val="2"/>
          </w:tcPr>
          <w:p>
            <w:pPr>
              <w:jc w:val="right"/>
              <w:ind w:right="720"/>
              <w:spacing w:after="0" w:line="184" w:lineRule="exact"/>
              <w:rPr>
                <w:sz w:val="20"/>
                <w:szCs w:val="20"/>
                <w:color w:val="auto"/>
              </w:rPr>
            </w:pPr>
            <w:r>
              <w:rPr>
                <w:rFonts w:ascii="Arial" w:cs="Arial" w:eastAsia="Arial" w:hAnsi="Arial"/>
                <w:sz w:val="17"/>
                <w:szCs w:val="17"/>
                <w:color w:val="auto"/>
              </w:rPr>
              <w:t>1,819</w:t>
            </w:r>
          </w:p>
        </w:tc>
        <w:tc>
          <w:tcPr>
            <w:tcW w:w="120" w:type="dxa"/>
            <w:vAlign w:val="bottom"/>
          </w:tcPr>
          <w:p>
            <w:pPr>
              <w:spacing w:after="0"/>
              <w:rPr>
                <w:sz w:val="15"/>
                <w:szCs w:val="15"/>
                <w:color w:val="auto"/>
              </w:rPr>
            </w:pPr>
          </w:p>
        </w:tc>
        <w:tc>
          <w:tcPr>
            <w:tcW w:w="10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2,118</w:t>
            </w:r>
          </w:p>
        </w:tc>
      </w:tr>
      <w:tr>
        <w:trPr>
          <w:trHeight w:val="183"/>
        </w:trPr>
        <w:tc>
          <w:tcPr>
            <w:tcW w:w="31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2020</w:t>
            </w:r>
          </w:p>
        </w:tc>
        <w:tc>
          <w:tcPr>
            <w:tcW w:w="3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700"/>
              <w:spacing w:after="0" w:line="184" w:lineRule="exact"/>
              <w:rPr>
                <w:sz w:val="20"/>
                <w:szCs w:val="20"/>
                <w:color w:val="auto"/>
              </w:rPr>
            </w:pPr>
            <w:r>
              <w:rPr>
                <w:rFonts w:ascii="Arial" w:cs="Arial" w:eastAsia="Arial" w:hAnsi="Arial"/>
                <w:sz w:val="17"/>
                <w:szCs w:val="17"/>
                <w:color w:val="auto"/>
              </w:rPr>
              <w:t>3,988</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1,662</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2,326</w:t>
            </w:r>
          </w:p>
        </w:tc>
      </w:tr>
      <w:tr>
        <w:trPr>
          <w:trHeight w:val="183"/>
        </w:trPr>
        <w:tc>
          <w:tcPr>
            <w:tcW w:w="3160" w:type="dxa"/>
            <w:vAlign w:val="bottom"/>
          </w:tcPr>
          <w:p>
            <w:pPr>
              <w:spacing w:after="0" w:line="184" w:lineRule="exact"/>
              <w:rPr>
                <w:sz w:val="20"/>
                <w:szCs w:val="20"/>
                <w:color w:val="auto"/>
              </w:rPr>
            </w:pPr>
            <w:r>
              <w:rPr>
                <w:rFonts w:ascii="Arial" w:cs="Arial" w:eastAsia="Arial" w:hAnsi="Arial"/>
                <w:sz w:val="17"/>
                <w:szCs w:val="17"/>
                <w:color w:val="auto"/>
              </w:rPr>
              <w:t>Thereafter</w:t>
            </w: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700"/>
              <w:spacing w:after="0" w:line="184" w:lineRule="exact"/>
              <w:rPr>
                <w:sz w:val="20"/>
                <w:szCs w:val="20"/>
                <w:color w:val="auto"/>
              </w:rPr>
            </w:pPr>
            <w:r>
              <w:rPr>
                <w:rFonts w:ascii="Arial" w:cs="Arial" w:eastAsia="Arial" w:hAnsi="Arial"/>
                <w:sz w:val="17"/>
                <w:szCs w:val="17"/>
                <w:color w:val="auto"/>
              </w:rPr>
              <w:t>27,973</w:t>
            </w:r>
          </w:p>
        </w:tc>
        <w:tc>
          <w:tcPr>
            <w:tcW w:w="120" w:type="dxa"/>
            <w:vAlign w:val="bottom"/>
          </w:tcPr>
          <w:p>
            <w:pPr>
              <w:spacing w:after="0"/>
              <w:rPr>
                <w:sz w:val="15"/>
                <w:szCs w:val="15"/>
                <w:color w:val="auto"/>
              </w:rPr>
            </w:pPr>
          </w:p>
        </w:tc>
        <w:tc>
          <w:tcPr>
            <w:tcW w:w="1300" w:type="dxa"/>
            <w:vAlign w:val="bottom"/>
            <w:gridSpan w:val="2"/>
          </w:tcPr>
          <w:p>
            <w:pPr>
              <w:jc w:val="right"/>
              <w:ind w:right="720"/>
              <w:spacing w:after="0" w:line="184" w:lineRule="exact"/>
              <w:rPr>
                <w:sz w:val="20"/>
                <w:szCs w:val="20"/>
                <w:color w:val="auto"/>
              </w:rPr>
            </w:pPr>
            <w:r>
              <w:rPr>
                <w:rFonts w:ascii="Arial" w:cs="Arial" w:eastAsia="Arial" w:hAnsi="Arial"/>
                <w:sz w:val="17"/>
                <w:szCs w:val="17"/>
                <w:color w:val="auto"/>
              </w:rPr>
              <w:t>5,815</w:t>
            </w:r>
          </w:p>
        </w:tc>
        <w:tc>
          <w:tcPr>
            <w:tcW w:w="120" w:type="dxa"/>
            <w:vAlign w:val="bottom"/>
          </w:tcPr>
          <w:p>
            <w:pPr>
              <w:spacing w:after="0"/>
              <w:rPr>
                <w:sz w:val="15"/>
                <w:szCs w:val="15"/>
                <w:color w:val="auto"/>
              </w:rPr>
            </w:pPr>
          </w:p>
        </w:tc>
        <w:tc>
          <w:tcPr>
            <w:tcW w:w="10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22,158</w:t>
            </w:r>
          </w:p>
        </w:tc>
      </w:tr>
      <w:tr>
        <w:trPr>
          <w:trHeight w:val="26"/>
        </w:trPr>
        <w:tc>
          <w:tcPr>
            <w:tcW w:w="3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31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w:t>
            </w:r>
          </w:p>
        </w:tc>
        <w:tc>
          <w:tcPr>
            <w:tcW w:w="400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700"/>
              <w:spacing w:after="0" w:line="184" w:lineRule="exact"/>
              <w:rPr>
                <w:sz w:val="20"/>
                <w:szCs w:val="20"/>
                <w:color w:val="auto"/>
              </w:rPr>
            </w:pPr>
            <w:r>
              <w:rPr>
                <w:rFonts w:ascii="Arial" w:cs="Arial" w:eastAsia="Arial" w:hAnsi="Arial"/>
                <w:sz w:val="17"/>
                <w:szCs w:val="17"/>
                <w:color w:val="auto"/>
              </w:rPr>
              <w:t>47,378</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15,555</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31,823</w:t>
            </w:r>
          </w:p>
        </w:tc>
      </w:tr>
      <w:tr>
        <w:trPr>
          <w:trHeight w:val="20"/>
        </w:trPr>
        <w:tc>
          <w:tcPr>
            <w:tcW w:w="3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1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2"/>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353"/>
        </w:trPr>
        <w:tc>
          <w:tcPr>
            <w:tcW w:w="3160" w:type="dxa"/>
            <w:vAlign w:val="bottom"/>
          </w:tcPr>
          <w:p>
            <w:pPr>
              <w:spacing w:after="0"/>
              <w:rPr>
                <w:sz w:val="24"/>
                <w:szCs w:val="24"/>
                <w:color w:val="auto"/>
              </w:rPr>
            </w:pPr>
          </w:p>
        </w:tc>
        <w:tc>
          <w:tcPr>
            <w:tcW w:w="4000" w:type="dxa"/>
            <w:vAlign w:val="bottom"/>
            <w:gridSpan w:val="2"/>
          </w:tcPr>
          <w:p>
            <w:pPr>
              <w:jc w:val="right"/>
              <w:ind w:right="1209"/>
              <w:spacing w:after="0"/>
              <w:rPr>
                <w:sz w:val="20"/>
                <w:szCs w:val="20"/>
                <w:color w:val="auto"/>
              </w:rPr>
            </w:pPr>
            <w:r>
              <w:rPr>
                <w:rFonts w:ascii="Arial" w:cs="Arial" w:eastAsia="Arial" w:hAnsi="Arial"/>
                <w:sz w:val="16"/>
                <w:szCs w:val="16"/>
                <w:color w:val="auto"/>
              </w:rPr>
              <w:t>F-26</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4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May 2013, Medpace committed to the aggregate purchase of $2.0 million of software services from a vendor during the period from June 1, 2013 through May 31, 2016. In return for the commitment, Medpace receives preferential fixed rate pricing and a 5% discount on all purchases made pursuant to this agreement during its three-year term. As of December 31, 2014, the Company had met the aggregate purchase commitment.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47" w:lineRule="exact"/>
        <w:rPr>
          <w:sz w:val="20"/>
          <w:szCs w:val="20"/>
          <w:color w:val="auto"/>
        </w:rPr>
      </w:pPr>
    </w:p>
    <w:p>
      <w:pPr>
        <w:jc w:val="both"/>
        <w:ind w:right="380"/>
        <w:spacing w:after="0" w:line="231" w:lineRule="auto"/>
        <w:rPr>
          <w:sz w:val="20"/>
          <w:szCs w:val="20"/>
          <w:color w:val="auto"/>
        </w:rPr>
      </w:pPr>
      <w:r>
        <w:rPr>
          <w:rFonts w:ascii="Arial" w:cs="Arial" w:eastAsia="Arial" w:hAnsi="Arial"/>
          <w:sz w:val="17"/>
          <w:szCs w:val="17"/>
          <w:color w:val="auto"/>
        </w:rPr>
        <w:t>Medpace periodically becomes involved in various claims and lawsuits that are incidental to its business. Management believes, after consultation with counsel, that no matters currently pending would, in the event of an adverse outcome, have a material impact on the Company’s consolidated balance sheets, statements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In March 2012, the Company filed a legal claim against one of its customers, citing as a basis for its claim the customer’s non-payment of more than</w:t>
      </w:r>
    </w:p>
    <w:p>
      <w:pPr>
        <w:ind w:right="260"/>
        <w:spacing w:after="0" w:line="243" w:lineRule="auto"/>
        <w:rPr>
          <w:sz w:val="20"/>
          <w:szCs w:val="20"/>
          <w:color w:val="auto"/>
        </w:rPr>
      </w:pPr>
      <w:r>
        <w:rPr>
          <w:rFonts w:ascii="Arial" w:cs="Arial" w:eastAsia="Arial" w:hAnsi="Arial"/>
          <w:sz w:val="16"/>
          <w:szCs w:val="16"/>
          <w:color w:val="auto"/>
        </w:rPr>
        <w:t>$6.5 million in outstanding invoices. In response, the customer filed a counterclaim against the Company for compensatory damages, asserting that the Company had willfully and wrongly withheld clinical study data alleged to be owned by the customer. The Company objected to these allegations and believed it had meritorious defenses against these claims and also believed that it would ultimately prevail in this matter. During 2015, a Settlement and Mutual Release Agreement (the “Agreement”) was entered into whereas the Company agreed to settle all outstanding claims for payment of $2.0 million from the customer and both parties waived the right to file any future suits. The customer paid the $2.0 million settlement during 2015 and the Company recorded a bad debt recovery of $2.0 million in Selling, general and administrative in the consolidated statements of operations.</w:t>
      </w:r>
    </w:p>
    <w:p>
      <w:pPr>
        <w:spacing w:after="0" w:line="175" w:lineRule="exact"/>
        <w:rPr>
          <w:sz w:val="20"/>
          <w:szCs w:val="20"/>
          <w:color w:val="auto"/>
        </w:rPr>
      </w:pPr>
    </w:p>
    <w:p>
      <w:pPr>
        <w:ind w:left="300" w:hanging="295"/>
        <w:spacing w:after="0"/>
        <w:tabs>
          <w:tab w:leader="none" w:pos="30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63" w:lineRule="exact"/>
        <w:rPr>
          <w:rFonts w:ascii="Arial" w:cs="Arial" w:eastAsia="Arial" w:hAnsi="Arial"/>
          <w:sz w:val="17"/>
          <w:szCs w:val="17"/>
          <w:b w:val="1"/>
          <w:bCs w:val="1"/>
          <w:color w:val="auto"/>
        </w:rPr>
      </w:pPr>
    </w:p>
    <w:p>
      <w:pPr>
        <w:ind w:right="9760"/>
        <w:spacing w:after="0" w:line="303" w:lineRule="auto"/>
        <w:rPr>
          <w:rFonts w:ascii="Arial" w:cs="Arial" w:eastAsia="Arial" w:hAnsi="Arial"/>
          <w:sz w:val="17"/>
          <w:szCs w:val="17"/>
          <w:b w:val="1"/>
          <w:bCs w:val="1"/>
          <w:color w:val="auto"/>
        </w:rPr>
      </w:pPr>
      <w:r>
        <w:rPr>
          <w:rFonts w:ascii="Arial" w:cs="Arial" w:eastAsia="Arial" w:hAnsi="Arial"/>
          <w:sz w:val="16"/>
          <w:szCs w:val="16"/>
          <w:b w:val="1"/>
          <w:bCs w:val="1"/>
          <w:i w:val="1"/>
          <w:iCs w:val="1"/>
          <w:color w:val="auto"/>
        </w:rPr>
        <w:t xml:space="preserve">Successor Company </w:t>
      </w:r>
      <w:r>
        <w:rPr>
          <w:rFonts w:ascii="Arial" w:cs="Arial" w:eastAsia="Arial" w:hAnsi="Arial"/>
          <w:sz w:val="16"/>
          <w:szCs w:val="16"/>
          <w:i w:val="1"/>
          <w:iCs w:val="1"/>
          <w:color w:val="auto"/>
        </w:rPr>
        <w:t>Successor Awards</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The Successor Plan for employees and directors provides for the issuance of vested shares, stock options, RSAs and RSUs in Medpace Holdings, Inc.’s common stock. The Successor Plan has reserved 3,790,262 shares for issuance of restricted awards or stock options, of which approximately 425,000 awards were available for future grants as of December 31, 2015. The Successor Plan expires in 2024, except for awards then outstanding and is administered by the Board of Directors.</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Awards are granted to key employees as additional compensation for services rendered and as a means of retention over the vesting period, typically three to four years. RSAs awarded under the plan are subject to automatic forfeiture upon departure until vested and entitle the shareholder to all rights of common stock ownership except that they may not be sold, transferred, pledged or otherwise disposed of during the restriction period, except as noted in the following paragraph. The Successor Plan also allows for the issuance of non-qualified stock options to employees, officers, and directors under this plan (collectively, “the Participants”). Under the Successor Plan, options may be granted with an exercise price equal to or greater than the fair value of common stock at the grant date as determined by the Board of Directors. The stock options, if unexercised, expire seven years from the date of grant.</w:t>
      </w:r>
    </w:p>
    <w:p>
      <w:pPr>
        <w:spacing w:after="0" w:line="139"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As a condition to exercising stock options and acceptance of certain restricted shares, employees must execute a Contribution and Subscription Agreement (the “Subscription Agreement”) that provides for the exchange of the shares issued for incentive units (the “Incentive Units”) in Medpace Investors upon the occurrence of certain events. The Incentive Units are tied directly to common stock ownership in Medpace Holdings, Inc. and entitle the Incentive Unit holder to participate in the risks and rewards of owning the Successor Company’s stock through ownership in Medpace Investors. The Successor Awards containing this condition are liability-classified instruments as they are inevitably settled in the equity of a non-consolidated related party. Restricted share awards excluding the requirement to execute a Contribution and Subscription Agreement and settlement in common shares of Medpace Holdings, Inc. are equity-classified instruments.</w:t>
      </w:r>
    </w:p>
    <w:p>
      <w:pPr>
        <w:spacing w:after="0" w:line="141"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At the grant date for RSAs that are liability-classified, restricted shares are legally issued and exchanged for MPI Incentive Units on behalf of the employee. If the RSAs are not yet vested and an employee leaves the Successor Company’s employment, the restricted shares of Medpace Holdings, Inc. revert back to the Successor Company and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00"/>
          </w:cols>
          <w:pgMar w:left="240" w:top="449" w:right="2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are available for re-issuance under the Successor Plan. Upon the vesting of RSAs and RSUs and upon the exercise of stock options, the stock-based compensation liability is settled by exchanging the Successor Company’s stock for MPI Incentive Units. If an employee leaves the Successor Company’s employment after they vest in the Awards and the exchange for Incentive Units has been made, Medpace Investors may exercise a call option to repurchase an employee’s Incentive Units at a price determined by the manager and majority unit holder of Medpace Investors, who is also the chief executive officer of Medpace. If Medpace Investors exercises the call right, it may do so up to the later of twelve months following the employee’s departure date or six months following the determination that the former employee is directly or indirectly engaged in competitive business activities.</w:t>
      </w:r>
    </w:p>
    <w:p>
      <w:pPr>
        <w:spacing w:after="0" w:line="139"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Pursuant to the Successor Company’s Shareholder Agreement (the “Successor Shareholder Agreement”), in the event Medpace Investors dissolves or distributes any common stock of Medpace Holdings, Inc. to the Medpace Investors’ members prior to a public offering, the Successor Company has a call right to repurchase the common stock at a price equal to the fair market value of the stock as determined by the Board of Directors, provided that in no case shall any shares held by the chief executive officer or his affiliates be subject to the call rights.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Awards Modification</w:t>
      </w:r>
    </w:p>
    <w:p>
      <w:pPr>
        <w:spacing w:after="0" w:line="32"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On December 17, 2015, the Board of Directors approved a resolution to accelerate the vesting period for all issued, outstanding and unvested RSAs and RSUs to vest on December 31, 2015, so long as the recipient of each restricted share or unit is in good standing, has not provided notice of resignation and continues to be employed by the Company as of December 31, 2015. In total, 688,599 unvested restricted awards held by 158 current employees were modified resulting in settlement of 688,599 shares.</w:t>
      </w:r>
    </w:p>
    <w:p>
      <w:pPr>
        <w:spacing w:after="0" w:line="141"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According to the authoritative guidance for stock-based compensation, under these circumstances a company should recognize additional stock-based compensation expense in the amount of the incremental fair value of the modified award. Because the restricted awards that were modified are liability-classified, the awards are at fair value at the time of the modification and no incremental cost was recognized. While there is no incremental cost related to fair value of the awards, $5.7 million of stock-based compensation expense was recorded in 2015 related to previously unrecognized stock-based compensation cost for awards expected to vest in 2016, 2017 and 2018.</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Predecessor Company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Awards</w:t>
      </w:r>
    </w:p>
    <w:p>
      <w:pPr>
        <w:spacing w:after="0" w:line="3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2011, the Predecessor Company adopted a stock option plan (the “2011 Stock Option Plan”) and was authorized to issue non-qualified stock options to employees, officers, and directors under this plan (collectively “the Participants”). Under the 2011 Stock Option Plan, options may be granted with an exercise price equal to or greater than the fair value of common stock at the date of the grant as determined by the Board of Directors. In April 2012, the Board of Directors amended the 2011 Stock Option Plan to increase the maximum number of shares available for issuance as options to the Participants. Options granted under the plans may be exercised at certain times subsequent to certain events, as set forth in the grant. The stock options, if unexercised, expire ten years from the date of grant.</w:t>
      </w:r>
    </w:p>
    <w:p>
      <w:pPr>
        <w:spacing w:after="0" w:line="143"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In December 2012, the Predecessor Company’s Board of Directors established a restricted stock plan (the “2012 Restricted Stock Plan”) and approved the issuance of RSAs and RSUs (collectively, the “Restricted Shares”) up to an authorized amount of 350,000 total Restricted Shares. These shares are subject to certain restrictions, and are issued to key employees of the Company as a means of retention. RSAs awarded under the plan entitle the shareholder to all rights of common stock ownership except that they may not be sold, transferred, pledged, exchanged or otherwise disposed of during the restriction period.</w:t>
      </w:r>
    </w:p>
    <w:p>
      <w:pPr>
        <w:spacing w:after="0" w:line="141"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The terms of the 2011 Stock Option Plan and the 2012 Restricted Stock Plan (collectively, the “Predecessor Equity Plans”) permitted, but did not require, the acceleration of vesting for awards upon a change in control. On March 24, 2014, the Predecessor’s Board of Directors approved the acceleration of vesting for outstanding Restricted Share awards and stock options, the effect of which took place immediately prior to the April 1, 2014 Transaction. The Predecessor’s Board of Directors, at the same time, also approved the cancellation of any remaining unvested equity awards and terminated the Predecessor Equity Plans. The acceleration of vesting was determined to be a modification of the Predecessor Equity Plans and, pursuant to accounting guidance governing such transactions, the Predecessor Company recorded incremental stock-based compensation expense of $7.1 million. The modification of the Predecessor Equity Plans resulted in accelerated vesting for 172,492 Restricted Shares and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00"/>
          </w:cols>
          <w:pgMar w:left="240" w:top="449"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560"/>
        <w:spacing w:after="0" w:line="235" w:lineRule="auto"/>
        <w:rPr>
          <w:sz w:val="20"/>
          <w:szCs w:val="20"/>
          <w:color w:val="auto"/>
        </w:rPr>
      </w:pPr>
      <w:r>
        <w:rPr>
          <w:rFonts w:ascii="Arial" w:cs="Arial" w:eastAsia="Arial" w:hAnsi="Arial"/>
          <w:sz w:val="17"/>
          <w:szCs w:val="17"/>
          <w:color w:val="auto"/>
        </w:rPr>
        <w:t>992,412 stock options. This change impacted 266 employees. In connection with the Transaction, all Participants exercised their options, resulting in exercise proceeds aggregating $15.2 million.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Shares</w:t>
      </w:r>
    </w:p>
    <w:p>
      <w:pPr>
        <w:spacing w:after="0" w:line="32" w:lineRule="exact"/>
        <w:rPr>
          <w:sz w:val="20"/>
          <w:szCs w:val="20"/>
          <w:color w:val="auto"/>
        </w:rPr>
      </w:pPr>
    </w:p>
    <w:p>
      <w:pPr>
        <w:jc w:val="both"/>
        <w:ind w:right="120"/>
        <w:spacing w:after="0" w:line="231" w:lineRule="auto"/>
        <w:rPr>
          <w:sz w:val="20"/>
          <w:szCs w:val="20"/>
          <w:color w:val="auto"/>
        </w:rPr>
      </w:pPr>
      <w:r>
        <w:rPr>
          <w:rFonts w:ascii="Arial" w:cs="Arial" w:eastAsia="Arial" w:hAnsi="Arial"/>
          <w:sz w:val="17"/>
          <w:szCs w:val="17"/>
          <w:color w:val="auto"/>
        </w:rPr>
        <w:t>The Predecessor Company’s Shareholder Agreement (the “Predecessor Shareholder Agreement”) permitted the Company to directly purchase the shares of employee shareholders that separated from the Company. The Predecessor Company did not exercise its option to repurchase shares from separated employees during any Predecessor period covered by the Predecessor’s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and Predecessor Equity Awards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Assumptions</w:t>
      </w:r>
    </w:p>
    <w:p>
      <w:pPr>
        <w:spacing w:after="0" w:line="37"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The Company determines the fair value of stock options using the Black-Scholes-Merten option pricing model (the “BSM Model”). The BSM Model is primarily affected by the fair value of the Successor’s common stock (see restricted share valuation discussion below), the expected holding period for the option, expected stock price volatility over the term of the awards, the risk-free interest rate, and expected dividends.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key weighted-average assumptions used in the BSM Model to calculate the fair value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4060" w:type="dxa"/>
            <w:vAlign w:val="bottom"/>
            <w:gridSpan w:val="5"/>
          </w:tcPr>
          <w:p>
            <w:pPr>
              <w:ind w:left="920"/>
              <w:spacing w:after="0"/>
              <w:rPr>
                <w:sz w:val="20"/>
                <w:szCs w:val="20"/>
                <w:color w:val="auto"/>
              </w:rPr>
            </w:pPr>
            <w:r>
              <w:rPr>
                <w:rFonts w:ascii="Arial" w:cs="Arial" w:eastAsia="Arial" w:hAnsi="Arial"/>
                <w:sz w:val="14"/>
                <w:szCs w:val="14"/>
                <w:b w:val="1"/>
                <w:bCs w:val="1"/>
                <w:color w:val="auto"/>
              </w:rPr>
              <w:t>SUCCESSOR</w:t>
            </w:r>
          </w:p>
        </w:tc>
        <w:tc>
          <w:tcPr>
            <w:tcW w:w="2880" w:type="dxa"/>
            <w:vAlign w:val="bottom"/>
            <w:gridSpan w:val="4"/>
          </w:tcPr>
          <w:p>
            <w:pPr>
              <w:ind w:left="860"/>
              <w:spacing w:after="0"/>
              <w:rPr>
                <w:sz w:val="20"/>
                <w:szCs w:val="20"/>
                <w:color w:val="auto"/>
              </w:rPr>
            </w:pPr>
            <w:r>
              <w:rPr>
                <w:rFonts w:ascii="Arial" w:cs="Arial" w:eastAsia="Arial" w:hAnsi="Arial"/>
                <w:sz w:val="14"/>
                <w:szCs w:val="14"/>
                <w:b w:val="1"/>
                <w:bCs w:val="1"/>
                <w:color w:val="auto"/>
              </w:rPr>
              <w:t>PREDECESSOR</w:t>
            </w:r>
          </w:p>
        </w:tc>
      </w:tr>
      <w:tr>
        <w:trPr>
          <w:trHeight w:val="139"/>
        </w:trPr>
        <w:tc>
          <w:tcPr>
            <w:tcW w:w="4480" w:type="dxa"/>
            <w:vAlign w:val="bottom"/>
          </w:tcPr>
          <w:p>
            <w:pPr>
              <w:spacing w:after="0"/>
              <w:rPr>
                <w:sz w:val="12"/>
                <w:szCs w:val="12"/>
                <w:color w:val="auto"/>
              </w:rPr>
            </w:pPr>
          </w:p>
        </w:tc>
        <w:tc>
          <w:tcPr>
            <w:tcW w:w="1680" w:type="dxa"/>
            <w:vAlign w:val="bottom"/>
            <w:tcBorders>
              <w:top w:val="single" w:sz="8" w:color="auto"/>
            </w:tcBorders>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rPr>
              <w:t>YEAR ENDED</w:t>
            </w:r>
          </w:p>
        </w:tc>
        <w:tc>
          <w:tcPr>
            <w:tcW w:w="10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7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Borders>
              <w:top w:val="single" w:sz="8" w:color="auto"/>
            </w:tcBorders>
            <w:gridSpan w:val="2"/>
          </w:tcPr>
          <w:p>
            <w:pPr>
              <w:jc w:val="right"/>
              <w:ind w:right="660"/>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57"/>
        </w:trPr>
        <w:tc>
          <w:tcPr>
            <w:tcW w:w="4480" w:type="dxa"/>
            <w:vAlign w:val="bottom"/>
          </w:tcPr>
          <w:p>
            <w:pPr>
              <w:spacing w:after="0"/>
              <w:rPr>
                <w:sz w:val="13"/>
                <w:szCs w:val="13"/>
                <w:color w:val="auto"/>
              </w:rPr>
            </w:pPr>
          </w:p>
        </w:tc>
        <w:tc>
          <w:tcPr>
            <w:tcW w:w="1680" w:type="dxa"/>
            <w:vAlign w:val="bottom"/>
            <w:gridSpan w:val="2"/>
          </w:tcPr>
          <w:p>
            <w:pPr>
              <w:jc w:val="center"/>
              <w:ind w:right="66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1840" w:type="dxa"/>
            <w:vAlign w:val="bottom"/>
            <w:tcBorders>
              <w:right w:val="single" w:sz="8" w:color="auto"/>
            </w:tcBorders>
            <w:gridSpan w:val="2"/>
          </w:tcPr>
          <w:p>
            <w:pPr>
              <w:jc w:val="center"/>
              <w:ind w:right="760"/>
              <w:spacing w:after="0" w:line="157"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1740" w:type="dxa"/>
            <w:vAlign w:val="bottom"/>
            <w:gridSpan w:val="2"/>
          </w:tcPr>
          <w:p>
            <w:pPr>
              <w:ind w:left="160"/>
              <w:spacing w:after="0" w:line="157"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4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6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76"/>
        </w:trPr>
        <w:tc>
          <w:tcPr>
            <w:tcW w:w="44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Expected holding period—years</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4.2</w:t>
            </w: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5.4</w:t>
            </w:r>
          </w:p>
        </w:tc>
        <w:tc>
          <w:tcPr>
            <w:tcW w:w="76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N/A</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5"/>
                <w:szCs w:val="15"/>
                <w:color w:val="auto"/>
              </w:rPr>
            </w:pPr>
          </w:p>
        </w:tc>
      </w:tr>
      <w:tr>
        <w:trPr>
          <w:trHeight w:val="183"/>
        </w:trPr>
        <w:tc>
          <w:tcPr>
            <w:tcW w:w="4480" w:type="dxa"/>
            <w:vAlign w:val="bottom"/>
          </w:tcPr>
          <w:p>
            <w:pPr>
              <w:spacing w:after="0" w:line="184" w:lineRule="exact"/>
              <w:rPr>
                <w:sz w:val="20"/>
                <w:szCs w:val="20"/>
                <w:color w:val="auto"/>
              </w:rPr>
            </w:pPr>
            <w:r>
              <w:rPr>
                <w:rFonts w:ascii="Arial" w:cs="Arial" w:eastAsia="Arial" w:hAnsi="Arial"/>
                <w:sz w:val="17"/>
                <w:szCs w:val="17"/>
                <w:color w:val="auto"/>
              </w:rPr>
              <w:t>Expected volatility</w:t>
            </w:r>
          </w:p>
        </w:tc>
        <w:tc>
          <w:tcPr>
            <w:tcW w:w="1680" w:type="dxa"/>
            <w:vAlign w:val="bottom"/>
            <w:gridSpan w:val="2"/>
          </w:tcPr>
          <w:p>
            <w:pPr>
              <w:jc w:val="right"/>
              <w:ind w:right="660"/>
              <w:spacing w:after="0" w:line="184" w:lineRule="exact"/>
              <w:rPr>
                <w:sz w:val="20"/>
                <w:szCs w:val="20"/>
                <w:color w:val="auto"/>
              </w:rPr>
            </w:pPr>
            <w:r>
              <w:rPr>
                <w:rFonts w:ascii="Arial" w:cs="Arial" w:eastAsia="Arial" w:hAnsi="Arial"/>
                <w:sz w:val="17"/>
                <w:szCs w:val="17"/>
                <w:color w:val="auto"/>
              </w:rPr>
              <w:t>36.4%</w:t>
            </w:r>
          </w:p>
        </w:tc>
        <w:tc>
          <w:tcPr>
            <w:tcW w:w="1840" w:type="dxa"/>
            <w:vAlign w:val="bottom"/>
            <w:tcBorders>
              <w:right w:val="single" w:sz="8" w:color="auto"/>
            </w:tcBorders>
            <w:gridSpan w:val="2"/>
          </w:tcPr>
          <w:p>
            <w:pPr>
              <w:jc w:val="right"/>
              <w:ind w:right="760"/>
              <w:spacing w:after="0" w:line="184" w:lineRule="exact"/>
              <w:rPr>
                <w:sz w:val="20"/>
                <w:szCs w:val="20"/>
                <w:color w:val="auto"/>
              </w:rPr>
            </w:pPr>
            <w:r>
              <w:rPr>
                <w:rFonts w:ascii="Arial" w:cs="Arial" w:eastAsia="Arial" w:hAnsi="Arial"/>
                <w:sz w:val="17"/>
                <w:szCs w:val="17"/>
                <w:color w:val="auto"/>
              </w:rPr>
              <w:t>41.8%</w:t>
            </w:r>
          </w:p>
        </w:tc>
        <w:tc>
          <w:tcPr>
            <w:tcW w:w="540" w:type="dxa"/>
            <w:vAlign w:val="bottom"/>
          </w:tcPr>
          <w:p>
            <w:pPr>
              <w:spacing w:after="0"/>
              <w:rPr>
                <w:sz w:val="15"/>
                <w:szCs w:val="15"/>
                <w:color w:val="auto"/>
              </w:rPr>
            </w:pPr>
          </w:p>
        </w:tc>
        <w:tc>
          <w:tcPr>
            <w:tcW w:w="1740" w:type="dxa"/>
            <w:vAlign w:val="bottom"/>
            <w:gridSpan w:val="2"/>
          </w:tcPr>
          <w:p>
            <w:pPr>
              <w:jc w:val="right"/>
              <w:ind w:right="660"/>
              <w:spacing w:after="0" w:line="184" w:lineRule="exact"/>
              <w:rPr>
                <w:sz w:val="20"/>
                <w:szCs w:val="20"/>
                <w:color w:val="auto"/>
              </w:rPr>
            </w:pPr>
            <w:r>
              <w:rPr>
                <w:rFonts w:ascii="Arial" w:cs="Arial" w:eastAsia="Arial" w:hAnsi="Arial"/>
                <w:sz w:val="17"/>
                <w:szCs w:val="17"/>
                <w:color w:val="auto"/>
              </w:rPr>
              <w:t>N/A</w:t>
            </w:r>
          </w:p>
        </w:tc>
        <w:tc>
          <w:tcPr>
            <w:tcW w:w="11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37.4%</w:t>
            </w:r>
          </w:p>
        </w:tc>
      </w:tr>
      <w:tr>
        <w:trPr>
          <w:trHeight w:val="183"/>
        </w:trPr>
        <w:tc>
          <w:tcPr>
            <w:tcW w:w="44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Risk-free interest rate</w:t>
            </w:r>
          </w:p>
        </w:tc>
        <w:tc>
          <w:tcPr>
            <w:tcW w:w="1680" w:type="dxa"/>
            <w:vAlign w:val="bottom"/>
            <w:gridSpan w:val="2"/>
            <w:shd w:val="clear" w:color="auto" w:fill="CCEEFF"/>
          </w:tcPr>
          <w:p>
            <w:pPr>
              <w:jc w:val="right"/>
              <w:ind w:right="660"/>
              <w:spacing w:after="0" w:line="184" w:lineRule="exact"/>
              <w:rPr>
                <w:sz w:val="20"/>
                <w:szCs w:val="20"/>
                <w:color w:val="auto"/>
              </w:rPr>
            </w:pPr>
            <w:r>
              <w:rPr>
                <w:rFonts w:ascii="Arial" w:cs="Arial" w:eastAsia="Arial" w:hAnsi="Arial"/>
                <w:sz w:val="17"/>
                <w:szCs w:val="17"/>
                <w:color w:val="auto"/>
              </w:rPr>
              <w:t>1.2%</w:t>
            </w:r>
          </w:p>
        </w:tc>
        <w:tc>
          <w:tcPr>
            <w:tcW w:w="1840" w:type="dxa"/>
            <w:vAlign w:val="bottom"/>
            <w:tcBorders>
              <w:right w:val="single" w:sz="8" w:color="auto"/>
            </w:tcBorders>
            <w:gridSpan w:val="2"/>
            <w:shd w:val="clear" w:color="auto" w:fill="CCEEFF"/>
          </w:tcPr>
          <w:p>
            <w:pPr>
              <w:jc w:val="right"/>
              <w:ind w:right="760"/>
              <w:spacing w:after="0" w:line="184" w:lineRule="exact"/>
              <w:rPr>
                <w:sz w:val="20"/>
                <w:szCs w:val="20"/>
                <w:color w:val="auto"/>
              </w:rPr>
            </w:pPr>
            <w:r>
              <w:rPr>
                <w:rFonts w:ascii="Arial" w:cs="Arial" w:eastAsia="Arial" w:hAnsi="Arial"/>
                <w:sz w:val="17"/>
                <w:szCs w:val="17"/>
                <w:color w:val="auto"/>
              </w:rPr>
              <w:t>1.7%</w:t>
            </w:r>
          </w:p>
        </w:tc>
        <w:tc>
          <w:tcPr>
            <w:tcW w:w="5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660"/>
              <w:spacing w:after="0" w:line="184" w:lineRule="exact"/>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0.3%</w:t>
            </w:r>
          </w:p>
        </w:tc>
      </w:tr>
      <w:tr>
        <w:trPr>
          <w:trHeight w:val="183"/>
        </w:trPr>
        <w:tc>
          <w:tcPr>
            <w:tcW w:w="4480" w:type="dxa"/>
            <w:vAlign w:val="bottom"/>
          </w:tcPr>
          <w:p>
            <w:pPr>
              <w:spacing w:after="0" w:line="184" w:lineRule="exact"/>
              <w:rPr>
                <w:sz w:val="20"/>
                <w:szCs w:val="20"/>
                <w:color w:val="auto"/>
              </w:rPr>
            </w:pPr>
            <w:r>
              <w:rPr>
                <w:rFonts w:ascii="Arial" w:cs="Arial" w:eastAsia="Arial" w:hAnsi="Arial"/>
                <w:sz w:val="17"/>
                <w:szCs w:val="17"/>
                <w:color w:val="auto"/>
              </w:rPr>
              <w:t>Expected dividend yield</w:t>
            </w:r>
          </w:p>
        </w:tc>
        <w:tc>
          <w:tcPr>
            <w:tcW w:w="1680" w:type="dxa"/>
            <w:vAlign w:val="bottom"/>
            <w:gridSpan w:val="2"/>
          </w:tcPr>
          <w:p>
            <w:pPr>
              <w:jc w:val="right"/>
              <w:ind w:right="660"/>
              <w:spacing w:after="0" w:line="184" w:lineRule="exact"/>
              <w:rPr>
                <w:sz w:val="20"/>
                <w:szCs w:val="20"/>
                <w:color w:val="auto"/>
              </w:rPr>
            </w:pPr>
            <w:r>
              <w:rPr>
                <w:rFonts w:ascii="Arial" w:cs="Arial" w:eastAsia="Arial" w:hAnsi="Arial"/>
                <w:sz w:val="17"/>
                <w:szCs w:val="17"/>
                <w:color w:val="auto"/>
              </w:rPr>
              <w:t>0.0%</w:t>
            </w:r>
          </w:p>
        </w:tc>
        <w:tc>
          <w:tcPr>
            <w:tcW w:w="1840" w:type="dxa"/>
            <w:vAlign w:val="bottom"/>
            <w:tcBorders>
              <w:right w:val="single" w:sz="8" w:color="auto"/>
            </w:tcBorders>
            <w:gridSpan w:val="2"/>
          </w:tcPr>
          <w:p>
            <w:pPr>
              <w:jc w:val="right"/>
              <w:ind w:right="760"/>
              <w:spacing w:after="0" w:line="184" w:lineRule="exact"/>
              <w:rPr>
                <w:sz w:val="20"/>
                <w:szCs w:val="20"/>
                <w:color w:val="auto"/>
              </w:rPr>
            </w:pPr>
            <w:r>
              <w:rPr>
                <w:rFonts w:ascii="Arial" w:cs="Arial" w:eastAsia="Arial" w:hAnsi="Arial"/>
                <w:sz w:val="17"/>
                <w:szCs w:val="17"/>
                <w:color w:val="auto"/>
              </w:rPr>
              <w:t>0.0%</w:t>
            </w:r>
          </w:p>
        </w:tc>
        <w:tc>
          <w:tcPr>
            <w:tcW w:w="540" w:type="dxa"/>
            <w:vAlign w:val="bottom"/>
          </w:tcPr>
          <w:p>
            <w:pPr>
              <w:spacing w:after="0"/>
              <w:rPr>
                <w:sz w:val="15"/>
                <w:szCs w:val="15"/>
                <w:color w:val="auto"/>
              </w:rPr>
            </w:pPr>
          </w:p>
        </w:tc>
        <w:tc>
          <w:tcPr>
            <w:tcW w:w="1740" w:type="dxa"/>
            <w:vAlign w:val="bottom"/>
            <w:gridSpan w:val="2"/>
          </w:tcPr>
          <w:p>
            <w:pPr>
              <w:jc w:val="right"/>
              <w:ind w:right="660"/>
              <w:spacing w:after="0" w:line="184" w:lineRule="exact"/>
              <w:rPr>
                <w:sz w:val="20"/>
                <w:szCs w:val="20"/>
                <w:color w:val="auto"/>
              </w:rPr>
            </w:pPr>
            <w:r>
              <w:rPr>
                <w:rFonts w:ascii="Arial" w:cs="Arial" w:eastAsia="Arial" w:hAnsi="Arial"/>
                <w:sz w:val="17"/>
                <w:szCs w:val="17"/>
                <w:color w:val="auto"/>
              </w:rPr>
              <w:t>N/A</w:t>
            </w:r>
          </w:p>
        </w:tc>
        <w:tc>
          <w:tcPr>
            <w:tcW w:w="11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The Successor’s assumptions in the table above represent those used during the Successor year ended December 31, 2015 and the Successor Period ended December 31, 2014, for the fair value calculations of the stock options as required for liability-classified stock compensation accounting. The assumptions used by the Predecessor reflect grant date inputs used to arrive at the grant date fair values as the Predecessor awards are subject to equity-classified stock compensation accounting.</w:t>
      </w:r>
    </w:p>
    <w:p>
      <w:pPr>
        <w:spacing w:after="0" w:line="141"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expected holding period represents the period of time the grants are expected to be outstanding. The Company uses the simplified method, as prescribed by accounting guidance governing such awards, to calculate the expected holding period for options granted to employees as we do not have sufficient historical evidence data to provide a reasonable basis upon which to estimate the expected holding period. For options valued by the Successor for the year ended December 31, 2015 and the Successor Period ended December 31, 2014, the expected holding period is based on an average between the midpoint of the vesting date and the expiration date of the options and the estimated time expected until a change in control. For options issued during the Predecessor year ended December 31, 2013, the expected holding period was based on a probability-weighted assessment of an anticipated liquidity event.</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The Company estimates expected volatility primarily by using the historical volatility of a publicly traded peer group that operates in the clinical research and development industry. The Company does not have adequate data to calculate its own volatility and believes the Company’s expected volatility will approximate the historical experience of the peer group. The risk-free interest rate is based on the yield on U.S. Treasury obligations with remaining durations equal to the expected holding period of the options. The expected dividend yield is assumed to be zero based on recent and anticipated dividend activity.</w:t>
      </w:r>
    </w:p>
    <w:p>
      <w:pPr>
        <w:spacing w:after="0" w:line="141"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The Company determines the fair value of restricted shares by obtaining an independent valuation of the fair value of the Company’s equity, applying a discount for lack of marketability, and then calculating the implied share price. The fair value of the Company is estimated primarily using an income approach which is based on assumptions and estimates made by management and, secondarily, using other market-related factors in current industry trends as well as observed transaction values. In determining the estimated future cash flows used in the income approach,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449"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 Company developed and applied certain estimates and judgments, including current and projected future levels of income based on management’s plans, business trends, prospects and market and economic conditions, including market-participant considerations. Significant assumptions utilized in the income approach were based on company specific information and projections, which are not observable in the market and are thus considered Level 3 measurements by authoritative guidance (see discussion of fair value measurements). The discount for lack of marketability (the “Marketability Discount”) was applied to reflect what a market participant would consider in relation to the post-vesting restrictions imposed regarding the inability to sell, transfer, or pledge the shares during the restriction period. The Marketability Discount was estimated by using the BSM Model to calculate the cost of a theoretical put option to hedge the fluctuation in value of the investment between the valuation date and an anticipated liquidity date.</w:t>
      </w:r>
    </w:p>
    <w:p>
      <w:pPr>
        <w:spacing w:after="0" w:line="142"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The following table summarizes the grant date fair values of stock options and restricted shares issued during the period as well as the allocation of stock-based compensation expense to Direct costs, excluding depreciation and amortization, and Selling, general and administrative reported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0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7"/>
              </w:rPr>
              <w:t>PERIOD ENDED</w:t>
            </w:r>
          </w:p>
        </w:tc>
        <w:tc>
          <w:tcPr>
            <w:tcW w:w="7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jc w:val="right"/>
              <w:ind w:right="300"/>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30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78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right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Weighted average, grant date fair value</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260"/>
              <w:spacing w:after="0" w:line="184" w:lineRule="exact"/>
              <w:rPr>
                <w:sz w:val="20"/>
                <w:szCs w:val="20"/>
                <w:color w:val="auto"/>
              </w:rPr>
            </w:pPr>
            <w:r>
              <w:rPr>
                <w:rFonts w:ascii="Arial" w:cs="Arial" w:eastAsia="Arial" w:hAnsi="Arial"/>
                <w:sz w:val="17"/>
                <w:szCs w:val="17"/>
                <w:color w:val="auto"/>
              </w:rPr>
              <w:t>Stock options</w:t>
            </w:r>
          </w:p>
        </w:tc>
        <w:tc>
          <w:tcPr>
            <w:tcW w:w="520" w:type="dxa"/>
            <w:vAlign w:val="bottom"/>
            <w:gridSpan w:val="2"/>
          </w:tcPr>
          <w:p>
            <w:pPr>
              <w:ind w:left="300"/>
              <w:spacing w:after="0" w:line="184"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2.82</w:t>
            </w:r>
          </w:p>
        </w:tc>
        <w:tc>
          <w:tcPr>
            <w:tcW w:w="560" w:type="dxa"/>
            <w:vAlign w:val="bottom"/>
            <w:gridSpan w:val="2"/>
          </w:tcPr>
          <w:p>
            <w:pPr>
              <w:ind w:left="300"/>
              <w:spacing w:after="0" w:line="18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tcPr>
          <w:p>
            <w:pPr>
              <w:jc w:val="right"/>
              <w:ind w:right="720"/>
              <w:spacing w:after="0" w:line="184" w:lineRule="exact"/>
              <w:rPr>
                <w:sz w:val="20"/>
                <w:szCs w:val="20"/>
                <w:color w:val="auto"/>
              </w:rPr>
            </w:pPr>
            <w:r>
              <w:rPr>
                <w:rFonts w:ascii="Arial" w:cs="Arial" w:eastAsia="Arial" w:hAnsi="Arial"/>
                <w:sz w:val="17"/>
                <w:szCs w:val="17"/>
                <w:color w:val="auto"/>
              </w:rPr>
              <w:t>3.21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N/A</w:t>
            </w:r>
          </w:p>
        </w:tc>
        <w:tc>
          <w:tcPr>
            <w:tcW w:w="600" w:type="dxa"/>
            <w:vAlign w:val="bottom"/>
            <w:gridSpan w:val="2"/>
          </w:tcPr>
          <w:p>
            <w:pPr>
              <w:ind w:left="300"/>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20" w:type="dxa"/>
            <w:vAlign w:val="bottom"/>
            <w:shd w:val="clear" w:color="auto" w:fill="CCEEFF"/>
          </w:tcPr>
          <w:p>
            <w:pPr>
              <w:ind w:left="260"/>
              <w:spacing w:after="0" w:line="176" w:lineRule="exact"/>
              <w:rPr>
                <w:sz w:val="20"/>
                <w:szCs w:val="20"/>
                <w:color w:val="auto"/>
              </w:rPr>
            </w:pPr>
            <w:r>
              <w:rPr>
                <w:rFonts w:ascii="Arial" w:cs="Arial" w:eastAsia="Arial" w:hAnsi="Arial"/>
                <w:sz w:val="17"/>
                <w:szCs w:val="17"/>
                <w:color w:val="auto"/>
              </w:rPr>
              <w:t>Restricted shares (RSAs and RSUs)</w:t>
            </w:r>
          </w:p>
        </w:tc>
        <w:tc>
          <w:tcPr>
            <w:tcW w:w="52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7"/>
                <w:szCs w:val="17"/>
                <w:color w:val="auto"/>
              </w:rPr>
              <w:t>9.28</w:t>
            </w:r>
          </w:p>
        </w:tc>
        <w:tc>
          <w:tcPr>
            <w:tcW w:w="5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20"/>
              <w:spacing w:after="0" w:line="176" w:lineRule="exact"/>
              <w:rPr>
                <w:sz w:val="20"/>
                <w:szCs w:val="20"/>
                <w:color w:val="auto"/>
              </w:rPr>
            </w:pPr>
            <w:r>
              <w:rPr>
                <w:rFonts w:ascii="Arial" w:cs="Arial" w:eastAsia="Arial" w:hAnsi="Arial"/>
                <w:sz w:val="17"/>
                <w:szCs w:val="17"/>
                <w:color w:val="auto"/>
              </w:rPr>
              <w:t>8.00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7"/>
                <w:szCs w:val="17"/>
                <w:color w:val="auto"/>
              </w:rPr>
              <w:t>N/A</w:t>
            </w:r>
          </w:p>
        </w:tc>
        <w:tc>
          <w:tcPr>
            <w:tcW w:w="60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Stock-based compensation expense allocated to:</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Direct costs, excluding depreciation and amortization</w:t>
            </w:r>
          </w:p>
        </w:tc>
        <w:tc>
          <w:tcPr>
            <w:tcW w:w="52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9,243</w:t>
            </w:r>
          </w:p>
        </w:tc>
        <w:tc>
          <w:tcPr>
            <w:tcW w:w="56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4,399</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5,422</w:t>
            </w:r>
          </w:p>
        </w:tc>
        <w:tc>
          <w:tcPr>
            <w:tcW w:w="60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183"/>
        </w:trPr>
        <w:tc>
          <w:tcPr>
            <w:tcW w:w="4420" w:type="dxa"/>
            <w:vAlign w:val="bottom"/>
          </w:tcPr>
          <w:p>
            <w:pPr>
              <w:ind w:left="260"/>
              <w:spacing w:after="0" w:line="184" w:lineRule="exact"/>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13,081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Borders>
              <w:right w:val="single" w:sz="8" w:color="auto"/>
            </w:tcBorders>
            <w:gridSpan w:val="2"/>
          </w:tcPr>
          <w:p>
            <w:pPr>
              <w:jc w:val="right"/>
              <w:ind w:right="720"/>
              <w:spacing w:after="0" w:line="184" w:lineRule="exact"/>
              <w:rPr>
                <w:sz w:val="20"/>
                <w:szCs w:val="20"/>
                <w:color w:val="auto"/>
              </w:rPr>
            </w:pPr>
            <w:r>
              <w:rPr>
                <w:rFonts w:ascii="Arial" w:cs="Arial" w:eastAsia="Arial" w:hAnsi="Arial"/>
                <w:sz w:val="17"/>
                <w:szCs w:val="17"/>
                <w:color w:val="auto"/>
              </w:rPr>
              <w:t>1,024</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1,918</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stock-based compensation expense</w:t>
            </w:r>
          </w:p>
        </w:tc>
        <w:tc>
          <w:tcPr>
            <w:tcW w:w="52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22,324</w:t>
            </w:r>
          </w:p>
        </w:tc>
        <w:tc>
          <w:tcPr>
            <w:tcW w:w="56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5,423</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7,340</w:t>
            </w:r>
          </w:p>
        </w:tc>
        <w:tc>
          <w:tcPr>
            <w:tcW w:w="60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 Activity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Successor’s and Predecessor’s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PREDECESSOR</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3620" w:type="dxa"/>
            <w:vAlign w:val="bottom"/>
          </w:tcPr>
          <w:p>
            <w:pPr>
              <w:spacing w:after="0"/>
              <w:rPr>
                <w:sz w:val="12"/>
                <w:szCs w:val="12"/>
                <w:color w:val="auto"/>
              </w:rPr>
            </w:pPr>
          </w:p>
        </w:tc>
        <w:tc>
          <w:tcPr>
            <w:tcW w:w="1900" w:type="dxa"/>
            <w:vAlign w:val="bottom"/>
            <w:gridSpan w:val="5"/>
          </w:tcPr>
          <w:p>
            <w:pPr>
              <w:ind w:left="400"/>
              <w:spacing w:after="0" w:line="139" w:lineRule="exact"/>
              <w:rPr>
                <w:sz w:val="20"/>
                <w:szCs w:val="20"/>
                <w:color w:val="auto"/>
              </w:rPr>
            </w:pPr>
            <w:r>
              <w:rPr>
                <w:rFonts w:ascii="Arial" w:cs="Arial" w:eastAsia="Arial" w:hAnsi="Arial"/>
                <w:sz w:val="14"/>
                <w:szCs w:val="14"/>
                <w:b w:val="1"/>
                <w:bCs w:val="1"/>
                <w:color w:val="auto"/>
              </w:rPr>
              <w:t>YEAR ENDED</w:t>
            </w:r>
          </w:p>
        </w:tc>
        <w:tc>
          <w:tcPr>
            <w:tcW w:w="1720" w:type="dxa"/>
            <w:vAlign w:val="bottom"/>
            <w:gridSpan w:val="4"/>
          </w:tcPr>
          <w:p>
            <w:pPr>
              <w:jc w:val="right"/>
              <w:ind w:right="243"/>
              <w:spacing w:after="0" w:line="139" w:lineRule="exact"/>
              <w:rPr>
                <w:sz w:val="20"/>
                <w:szCs w:val="20"/>
                <w:color w:val="auto"/>
              </w:rPr>
            </w:pPr>
            <w:r>
              <w:rPr>
                <w:rFonts w:ascii="Arial" w:cs="Arial" w:eastAsia="Arial" w:hAnsi="Arial"/>
                <w:sz w:val="14"/>
                <w:szCs w:val="14"/>
                <w:b w:val="1"/>
                <w:bCs w:val="1"/>
                <w:color w:val="auto"/>
              </w:rPr>
              <w:t>PERIOD ENDED</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5"/>
          </w:tcPr>
          <w:p>
            <w:pPr>
              <w:jc w:val="right"/>
              <w:ind w:right="560"/>
              <w:spacing w:after="0" w:line="139" w:lineRule="exact"/>
              <w:rPr>
                <w:sz w:val="20"/>
                <w:szCs w:val="20"/>
                <w:color w:val="auto"/>
              </w:rPr>
            </w:pPr>
            <w:r>
              <w:rPr>
                <w:rFonts w:ascii="Arial" w:cs="Arial" w:eastAsia="Arial" w:hAnsi="Arial"/>
                <w:sz w:val="14"/>
                <w:szCs w:val="14"/>
                <w:b w:val="1"/>
                <w:bCs w:val="1"/>
                <w:color w:val="auto"/>
              </w:rPr>
              <w:t>PERIOD ENDED</w:t>
            </w:r>
          </w:p>
        </w:tc>
        <w:tc>
          <w:tcPr>
            <w:tcW w:w="1740" w:type="dxa"/>
            <w:vAlign w:val="bottom"/>
            <w:gridSpan w:val="5"/>
          </w:tcPr>
          <w:p>
            <w:pPr>
              <w:jc w:val="center"/>
              <w:spacing w:after="0" w:line="139"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r>
      <w:tr>
        <w:trPr>
          <w:trHeight w:val="169"/>
        </w:trPr>
        <w:tc>
          <w:tcPr>
            <w:tcW w:w="3620" w:type="dxa"/>
            <w:vAlign w:val="bottom"/>
          </w:tcPr>
          <w:p>
            <w:pPr>
              <w:spacing w:after="0"/>
              <w:rPr>
                <w:sz w:val="14"/>
                <w:szCs w:val="14"/>
                <w:color w:val="auto"/>
              </w:rPr>
            </w:pPr>
          </w:p>
        </w:tc>
        <w:tc>
          <w:tcPr>
            <w:tcW w:w="19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 2015</w:t>
            </w:r>
          </w:p>
        </w:tc>
        <w:tc>
          <w:tcPr>
            <w:tcW w:w="202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 2014</w:t>
            </w:r>
          </w:p>
        </w:tc>
        <w:tc>
          <w:tcPr>
            <w:tcW w:w="18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9"/>
              </w:rPr>
              <w:t>DECEMBER 31, 2013</w:t>
            </w:r>
          </w:p>
        </w:tc>
      </w:tr>
      <w:tr>
        <w:trPr>
          <w:trHeight w:val="139"/>
        </w:trPr>
        <w:tc>
          <w:tcPr>
            <w:tcW w:w="3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98"/>
              </w:rPr>
              <w:t>WEIGHTED</w:t>
            </w: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w w:val="95"/>
              </w:rPr>
              <w:t>WEIGHTED</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98"/>
              </w:rPr>
              <w:t>WEIGHTED</w:t>
            </w:r>
          </w:p>
        </w:tc>
        <w:tc>
          <w:tcPr>
            <w:tcW w:w="80" w:type="dxa"/>
            <w:vAlign w:val="bottom"/>
          </w:tcPr>
          <w:p>
            <w:pPr>
              <w:spacing w:after="0"/>
              <w:rPr>
                <w:sz w:val="12"/>
                <w:szCs w:val="12"/>
                <w:color w:val="auto"/>
              </w:rPr>
            </w:pPr>
          </w:p>
        </w:tc>
      </w:tr>
      <w:tr>
        <w:trPr>
          <w:trHeight w:val="157"/>
        </w:trPr>
        <w:tc>
          <w:tcPr>
            <w:tcW w:w="3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AVERAGE</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right w:val="single" w:sz="8" w:color="auto"/>
            </w:tcBorders>
            <w:gridSpan w:val="3"/>
          </w:tcPr>
          <w:p>
            <w:pPr>
              <w:ind w:left="40"/>
              <w:spacing w:after="0" w:line="157"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AVERAGE</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AVERAGE</w:t>
            </w:r>
          </w:p>
        </w:tc>
      </w:tr>
      <w:tr>
        <w:trPr>
          <w:trHeight w:val="157"/>
        </w:trPr>
        <w:tc>
          <w:tcPr>
            <w:tcW w:w="3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EXERCISE</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right w:val="single" w:sz="8" w:color="auto"/>
            </w:tcBorders>
            <w:gridSpan w:val="3"/>
          </w:tcPr>
          <w:p>
            <w:pPr>
              <w:ind w:left="40"/>
              <w:spacing w:after="0" w:line="157" w:lineRule="exact"/>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EXERCISE</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EXERCISE</w:t>
            </w:r>
          </w:p>
        </w:tc>
      </w:tr>
      <w:tr>
        <w:trPr>
          <w:trHeight w:val="169"/>
        </w:trPr>
        <w:tc>
          <w:tcPr>
            <w:tcW w:w="36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PRICE</w:t>
            </w:r>
          </w:p>
        </w:tc>
        <w:tc>
          <w:tcPr>
            <w:tcW w:w="3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4"/>
                <w:szCs w:val="14"/>
                <w:color w:val="auto"/>
              </w:rPr>
            </w:pPr>
          </w:p>
        </w:tc>
      </w:tr>
      <w:tr>
        <w:trPr>
          <w:trHeight w:val="176"/>
        </w:trPr>
        <w:tc>
          <w:tcPr>
            <w:tcW w:w="36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Outstanding—Beginning of period</w:t>
            </w:r>
          </w:p>
        </w:tc>
        <w:tc>
          <w:tcPr>
            <w:tcW w:w="96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1,091,048</w:t>
            </w:r>
          </w:p>
        </w:tc>
        <w:tc>
          <w:tcPr>
            <w:tcW w:w="1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line="177" w:lineRule="exact"/>
              <w:rPr>
                <w:sz w:val="20"/>
                <w:szCs w:val="20"/>
                <w:color w:val="auto"/>
              </w:rPr>
            </w:pPr>
            <w:r>
              <w:rPr>
                <w:rFonts w:ascii="Arial" w:cs="Arial" w:eastAsia="Arial" w:hAnsi="Arial"/>
                <w:sz w:val="16"/>
                <w:szCs w:val="16"/>
                <w:color w:val="auto"/>
              </w:rPr>
              <w:t>14.40</w:t>
            </w:r>
          </w:p>
        </w:tc>
        <w:tc>
          <w:tcPr>
            <w:tcW w:w="96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300"/>
              <w:spacing w:after="0" w:line="177"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1,438,800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11.03</w:t>
            </w:r>
          </w:p>
        </w:tc>
        <w:tc>
          <w:tcPr>
            <w:tcW w:w="900" w:type="dxa"/>
            <w:vAlign w:val="bottom"/>
            <w:gridSpan w:val="2"/>
            <w:shd w:val="clear" w:color="auto" w:fill="CCEEFF"/>
          </w:tcPr>
          <w:p>
            <w:pPr>
              <w:jc w:val="right"/>
              <w:ind w:right="140"/>
              <w:spacing w:after="0" w:line="177" w:lineRule="exact"/>
              <w:rPr>
                <w:sz w:val="20"/>
                <w:szCs w:val="20"/>
                <w:color w:val="auto"/>
              </w:rPr>
            </w:pPr>
            <w:r>
              <w:rPr>
                <w:rFonts w:ascii="Arial" w:cs="Arial" w:eastAsia="Arial" w:hAnsi="Arial"/>
                <w:sz w:val="16"/>
                <w:szCs w:val="16"/>
                <w:color w:val="auto"/>
              </w:rPr>
              <w:t>1,267,900</w:t>
            </w:r>
          </w:p>
        </w:tc>
        <w:tc>
          <w:tcPr>
            <w:tcW w:w="200" w:type="dxa"/>
            <w:vAlign w:val="bottom"/>
            <w:gridSpan w:val="2"/>
            <w:shd w:val="clear" w:color="auto" w:fill="CCEEFF"/>
          </w:tcPr>
          <w:p>
            <w:pPr>
              <w:ind w:left="80"/>
              <w:spacing w:after="0" w:line="177"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line="177" w:lineRule="exact"/>
              <w:rPr>
                <w:sz w:val="20"/>
                <w:szCs w:val="20"/>
                <w:color w:val="auto"/>
              </w:rPr>
            </w:pPr>
            <w:r>
              <w:rPr>
                <w:rFonts w:ascii="Arial" w:cs="Arial" w:eastAsia="Arial" w:hAnsi="Arial"/>
                <w:sz w:val="16"/>
                <w:szCs w:val="16"/>
                <w:color w:val="auto"/>
              </w:rPr>
              <w:t>10.00</w:t>
            </w:r>
          </w:p>
        </w:tc>
      </w:tr>
      <w:tr>
        <w:trPr>
          <w:trHeight w:val="183"/>
        </w:trPr>
        <w:tc>
          <w:tcPr>
            <w:tcW w:w="3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760" w:type="dxa"/>
            <w:vAlign w:val="bottom"/>
          </w:tcPr>
          <w:p>
            <w:pPr>
              <w:jc w:val="right"/>
              <w:spacing w:after="0"/>
              <w:rPr>
                <w:sz w:val="20"/>
                <w:szCs w:val="20"/>
                <w:color w:val="auto"/>
              </w:rPr>
            </w:pPr>
            <w:r>
              <w:rPr>
                <w:rFonts w:ascii="Arial" w:cs="Arial" w:eastAsia="Arial" w:hAnsi="Arial"/>
                <w:sz w:val="16"/>
                <w:szCs w:val="16"/>
                <w:color w:val="auto"/>
              </w:rPr>
              <w:t>889,849</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16.67</w:t>
            </w:r>
          </w:p>
        </w:tc>
        <w:tc>
          <w:tcPr>
            <w:tcW w:w="760" w:type="dxa"/>
            <w:vAlign w:val="bottom"/>
          </w:tcPr>
          <w:p>
            <w:pPr>
              <w:jc w:val="right"/>
              <w:spacing w:after="0"/>
              <w:rPr>
                <w:sz w:val="20"/>
                <w:szCs w:val="20"/>
                <w:color w:val="auto"/>
              </w:rPr>
            </w:pPr>
            <w:r>
              <w:rPr>
                <w:rFonts w:ascii="Arial" w:cs="Arial" w:eastAsia="Arial" w:hAnsi="Arial"/>
                <w:sz w:val="16"/>
                <w:szCs w:val="16"/>
                <w:color w:val="auto"/>
              </w:rPr>
              <w:t>1,131,895</w:t>
            </w:r>
          </w:p>
        </w:tc>
        <w:tc>
          <w:tcPr>
            <w:tcW w:w="2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378,300</w:t>
            </w:r>
          </w:p>
        </w:tc>
        <w:tc>
          <w:tcPr>
            <w:tcW w:w="14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14.00</w:t>
            </w:r>
          </w:p>
        </w:tc>
      </w:tr>
      <w:tr>
        <w:trPr>
          <w:trHeight w:val="183"/>
        </w:trPr>
        <w:tc>
          <w:tcPr>
            <w:tcW w:w="3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(17,404)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(1,388,000)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(45,200)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r>
      <w:tr>
        <w:trPr>
          <w:trHeight w:val="183"/>
        </w:trPr>
        <w:tc>
          <w:tcPr>
            <w:tcW w:w="362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(168,784)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15.53</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(40,847)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(32,200)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12.53</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(162,200)</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10.18</w:t>
            </w:r>
          </w:p>
        </w:tc>
      </w:tr>
      <w:tr>
        <w:trPr>
          <w:trHeight w:val="183"/>
        </w:trPr>
        <w:tc>
          <w:tcPr>
            <w:tcW w:w="3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Expired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(18,600)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3620" w:type="dxa"/>
            <w:vAlign w:val="bottom"/>
          </w:tcPr>
          <w:p>
            <w:pPr>
              <w:spacing w:after="0"/>
              <w:rPr>
                <w:sz w:val="20"/>
                <w:szCs w:val="20"/>
                <w:color w:val="auto"/>
              </w:rPr>
            </w:pPr>
            <w:r>
              <w:rPr>
                <w:rFonts w:ascii="Arial" w:cs="Arial" w:eastAsia="Arial" w:hAnsi="Arial"/>
                <w:sz w:val="16"/>
                <w:szCs w:val="16"/>
                <w:color w:val="auto"/>
              </w:rPr>
              <w:t>Outstanding—end of period</w:t>
            </w:r>
          </w:p>
        </w:tc>
        <w:tc>
          <w:tcPr>
            <w:tcW w:w="760" w:type="dxa"/>
            <w:vAlign w:val="bottom"/>
          </w:tcPr>
          <w:p>
            <w:pPr>
              <w:jc w:val="right"/>
              <w:spacing w:after="0"/>
              <w:rPr>
                <w:sz w:val="20"/>
                <w:szCs w:val="20"/>
                <w:color w:val="auto"/>
              </w:rPr>
            </w:pPr>
            <w:r>
              <w:rPr>
                <w:rFonts w:ascii="Arial" w:cs="Arial" w:eastAsia="Arial" w:hAnsi="Arial"/>
                <w:sz w:val="16"/>
                <w:szCs w:val="16"/>
                <w:color w:val="auto"/>
              </w:rPr>
              <w:t>1,794,709</w:t>
            </w:r>
          </w:p>
        </w:tc>
        <w:tc>
          <w:tcPr>
            <w:tcW w:w="2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15.42</w:t>
            </w:r>
          </w:p>
        </w:tc>
        <w:tc>
          <w:tcPr>
            <w:tcW w:w="760" w:type="dxa"/>
            <w:vAlign w:val="bottom"/>
          </w:tcPr>
          <w:p>
            <w:pPr>
              <w:jc w:val="right"/>
              <w:spacing w:after="0"/>
              <w:rPr>
                <w:sz w:val="20"/>
                <w:szCs w:val="20"/>
                <w:color w:val="auto"/>
              </w:rPr>
            </w:pPr>
            <w:r>
              <w:rPr>
                <w:rFonts w:ascii="Arial" w:cs="Arial" w:eastAsia="Arial" w:hAnsi="Arial"/>
                <w:sz w:val="16"/>
                <w:szCs w:val="16"/>
                <w:color w:val="auto"/>
              </w:rPr>
              <w:t>1,091,048</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1,438,800</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11.03</w:t>
            </w:r>
          </w:p>
        </w:tc>
      </w:tr>
      <w:tr>
        <w:trPr>
          <w:trHeight w:val="20"/>
        </w:trPr>
        <w:tc>
          <w:tcPr>
            <w:tcW w:w="3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36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Exercisable—end of period</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242,777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14.40</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30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395,588</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10.00</w:t>
            </w:r>
          </w:p>
        </w:tc>
      </w:tr>
      <w:tr>
        <w:trPr>
          <w:trHeight w:val="20"/>
        </w:trPr>
        <w:tc>
          <w:tcPr>
            <w:tcW w:w="3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3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550"/>
        </w:trPr>
        <w:tc>
          <w:tcPr>
            <w:tcW w:w="3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6"/>
                <w:szCs w:val="16"/>
                <w:color w:val="auto"/>
              </w:rPr>
              <w:t>F-30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Successor and Predecessor’s Restricted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3320" w:type="dxa"/>
            <w:vAlign w:val="bottom"/>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26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rPr>
              <w:t>YEAR ENDED</w:t>
            </w:r>
          </w:p>
        </w:tc>
        <w:tc>
          <w:tcPr>
            <w:tcW w:w="10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5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14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DECEMBER 31,</w:t>
            </w:r>
          </w:p>
        </w:tc>
        <w:tc>
          <w:tcPr>
            <w:tcW w:w="1600" w:type="dxa"/>
            <w:vAlign w:val="bottom"/>
            <w:tcBorders>
              <w:right w:val="single" w:sz="8" w:color="auto"/>
            </w:tcBorders>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48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4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9"/>
              </w:rPr>
              <w:t>SHARES</w:t>
            </w:r>
          </w:p>
        </w:tc>
        <w:tc>
          <w:tcPr>
            <w:tcW w:w="4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9"/>
              </w:rPr>
              <w:t>SHARES</w:t>
            </w:r>
          </w:p>
        </w:tc>
        <w:tc>
          <w:tcPr>
            <w:tcW w:w="520" w:type="dxa"/>
            <w:vAlign w:val="bottom"/>
            <w:tcBorders>
              <w:bottom w:val="single" w:sz="8" w:color="CCEEFF"/>
              <w:right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9"/>
              </w:rPr>
              <w:t>SHARES</w:t>
            </w:r>
          </w:p>
        </w:tc>
        <w:tc>
          <w:tcPr>
            <w:tcW w:w="4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9"/>
              </w:rPr>
              <w:t>SHARES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Outstanding and unvested—beginning of period</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407,171</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520" w:type="dxa"/>
            <w:vAlign w:val="bottom"/>
            <w:tcBorders>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176,643</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216,898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ind w:left="260"/>
              <w:spacing w:after="0" w:line="184" w:lineRule="exact"/>
              <w:rPr>
                <w:sz w:val="20"/>
                <w:szCs w:val="20"/>
                <w:color w:val="auto"/>
              </w:rPr>
            </w:pPr>
            <w:r>
              <w:rPr>
                <w:rFonts w:ascii="Arial" w:cs="Arial" w:eastAsia="Arial" w:hAnsi="Arial"/>
                <w:sz w:val="17"/>
                <w:szCs w:val="17"/>
                <w:color w:val="auto"/>
              </w:rPr>
              <w:t>Granted</w:t>
            </w:r>
          </w:p>
        </w:tc>
        <w:tc>
          <w:tcPr>
            <w:tcW w:w="144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1,253,924</w:t>
            </w:r>
          </w:p>
        </w:tc>
        <w:tc>
          <w:tcPr>
            <w:tcW w:w="1600" w:type="dxa"/>
            <w:vAlign w:val="bottom"/>
            <w:tcBorders>
              <w:right w:val="single" w:sz="8" w:color="auto"/>
            </w:tcBorders>
            <w:gridSpan w:val="2"/>
          </w:tcPr>
          <w:p>
            <w:pPr>
              <w:jc w:val="right"/>
              <w:ind w:right="520"/>
              <w:spacing w:after="0" w:line="184" w:lineRule="exact"/>
              <w:rPr>
                <w:sz w:val="20"/>
                <w:szCs w:val="20"/>
                <w:color w:val="auto"/>
              </w:rPr>
            </w:pPr>
            <w:r>
              <w:rPr>
                <w:rFonts w:ascii="Arial" w:cs="Arial" w:eastAsia="Arial" w:hAnsi="Arial"/>
                <w:sz w:val="17"/>
                <w:szCs w:val="17"/>
                <w:color w:val="auto"/>
              </w:rPr>
              <w:t>707,721</w:t>
            </w:r>
          </w:p>
        </w:tc>
        <w:tc>
          <w:tcPr>
            <w:tcW w:w="280" w:type="dxa"/>
            <w:vAlign w:val="bottom"/>
          </w:tcPr>
          <w:p>
            <w:pPr>
              <w:spacing w:after="0"/>
              <w:rPr>
                <w:sz w:val="15"/>
                <w:szCs w:val="15"/>
                <w:color w:val="auto"/>
              </w:rPr>
            </w:pPr>
          </w:p>
        </w:tc>
        <w:tc>
          <w:tcPr>
            <w:tcW w:w="148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59,990</w:t>
            </w: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Vested</w:t>
            </w:r>
          </w:p>
        </w:tc>
        <w:tc>
          <w:tcPr>
            <w:tcW w:w="1440" w:type="dxa"/>
            <w:vAlign w:val="bottom"/>
            <w:gridSpan w:val="2"/>
            <w:shd w:val="clear" w:color="auto" w:fill="CCEEFF"/>
          </w:tcPr>
          <w:p>
            <w:pPr>
              <w:jc w:val="right"/>
              <w:ind w:right="360"/>
              <w:spacing w:after="0" w:line="184" w:lineRule="exact"/>
              <w:rPr>
                <w:sz w:val="20"/>
                <w:szCs w:val="20"/>
                <w:color w:val="auto"/>
              </w:rPr>
            </w:pPr>
            <w:r>
              <w:rPr>
                <w:rFonts w:ascii="Arial" w:cs="Arial" w:eastAsia="Arial" w:hAnsi="Arial"/>
                <w:sz w:val="17"/>
                <w:szCs w:val="17"/>
                <w:color w:val="auto"/>
              </w:rPr>
              <w:t>(1,530,547)</w:t>
            </w:r>
          </w:p>
        </w:tc>
        <w:tc>
          <w:tcPr>
            <w:tcW w:w="1600" w:type="dxa"/>
            <w:vAlign w:val="bottom"/>
            <w:tcBorders>
              <w:right w:val="single" w:sz="8" w:color="auto"/>
            </w:tcBorders>
            <w:gridSpan w:val="2"/>
            <w:shd w:val="clear" w:color="auto" w:fill="CCEEFF"/>
          </w:tcPr>
          <w:p>
            <w:pPr>
              <w:jc w:val="right"/>
              <w:ind w:right="480"/>
              <w:spacing w:after="0" w:line="184" w:lineRule="exact"/>
              <w:rPr>
                <w:sz w:val="20"/>
                <w:szCs w:val="20"/>
                <w:color w:val="auto"/>
              </w:rPr>
            </w:pPr>
            <w:r>
              <w:rPr>
                <w:rFonts w:ascii="Arial" w:cs="Arial" w:eastAsia="Arial" w:hAnsi="Arial"/>
                <w:sz w:val="17"/>
                <w:szCs w:val="17"/>
                <w:color w:val="auto"/>
              </w:rPr>
              <w:t>(283,042)</w:t>
            </w:r>
          </w:p>
        </w:tc>
        <w:tc>
          <w:tcPr>
            <w:tcW w:w="2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(172,492)</w:t>
            </w:r>
          </w:p>
        </w:tc>
        <w:tc>
          <w:tcPr>
            <w:tcW w:w="114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(90,998)</w:t>
            </w:r>
          </w:p>
        </w:tc>
        <w:tc>
          <w:tcPr>
            <w:tcW w:w="0" w:type="dxa"/>
            <w:vAlign w:val="bottom"/>
          </w:tcPr>
          <w:p>
            <w:pPr>
              <w:spacing w:after="0"/>
              <w:rPr>
                <w:sz w:val="1"/>
                <w:szCs w:val="1"/>
                <w:color w:val="auto"/>
              </w:rPr>
            </w:pPr>
          </w:p>
        </w:tc>
      </w:tr>
      <w:tr>
        <w:trPr>
          <w:trHeight w:val="190"/>
        </w:trPr>
        <w:tc>
          <w:tcPr>
            <w:tcW w:w="5480" w:type="dxa"/>
            <w:vAlign w:val="bottom"/>
          </w:tcPr>
          <w:p>
            <w:pPr>
              <w:ind w:left="260"/>
              <w:spacing w:after="0" w:line="184" w:lineRule="exact"/>
              <w:rPr>
                <w:sz w:val="20"/>
                <w:szCs w:val="20"/>
                <w:color w:val="auto"/>
              </w:rPr>
            </w:pPr>
            <w:r>
              <w:rPr>
                <w:rFonts w:ascii="Arial" w:cs="Arial" w:eastAsia="Arial" w:hAnsi="Arial"/>
                <w:sz w:val="17"/>
                <w:szCs w:val="17"/>
                <w:color w:val="auto"/>
              </w:rPr>
              <w:t>Forfeited</w:t>
            </w:r>
          </w:p>
        </w:tc>
        <w:tc>
          <w:tcPr>
            <w:tcW w:w="1440" w:type="dxa"/>
            <w:vAlign w:val="bottom"/>
            <w:gridSpan w:val="2"/>
          </w:tcPr>
          <w:p>
            <w:pPr>
              <w:jc w:val="right"/>
              <w:ind w:right="360"/>
              <w:spacing w:after="0" w:line="184" w:lineRule="exact"/>
              <w:rPr>
                <w:sz w:val="20"/>
                <w:szCs w:val="20"/>
                <w:color w:val="auto"/>
              </w:rPr>
            </w:pPr>
            <w:r>
              <w:rPr>
                <w:rFonts w:ascii="Arial" w:cs="Arial" w:eastAsia="Arial" w:hAnsi="Arial"/>
                <w:sz w:val="17"/>
                <w:szCs w:val="17"/>
                <w:color w:val="auto"/>
              </w:rPr>
              <w:t>(39,851)</w:t>
            </w:r>
          </w:p>
        </w:tc>
        <w:tc>
          <w:tcPr>
            <w:tcW w:w="1600" w:type="dxa"/>
            <w:vAlign w:val="bottom"/>
            <w:tcBorders>
              <w:right w:val="single" w:sz="8" w:color="auto"/>
            </w:tcBorders>
            <w:gridSpan w:val="2"/>
          </w:tcPr>
          <w:p>
            <w:pPr>
              <w:jc w:val="right"/>
              <w:ind w:right="480"/>
              <w:spacing w:after="0" w:line="184" w:lineRule="exact"/>
              <w:rPr>
                <w:sz w:val="20"/>
                <w:szCs w:val="20"/>
                <w:color w:val="auto"/>
              </w:rPr>
            </w:pPr>
            <w:r>
              <w:rPr>
                <w:rFonts w:ascii="Arial" w:cs="Arial" w:eastAsia="Arial" w:hAnsi="Arial"/>
                <w:sz w:val="17"/>
                <w:szCs w:val="17"/>
                <w:color w:val="auto"/>
              </w:rPr>
              <w:t>(17,508)</w:t>
            </w:r>
          </w:p>
        </w:tc>
        <w:tc>
          <w:tcPr>
            <w:tcW w:w="280" w:type="dxa"/>
            <w:vAlign w:val="bottom"/>
          </w:tcPr>
          <w:p>
            <w:pPr>
              <w:spacing w:after="0"/>
              <w:rPr>
                <w:sz w:val="16"/>
                <w:szCs w:val="16"/>
                <w:color w:val="auto"/>
              </w:rPr>
            </w:pPr>
          </w:p>
        </w:tc>
        <w:tc>
          <w:tcPr>
            <w:tcW w:w="148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(4,151)</w:t>
            </w:r>
          </w:p>
        </w:tc>
        <w:tc>
          <w:tcPr>
            <w:tcW w:w="114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(9,247)</w:t>
            </w: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Outstanding and unvested—end of period</w:t>
            </w:r>
          </w:p>
        </w:tc>
        <w:tc>
          <w:tcPr>
            <w:tcW w:w="104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90,697</w:t>
            </w:r>
          </w:p>
        </w:tc>
        <w:tc>
          <w:tcPr>
            <w:tcW w:w="400" w:type="dxa"/>
            <w:vAlign w:val="bottom"/>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407,171</w:t>
            </w:r>
          </w:p>
        </w:tc>
        <w:tc>
          <w:tcPr>
            <w:tcW w:w="520" w:type="dxa"/>
            <w:vAlign w:val="bottom"/>
            <w:tcBorders>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176,643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Cumulative vested shares—end of period</w:t>
            </w: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1440" w:type="dxa"/>
            <w:vAlign w:val="bottom"/>
            <w:gridSpan w:val="2"/>
          </w:tcPr>
          <w:p>
            <w:pPr>
              <w:jc w:val="right"/>
              <w:ind w:right="400"/>
              <w:spacing w:after="0" w:line="176" w:lineRule="exact"/>
              <w:rPr>
                <w:sz w:val="20"/>
                <w:szCs w:val="20"/>
                <w:color w:val="auto"/>
              </w:rPr>
            </w:pPr>
            <w:r>
              <w:rPr>
                <w:rFonts w:ascii="Arial" w:cs="Arial" w:eastAsia="Arial" w:hAnsi="Arial"/>
                <w:sz w:val="17"/>
                <w:szCs w:val="17"/>
                <w:color w:val="auto"/>
              </w:rPr>
              <w:t>1,813,589</w:t>
            </w:r>
          </w:p>
        </w:tc>
        <w:tc>
          <w:tcPr>
            <w:tcW w:w="1600" w:type="dxa"/>
            <w:vAlign w:val="bottom"/>
            <w:tcBorders>
              <w:right w:val="single" w:sz="8" w:color="auto"/>
            </w:tcBorders>
            <w:gridSpan w:val="2"/>
          </w:tcPr>
          <w:p>
            <w:pPr>
              <w:jc w:val="right"/>
              <w:ind w:right="520"/>
              <w:spacing w:after="0" w:line="176" w:lineRule="exact"/>
              <w:rPr>
                <w:sz w:val="20"/>
                <w:szCs w:val="20"/>
                <w:color w:val="auto"/>
              </w:rPr>
            </w:pPr>
            <w:r>
              <w:rPr>
                <w:rFonts w:ascii="Arial" w:cs="Arial" w:eastAsia="Arial" w:hAnsi="Arial"/>
                <w:sz w:val="17"/>
                <w:szCs w:val="17"/>
                <w:color w:val="auto"/>
              </w:rPr>
              <w:t>283,042</w:t>
            </w:r>
          </w:p>
        </w:tc>
        <w:tc>
          <w:tcPr>
            <w:tcW w:w="280" w:type="dxa"/>
            <w:vAlign w:val="bottom"/>
          </w:tcPr>
          <w:p>
            <w:pPr>
              <w:spacing w:after="0"/>
              <w:rPr>
                <w:sz w:val="15"/>
                <w:szCs w:val="15"/>
                <w:color w:val="auto"/>
              </w:rPr>
            </w:pPr>
          </w:p>
        </w:tc>
        <w:tc>
          <w:tcPr>
            <w:tcW w:w="1480" w:type="dxa"/>
            <w:vAlign w:val="bottom"/>
            <w:gridSpan w:val="2"/>
          </w:tcPr>
          <w:p>
            <w:pPr>
              <w:jc w:val="right"/>
              <w:ind w:right="400"/>
              <w:spacing w:after="0" w:line="176" w:lineRule="exact"/>
              <w:rPr>
                <w:sz w:val="20"/>
                <w:szCs w:val="20"/>
                <w:color w:val="auto"/>
              </w:rPr>
            </w:pPr>
            <w:r>
              <w:rPr>
                <w:rFonts w:ascii="Arial" w:cs="Arial" w:eastAsia="Arial" w:hAnsi="Arial"/>
                <w:sz w:val="17"/>
                <w:szCs w:val="17"/>
                <w:color w:val="auto"/>
              </w:rPr>
              <w:t>263,490</w:t>
            </w:r>
          </w:p>
        </w:tc>
        <w:tc>
          <w:tcPr>
            <w:tcW w:w="1140" w:type="dxa"/>
            <w:vAlign w:val="bottom"/>
            <w:gridSpan w:val="2"/>
          </w:tcPr>
          <w:p>
            <w:pPr>
              <w:jc w:val="right"/>
              <w:ind w:right="100"/>
              <w:spacing w:after="0" w:line="176" w:lineRule="exact"/>
              <w:rPr>
                <w:sz w:val="20"/>
                <w:szCs w:val="20"/>
                <w:color w:val="auto"/>
              </w:rPr>
            </w:pPr>
            <w:r>
              <w:rPr>
                <w:rFonts w:ascii="Arial" w:cs="Arial" w:eastAsia="Arial" w:hAnsi="Arial"/>
                <w:sz w:val="17"/>
                <w:szCs w:val="17"/>
                <w:color w:val="auto"/>
              </w:rPr>
              <w:t>90,998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During the Successor year ended December 31, 2015 and the Successor Period ended December 31, 2014, 583,021 and 283,042 Restricted Shares were granted and immediately vested upon issuance (the “Vested Shares”), respectively. The stock-based compensation liability related to 231,229 and 283,042 Vested Shares granted during the Successor year ended December 31, 2015 and the Successor Period ended December 31, 2014, respectively, were settled by exchanging the awards for Medpace Investors’ Incentive Units. The stock-based liability related to the residual 351,851 Vested Shares granted during the Successor year ended December 31, 2015 were settled by exchanging the awards for the Company’s common stock.</w:t>
      </w:r>
    </w:p>
    <w:p>
      <w:pPr>
        <w:spacing w:after="0" w:line="138" w:lineRule="exact"/>
        <w:rPr>
          <w:sz w:val="20"/>
          <w:szCs w:val="20"/>
          <w:color w:val="auto"/>
        </w:rPr>
      </w:pPr>
    </w:p>
    <w:p>
      <w:pPr>
        <w:ind w:right="700"/>
        <w:spacing w:after="0" w:line="235" w:lineRule="auto"/>
        <w:rPr>
          <w:sz w:val="20"/>
          <w:szCs w:val="20"/>
          <w:color w:val="auto"/>
        </w:rPr>
      </w:pPr>
      <w:r>
        <w:rPr>
          <w:rFonts w:ascii="Arial" w:cs="Arial" w:eastAsia="Arial" w:hAnsi="Arial"/>
          <w:sz w:val="17"/>
          <w:szCs w:val="17"/>
          <w:color w:val="auto"/>
        </w:rPr>
        <w:t>The following table summarizes information about stock options expected to vest, stock options exercisable, and unvested restricted share awards expected to vest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57"/>
        </w:trPr>
        <w:tc>
          <w:tcPr>
            <w:tcW w:w="24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AVERAGE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AVERAGE</w:t>
            </w:r>
          </w:p>
        </w:tc>
        <w:tc>
          <w:tcPr>
            <w:tcW w:w="0" w:type="dxa"/>
            <w:vAlign w:val="bottom"/>
          </w:tcPr>
          <w:p>
            <w:pPr>
              <w:spacing w:after="0"/>
              <w:rPr>
                <w:sz w:val="1"/>
                <w:szCs w:val="1"/>
                <w:color w:val="auto"/>
              </w:rPr>
            </w:pPr>
          </w:p>
        </w:tc>
      </w:tr>
      <w:tr>
        <w:trPr>
          <w:trHeight w:val="157"/>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SUCCESSOR YEAR ENDED</w:t>
            </w:r>
          </w:p>
        </w:tc>
        <w:tc>
          <w:tcPr>
            <w:tcW w:w="200" w:type="dxa"/>
            <w:vAlign w:val="bottom"/>
          </w:tcPr>
          <w:p>
            <w:pPr>
              <w:spacing w:after="0"/>
              <w:rPr>
                <w:sz w:val="13"/>
                <w:szCs w:val="13"/>
                <w:color w:val="auto"/>
              </w:rPr>
            </w:pPr>
          </w:p>
        </w:tc>
        <w:tc>
          <w:tcPr>
            <w:tcW w:w="102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3"/>
                <w:szCs w:val="13"/>
                <w:color w:val="auto"/>
              </w:rPr>
            </w:pPr>
          </w:p>
        </w:tc>
        <w:tc>
          <w:tcPr>
            <w:tcW w:w="14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RESTRICTED</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REMAINING</w:t>
            </w:r>
          </w:p>
        </w:tc>
        <w:tc>
          <w:tcPr>
            <w:tcW w:w="0" w:type="dxa"/>
            <w:vAlign w:val="bottom"/>
          </w:tcPr>
          <w:p>
            <w:pPr>
              <w:spacing w:after="0"/>
              <w:rPr>
                <w:sz w:val="1"/>
                <w:szCs w:val="1"/>
                <w:color w:val="auto"/>
              </w:rPr>
            </w:pPr>
          </w:p>
        </w:tc>
      </w:tr>
      <w:tr>
        <w:trPr>
          <w:trHeight w:val="175"/>
        </w:trPr>
        <w:tc>
          <w:tcPr>
            <w:tcW w:w="6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rPr>
              <w:t>PRICE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LIFE (YEARS)</w:t>
            </w:r>
          </w:p>
        </w:tc>
        <w:tc>
          <w:tcPr>
            <w:tcW w:w="0" w:type="dxa"/>
            <w:vAlign w:val="bottom"/>
          </w:tcPr>
          <w:p>
            <w:pPr>
              <w:spacing w:after="0"/>
              <w:rPr>
                <w:sz w:val="1"/>
                <w:szCs w:val="1"/>
                <w:color w:val="auto"/>
              </w:rPr>
            </w:pPr>
          </w:p>
        </w:tc>
      </w:tr>
      <w:tr>
        <w:trPr>
          <w:trHeight w:val="156"/>
        </w:trPr>
        <w:tc>
          <w:tcPr>
            <w:tcW w:w="242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rPr>
              <w:t>December 31, 2015</w:t>
            </w:r>
          </w:p>
        </w:tc>
        <w:tc>
          <w:tcPr>
            <w:tcW w:w="36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80" w:type="dxa"/>
            <w:vAlign w:val="bottom"/>
            <w:gridSpan w:val="2"/>
          </w:tcPr>
          <w:p>
            <w:pPr>
              <w:ind w:left="260"/>
              <w:spacing w:after="0" w:line="184" w:lineRule="exact"/>
              <w:rPr>
                <w:sz w:val="20"/>
                <w:szCs w:val="20"/>
                <w:color w:val="auto"/>
              </w:rPr>
            </w:pPr>
            <w:r>
              <w:rPr>
                <w:rFonts w:ascii="Arial" w:cs="Arial" w:eastAsia="Arial" w:hAnsi="Arial"/>
                <w:sz w:val="17"/>
                <w:szCs w:val="17"/>
                <w:color w:val="auto"/>
              </w:rPr>
              <w:t>Number of stock options expected to vest</w:t>
            </w:r>
          </w:p>
        </w:tc>
        <w:tc>
          <w:tcPr>
            <w:tcW w:w="320" w:type="dxa"/>
            <w:vAlign w:val="bottom"/>
            <w:gridSpan w:val="2"/>
          </w:tcPr>
          <w:p>
            <w:pPr>
              <w:ind w:left="200"/>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15.58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line="184" w:lineRule="exact"/>
              <w:rPr>
                <w:sz w:val="20"/>
                <w:szCs w:val="20"/>
                <w:color w:val="auto"/>
              </w:rPr>
            </w:pPr>
            <w:r>
              <w:rPr>
                <w:rFonts w:ascii="Arial" w:cs="Arial" w:eastAsia="Arial" w:hAnsi="Arial"/>
                <w:sz w:val="17"/>
                <w:szCs w:val="17"/>
                <w:color w:val="auto"/>
                <w:w w:val="95"/>
              </w:rPr>
              <w:t>1,472,818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540"/>
              <w:spacing w:after="0" w:line="18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4" w:lineRule="exact"/>
              <w:rPr>
                <w:sz w:val="20"/>
                <w:szCs w:val="20"/>
                <w:color w:val="auto"/>
              </w:rPr>
            </w:pPr>
            <w:r>
              <w:rPr>
                <w:rFonts w:ascii="Arial" w:cs="Arial" w:eastAsia="Arial" w:hAnsi="Arial"/>
                <w:sz w:val="17"/>
                <w:szCs w:val="17"/>
                <w:color w:val="auto"/>
              </w:rPr>
              <w:t>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gridSpan w:val="2"/>
            <w:shd w:val="clear" w:color="auto" w:fill="CCEEFF"/>
          </w:tcPr>
          <w:p>
            <w:pPr>
              <w:ind w:left="260"/>
              <w:spacing w:after="0" w:line="184" w:lineRule="exact"/>
              <w:rPr>
                <w:sz w:val="20"/>
                <w:szCs w:val="20"/>
                <w:color w:val="auto"/>
              </w:rPr>
            </w:pPr>
            <w:r>
              <w:rPr>
                <w:rFonts w:ascii="Arial" w:cs="Arial" w:eastAsia="Arial" w:hAnsi="Arial"/>
                <w:sz w:val="17"/>
                <w:szCs w:val="17"/>
                <w:color w:val="auto"/>
              </w:rPr>
              <w:t>Number of Restricted Shares expected to vest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line="18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85,847</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Total expected to vest—December 31, 2015</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5"/>
              </w:rPr>
              <w:t>1,472,818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85,847</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Total stock options exercisable—December 31, 2015</w:t>
            </w:r>
          </w:p>
        </w:tc>
        <w:tc>
          <w:tcPr>
            <w:tcW w:w="3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7"/>
                <w:szCs w:val="17"/>
                <w:color w:val="auto"/>
              </w:rPr>
              <w:t>14.40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7"/>
                <w:szCs w:val="17"/>
                <w:color w:val="auto"/>
              </w:rPr>
              <w:t>242,777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Unrecognized compensation cost—December 31, 2015 (in thousands)</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7"/>
                <w:szCs w:val="17"/>
                <w:color w:val="auto"/>
              </w:rPr>
              <w:t>1,254</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line="176" w:lineRule="exact"/>
              <w:rPr>
                <w:sz w:val="20"/>
                <w:szCs w:val="20"/>
                <w:color w:val="auto"/>
              </w:rPr>
            </w:pPr>
            <w:r>
              <w:rPr>
                <w:rFonts w:ascii="Arial" w:cs="Arial" w:eastAsia="Arial" w:hAnsi="Arial"/>
                <w:sz w:val="17"/>
                <w:szCs w:val="17"/>
                <w:color w:val="auto"/>
              </w:rPr>
              <w:t>3,653</w:t>
            </w:r>
          </w:p>
        </w:tc>
        <w:tc>
          <w:tcPr>
            <w:tcW w:w="3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8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color w:val="auto"/>
              </w:rPr>
              <w:t>Weighted average years over which unrecognized compensation cost will be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8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recognized</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3.0</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50"/>
        </w:trPr>
        <w:tc>
          <w:tcPr>
            <w:tcW w:w="2420" w:type="dxa"/>
            <w:vAlign w:val="bottom"/>
          </w:tcPr>
          <w:p>
            <w:pPr>
              <w:spacing w:after="0"/>
              <w:rPr>
                <w:sz w:val="24"/>
                <w:szCs w:val="24"/>
                <w:color w:val="auto"/>
              </w:rPr>
            </w:pPr>
          </w:p>
        </w:tc>
        <w:tc>
          <w:tcPr>
            <w:tcW w:w="3660" w:type="dxa"/>
            <w:vAlign w:val="bottom"/>
          </w:tcPr>
          <w:p>
            <w:pPr>
              <w:ind w:left="3140"/>
              <w:spacing w:after="0"/>
              <w:rPr>
                <w:sz w:val="20"/>
                <w:szCs w:val="20"/>
                <w:color w:val="auto"/>
              </w:rPr>
            </w:pPr>
            <w:r>
              <w:rPr>
                <w:rFonts w:ascii="Arial" w:cs="Arial" w:eastAsia="Arial" w:hAnsi="Arial"/>
                <w:sz w:val="16"/>
                <w:szCs w:val="16"/>
                <w:color w:val="auto"/>
              </w:rPr>
              <w:t>F-31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The following table sets forth the aggregate intrinsic value of stock options exercised, the fair values of awards vested, and share based liabilities settled during the respective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PREDECESSOR</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4660" w:type="dxa"/>
            <w:vAlign w:val="bottom"/>
          </w:tcPr>
          <w:p>
            <w:pPr>
              <w:spacing w:after="0"/>
              <w:rPr>
                <w:sz w:val="12"/>
                <w:szCs w:val="12"/>
                <w:color w:val="auto"/>
              </w:rPr>
            </w:pPr>
          </w:p>
        </w:tc>
        <w:tc>
          <w:tcPr>
            <w:tcW w:w="164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YEAR ENDED</w:t>
            </w:r>
          </w:p>
        </w:tc>
        <w:tc>
          <w:tcPr>
            <w:tcW w:w="10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7"/>
              </w:rPr>
              <w:t>PERIOD ENDED</w:t>
            </w:r>
          </w:p>
        </w:tc>
        <w:tc>
          <w:tcPr>
            <w:tcW w:w="7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PERIOD ENDED</w:t>
            </w:r>
          </w:p>
        </w:tc>
        <w:tc>
          <w:tcPr>
            <w:tcW w:w="32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57"/>
        </w:trPr>
        <w:tc>
          <w:tcPr>
            <w:tcW w:w="4660" w:type="dxa"/>
            <w:vAlign w:val="bottom"/>
          </w:tcPr>
          <w:p>
            <w:pPr>
              <w:spacing w:after="0"/>
              <w:rPr>
                <w:sz w:val="13"/>
                <w:szCs w:val="13"/>
                <w:color w:val="auto"/>
              </w:rPr>
            </w:pPr>
          </w:p>
        </w:tc>
        <w:tc>
          <w:tcPr>
            <w:tcW w:w="16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78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right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76"/>
        </w:trPr>
        <w:tc>
          <w:tcPr>
            <w:tcW w:w="46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Total intrinsic value of stock options exercised</w:t>
            </w:r>
          </w:p>
        </w:tc>
        <w:tc>
          <w:tcPr>
            <w:tcW w:w="2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(36)</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2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25,378</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5"/>
                <w:szCs w:val="15"/>
                <w:color w:val="auto"/>
              </w:rPr>
            </w:pPr>
          </w:p>
        </w:tc>
      </w:tr>
      <w:tr>
        <w:trPr>
          <w:trHeight w:val="183"/>
        </w:trPr>
        <w:tc>
          <w:tcPr>
            <w:tcW w:w="4660" w:type="dxa"/>
            <w:vAlign w:val="bottom"/>
          </w:tcPr>
          <w:p>
            <w:pPr>
              <w:spacing w:after="0" w:line="184" w:lineRule="exact"/>
              <w:rPr>
                <w:sz w:val="20"/>
                <w:szCs w:val="20"/>
                <w:color w:val="auto"/>
              </w:rPr>
            </w:pPr>
            <w:r>
              <w:rPr>
                <w:rFonts w:ascii="Arial" w:cs="Arial" w:eastAsia="Arial" w:hAnsi="Arial"/>
                <w:sz w:val="17"/>
                <w:szCs w:val="17"/>
                <w:color w:val="auto"/>
              </w:rPr>
              <w:t>Total grant-date fair value of stock options vested</w:t>
            </w:r>
          </w:p>
        </w:tc>
        <w:tc>
          <w:tcPr>
            <w:tcW w:w="220" w:type="dxa"/>
            <w:vAlign w:val="bottom"/>
          </w:tcPr>
          <w:p>
            <w:pPr>
              <w:spacing w:after="0" w:line="184"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20"/>
              <w:spacing w:after="0" w:line="184" w:lineRule="exact"/>
              <w:rPr>
                <w:sz w:val="20"/>
                <w:szCs w:val="20"/>
                <w:color w:val="auto"/>
              </w:rPr>
            </w:pPr>
            <w:r>
              <w:rPr>
                <w:rFonts w:ascii="Arial" w:cs="Arial" w:eastAsia="Arial" w:hAnsi="Arial"/>
                <w:sz w:val="17"/>
                <w:szCs w:val="17"/>
                <w:color w:val="auto"/>
              </w:rPr>
              <w:t>1,168</w:t>
            </w:r>
          </w:p>
        </w:tc>
        <w:tc>
          <w:tcPr>
            <w:tcW w:w="260" w:type="dxa"/>
            <w:vAlign w:val="bottom"/>
          </w:tcPr>
          <w:p>
            <w:pPr>
              <w:spacing w:after="0" w:line="18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tcPr>
          <w:p>
            <w:pPr>
              <w:jc w:val="right"/>
              <w:ind w:right="720"/>
              <w:spacing w:after="0" w:line="184"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5"/>
                <w:szCs w:val="15"/>
                <w:color w:val="auto"/>
              </w:rPr>
            </w:pPr>
          </w:p>
        </w:tc>
        <w:tc>
          <w:tcPr>
            <w:tcW w:w="120" w:type="dxa"/>
            <w:vAlign w:val="bottom"/>
          </w:tcPr>
          <w:p>
            <w:pPr>
              <w:spacing w:after="0" w:line="184"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3,446</w:t>
            </w:r>
          </w:p>
        </w:tc>
        <w:tc>
          <w:tcPr>
            <w:tcW w:w="600" w:type="dxa"/>
            <w:vAlign w:val="bottom"/>
            <w:gridSpan w:val="2"/>
          </w:tcPr>
          <w:p>
            <w:pPr>
              <w:ind w:left="320"/>
              <w:spacing w:after="0" w:line="18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1,034</w:t>
            </w:r>
          </w:p>
        </w:tc>
      </w:tr>
      <w:tr>
        <w:trPr>
          <w:trHeight w:val="183"/>
        </w:trPr>
        <w:tc>
          <w:tcPr>
            <w:tcW w:w="46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grant-date fair value of restricted shares vested</w:t>
            </w:r>
          </w:p>
        </w:tc>
        <w:tc>
          <w:tcPr>
            <w:tcW w:w="2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20"/>
              <w:spacing w:after="0" w:line="184" w:lineRule="exact"/>
              <w:rPr>
                <w:sz w:val="20"/>
                <w:szCs w:val="20"/>
                <w:color w:val="auto"/>
              </w:rPr>
            </w:pPr>
            <w:r>
              <w:rPr>
                <w:rFonts w:ascii="Arial" w:cs="Arial" w:eastAsia="Arial" w:hAnsi="Arial"/>
                <w:sz w:val="17"/>
                <w:szCs w:val="17"/>
                <w:color w:val="auto"/>
              </w:rPr>
              <w:t>18,284</w:t>
            </w:r>
          </w:p>
        </w:tc>
        <w:tc>
          <w:tcPr>
            <w:tcW w:w="2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3,057</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00"/>
              <w:spacing w:after="0" w:line="184" w:lineRule="exact"/>
              <w:rPr>
                <w:sz w:val="20"/>
                <w:szCs w:val="20"/>
                <w:color w:val="auto"/>
              </w:rPr>
            </w:pPr>
            <w:r>
              <w:rPr>
                <w:rFonts w:ascii="Arial" w:cs="Arial" w:eastAsia="Arial" w:hAnsi="Arial"/>
                <w:sz w:val="17"/>
                <w:szCs w:val="17"/>
                <w:color w:val="auto"/>
              </w:rPr>
              <w:t>1,466</w:t>
            </w:r>
          </w:p>
        </w:tc>
        <w:tc>
          <w:tcPr>
            <w:tcW w:w="600" w:type="dxa"/>
            <w:vAlign w:val="bottom"/>
            <w:gridSpan w:val="2"/>
            <w:shd w:val="clear" w:color="auto" w:fill="CCEEFF"/>
          </w:tcPr>
          <w:p>
            <w:pPr>
              <w:ind w:left="320"/>
              <w:spacing w:after="0" w:line="18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773</w:t>
            </w:r>
          </w:p>
        </w:tc>
      </w:tr>
      <w:tr>
        <w:trPr>
          <w:trHeight w:val="177"/>
        </w:trPr>
        <w:tc>
          <w:tcPr>
            <w:tcW w:w="4660" w:type="dxa"/>
            <w:vAlign w:val="bottom"/>
          </w:tcPr>
          <w:p>
            <w:pPr>
              <w:spacing w:after="0" w:line="177" w:lineRule="exact"/>
              <w:rPr>
                <w:sz w:val="20"/>
                <w:szCs w:val="20"/>
                <w:color w:val="auto"/>
              </w:rPr>
            </w:pPr>
            <w:r>
              <w:rPr>
                <w:rFonts w:ascii="Arial" w:cs="Arial" w:eastAsia="Arial" w:hAnsi="Arial"/>
                <w:sz w:val="17"/>
                <w:szCs w:val="17"/>
                <w:color w:val="auto"/>
              </w:rPr>
              <w:t>Total settlement date fair value of restricted shares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660" w:type="dxa"/>
            <w:vAlign w:val="bottom"/>
          </w:tcPr>
          <w:p>
            <w:pPr>
              <w:ind w:left="240"/>
              <w:spacing w:after="0" w:line="189" w:lineRule="exact"/>
              <w:rPr>
                <w:sz w:val="20"/>
                <w:szCs w:val="20"/>
                <w:color w:val="auto"/>
              </w:rPr>
            </w:pPr>
            <w:r>
              <w:rPr>
                <w:rFonts w:ascii="Arial" w:cs="Arial" w:eastAsia="Arial" w:hAnsi="Arial"/>
                <w:sz w:val="17"/>
                <w:szCs w:val="17"/>
                <w:color w:val="auto"/>
              </w:rPr>
              <w:t>vested</w:t>
            </w:r>
          </w:p>
        </w:tc>
        <w:tc>
          <w:tcPr>
            <w:tcW w:w="2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21,134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tcPr>
          <w:p>
            <w:pPr>
              <w:jc w:val="right"/>
              <w:ind w:right="720"/>
              <w:spacing w:after="0" w:line="189" w:lineRule="exact"/>
              <w:rPr>
                <w:sz w:val="20"/>
                <w:szCs w:val="20"/>
                <w:color w:val="auto"/>
              </w:rPr>
            </w:pPr>
            <w:r>
              <w:rPr>
                <w:rFonts w:ascii="Arial" w:cs="Arial" w:eastAsia="Arial" w:hAnsi="Arial"/>
                <w:sz w:val="17"/>
                <w:szCs w:val="17"/>
                <w:color w:val="auto"/>
              </w:rPr>
              <w:t>3,057</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680"/>
              <w:spacing w:after="0" w:line="189" w:lineRule="exact"/>
              <w:rPr>
                <w:sz w:val="20"/>
                <w:szCs w:val="20"/>
                <w:color w:val="auto"/>
              </w:rPr>
            </w:pPr>
            <w:r>
              <w:rPr>
                <w:rFonts w:ascii="Arial" w:cs="Arial" w:eastAsia="Arial" w:hAnsi="Arial"/>
                <w:sz w:val="17"/>
                <w:szCs w:val="17"/>
                <w:color w:val="auto"/>
              </w:rPr>
              <w:t>N/A</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ind w:left="480"/>
              <w:spacing w:after="0" w:line="189" w:lineRule="exact"/>
              <w:rPr>
                <w:sz w:val="20"/>
                <w:szCs w:val="20"/>
                <w:color w:val="auto"/>
              </w:rPr>
            </w:pPr>
            <w:r>
              <w:rPr>
                <w:rFonts w:ascii="Arial" w:cs="Arial" w:eastAsia="Arial" w:hAnsi="Arial"/>
                <w:sz w:val="17"/>
                <w:szCs w:val="17"/>
                <w:color w:val="auto"/>
              </w:rPr>
              <w:t>N/A</w:t>
            </w:r>
          </w:p>
        </w:tc>
      </w:tr>
      <w:tr>
        <w:trPr>
          <w:trHeight w:val="183"/>
        </w:trPr>
        <w:tc>
          <w:tcPr>
            <w:tcW w:w="46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share-based liabilities settled</w:t>
            </w:r>
          </w:p>
        </w:tc>
        <w:tc>
          <w:tcPr>
            <w:tcW w:w="2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20"/>
              <w:spacing w:after="0" w:line="184" w:lineRule="exact"/>
              <w:rPr>
                <w:sz w:val="20"/>
                <w:szCs w:val="20"/>
                <w:color w:val="auto"/>
              </w:rPr>
            </w:pPr>
            <w:r>
              <w:rPr>
                <w:rFonts w:ascii="Arial" w:cs="Arial" w:eastAsia="Arial" w:hAnsi="Arial"/>
                <w:sz w:val="17"/>
                <w:szCs w:val="17"/>
                <w:color w:val="auto"/>
              </w:rPr>
              <w:t>16,858</w:t>
            </w:r>
          </w:p>
        </w:tc>
        <w:tc>
          <w:tcPr>
            <w:tcW w:w="2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20"/>
              <w:spacing w:after="0" w:line="184" w:lineRule="exact"/>
              <w:rPr>
                <w:sz w:val="20"/>
                <w:szCs w:val="20"/>
                <w:color w:val="auto"/>
              </w:rPr>
            </w:pPr>
            <w:r>
              <w:rPr>
                <w:rFonts w:ascii="Arial" w:cs="Arial" w:eastAsia="Arial" w:hAnsi="Arial"/>
                <w:sz w:val="17"/>
                <w:szCs w:val="17"/>
                <w:color w:val="auto"/>
              </w:rPr>
              <w:t>3,057</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680"/>
              <w:spacing w:after="0" w:line="184" w:lineRule="exact"/>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80"/>
              <w:spacing w:after="0" w:line="184" w:lineRule="exact"/>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stock-based compensation liability of $3.6 million at December 31, 2015 is related to outstanding stock options. The stock-based compensation liability of $2.4 million at December 31, 2014 is related to outstanding stock options and unvested Restricted Awards. Further, $1.7 million and $1.3 million is included in Other current liabilities and $1.9 million and $1.1 million is included in Other long-term liabilities in the consolidated balance sheets at December 31, 2015 and 2014, respectively.</w:t>
      </w:r>
    </w:p>
    <w:p>
      <w:pPr>
        <w:spacing w:after="0" w:line="141" w:lineRule="exact"/>
        <w:rPr>
          <w:sz w:val="20"/>
          <w:szCs w:val="20"/>
          <w:color w:val="auto"/>
        </w:rPr>
      </w:pPr>
    </w:p>
    <w:p>
      <w:pPr>
        <w:jc w:val="both"/>
        <w:ind w:right="260"/>
        <w:spacing w:after="0" w:line="231" w:lineRule="auto"/>
        <w:rPr>
          <w:sz w:val="20"/>
          <w:szCs w:val="20"/>
          <w:color w:val="auto"/>
        </w:rPr>
      </w:pPr>
      <w:r>
        <w:rPr>
          <w:rFonts w:ascii="Arial" w:cs="Arial" w:eastAsia="Arial" w:hAnsi="Arial"/>
          <w:sz w:val="17"/>
          <w:szCs w:val="17"/>
          <w:color w:val="auto"/>
        </w:rPr>
        <w:t>The actual tax benefits recognized related to stock-based compensation totaled $4.6 million, $3.3 million, $8.2 million, and $0.1 million for the Successor year ended December 31, 2015, the Successor Period ended December 31, 2014, the Predecessor Period ended March 31, 2014, and the Predecessor year ended December 31,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provides a 401(k) plan that covers substantially all U.S. employees. Participants can elect to contribute up to 50% of their eligible earnings on a pre-tax basis, subject to Internal Revenue Service annual limitations.</w:t>
      </w:r>
    </w:p>
    <w:p>
      <w:pPr>
        <w:spacing w:after="0" w:line="141"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U.S.-based plan offers a year-end employer matching contribution, requiring the participant to be an employee at year-end to qualify for the match. Participants with one year or more of service are eligible for the matching contribution. Participants fully vest in the employer contributions after three years of service. The employer contribution represents a percentage of a participant’s eligible compensation. The Company’s 401(k) Plan costs were $1.7 million, $1.1 million, $0.3 million, and $1.2 million during the Successor year ended December 31, 2015, the Successor Period ended December 31, 2014, the Predecessor Period ended March 31, 2014, and the Predecessor year ended December 31, 2013 respectively, and were allocated between Direct costs, excluding depreciation and amortization, and Selling, general and administrative in the consolidated statements of operations.</w:t>
      </w:r>
    </w:p>
    <w:p>
      <w:pPr>
        <w:spacing w:after="0" w:line="143"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The Company has various defined contribution arrangements for eligible employees of non-U.S. entities. These defined contribution arrangements provide employees with retirement savings and life insurance benefits. The Company incurred expenses related to these arrangements of $0.7 million, $0.5 million, $0.2 million, and $0.5 million in the Successor year ended December 31, 2015, the Successor Period ended December 31, 2014, the Predecessor Period ended March 31, 2014, and the Predecessor year ended December 31, 2013, respectively, and were allocated between Direct costs, excluding depreciation and amortization, and Selling, general and administrative in the consolidated statements of operations.</w:t>
      </w:r>
    </w:p>
    <w:p>
      <w:pPr>
        <w:spacing w:after="0" w:line="1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is also required to pay certain minimum statutory post-employment benefits. The Company recognizes a liability and the associated expense for these benefits when it is probable that employees are entitled to the benefit.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449" w:right="23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96" w:lineRule="exact"/>
        <w:rPr>
          <w:sz w:val="20"/>
          <w:szCs w:val="20"/>
          <w:color w:val="auto"/>
        </w:rPr>
      </w:pPr>
    </w:p>
    <w:p>
      <w:pPr>
        <w:jc w:val="both"/>
        <w:ind w:right="180"/>
        <w:spacing w:after="0" w:line="231" w:lineRule="auto"/>
        <w:rPr>
          <w:sz w:val="20"/>
          <w:szCs w:val="20"/>
          <w:color w:val="auto"/>
        </w:rPr>
      </w:pPr>
      <w:r>
        <w:rPr>
          <w:rFonts w:ascii="Arial" w:cs="Arial" w:eastAsia="Arial" w:hAnsi="Arial"/>
          <w:sz w:val="17"/>
          <w:szCs w:val="17"/>
          <w:color w:val="auto"/>
        </w:rPr>
        <w:t>The Company files income tax returns for U.S. federal and various U.S. states, as well as various foreign jurisdictions. The liabilities for unrecognized tax benefits are carried in Other long-term liabilities on the consolidated balance sheets because the payment of cash is not anticipated within one year of the balance sheet date.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income before income taxes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2"/>
                <w:szCs w:val="12"/>
                <w:color w:val="auto"/>
              </w:rPr>
            </w:pPr>
          </w:p>
        </w:tc>
        <w:tc>
          <w:tcPr>
            <w:tcW w:w="108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6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5"/>
          </w:tcPr>
          <w:p>
            <w:pPr>
              <w:spacing w:after="0" w:line="139" w:lineRule="exact"/>
              <w:rPr>
                <w:sz w:val="20"/>
                <w:szCs w:val="20"/>
                <w:color w:val="auto"/>
              </w:rPr>
            </w:pPr>
            <w:r>
              <w:rPr>
                <w:rFonts w:ascii="Arial" w:cs="Arial" w:eastAsia="Arial" w:hAnsi="Arial"/>
                <w:sz w:val="14"/>
                <w:szCs w:val="14"/>
                <w:b w:val="1"/>
                <w:bCs w:val="1"/>
                <w:color w:val="auto"/>
              </w:rPr>
              <w:t>PERIOD 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right"/>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72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Domestic</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(12,294)</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(23,893)</w:t>
            </w:r>
          </w:p>
        </w:tc>
        <w:tc>
          <w:tcPr>
            <w:tcW w:w="6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7"/>
                <w:szCs w:val="17"/>
                <w:color w:val="auto"/>
              </w:rPr>
              <w:t>(1,069)</w:t>
            </w: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6"/>
              </w:rPr>
              <w:t>37,046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line="184" w:lineRule="exact"/>
              <w:rPr>
                <w:sz w:val="20"/>
                <w:szCs w:val="20"/>
                <w:color w:val="auto"/>
              </w:rPr>
            </w:pPr>
            <w:r>
              <w:rPr>
                <w:rFonts w:ascii="Arial" w:cs="Arial" w:eastAsia="Arial" w:hAnsi="Arial"/>
                <w:sz w:val="17"/>
                <w:szCs w:val="17"/>
                <w:color w:val="auto"/>
              </w:rPr>
              <w:t>Foreign jurisdictions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4,464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Borders>
              <w:right w:val="single" w:sz="8" w:color="auto"/>
            </w:tcBorders>
            <w:gridSpan w:val="2"/>
          </w:tcPr>
          <w:p>
            <w:pPr>
              <w:jc w:val="right"/>
              <w:ind w:right="640"/>
              <w:spacing w:after="0" w:line="184" w:lineRule="exact"/>
              <w:rPr>
                <w:sz w:val="20"/>
                <w:szCs w:val="20"/>
                <w:color w:val="auto"/>
              </w:rPr>
            </w:pPr>
            <w:r>
              <w:rPr>
                <w:rFonts w:ascii="Arial" w:cs="Arial" w:eastAsia="Arial" w:hAnsi="Arial"/>
                <w:sz w:val="17"/>
                <w:szCs w:val="17"/>
                <w:color w:val="auto"/>
              </w:rPr>
              <w:t>2,854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4"/>
          </w:tcPr>
          <w:p>
            <w:pPr>
              <w:jc w:val="right"/>
              <w:ind w:right="40"/>
              <w:spacing w:after="0" w:line="184" w:lineRule="exact"/>
              <w:rPr>
                <w:sz w:val="20"/>
                <w:szCs w:val="20"/>
                <w:color w:val="auto"/>
              </w:rPr>
            </w:pPr>
            <w:r>
              <w:rPr>
                <w:rFonts w:ascii="Arial" w:cs="Arial" w:eastAsia="Arial" w:hAnsi="Arial"/>
                <w:sz w:val="17"/>
                <w:szCs w:val="17"/>
                <w:color w:val="auto"/>
              </w:rPr>
              <w:t>847</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2,099</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(Loss) income before income taxes</w:t>
            </w:r>
          </w:p>
        </w:tc>
        <w:tc>
          <w:tcPr>
            <w:tcW w:w="1100" w:type="dxa"/>
            <w:vAlign w:val="bottom"/>
            <w:gridSpan w:val="2"/>
            <w:shd w:val="clear" w:color="auto" w:fill="CCEEFF"/>
          </w:tcPr>
          <w:p>
            <w:pPr>
              <w:ind w:left="780"/>
              <w:spacing w:after="0" w:line="18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(7,830)</w:t>
            </w:r>
          </w:p>
        </w:tc>
        <w:tc>
          <w:tcPr>
            <w:tcW w:w="520" w:type="dxa"/>
            <w:vAlign w:val="bottom"/>
            <w:gridSpan w:val="2"/>
            <w:shd w:val="clear" w:color="auto" w:fill="CCEEFF"/>
          </w:tcPr>
          <w:p>
            <w:pPr>
              <w:ind w:left="240"/>
              <w:spacing w:after="0" w:line="184" w:lineRule="exact"/>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gridSpan w:val="2"/>
            <w:shd w:val="clear" w:color="auto" w:fill="CCEEFF"/>
          </w:tcPr>
          <w:p>
            <w:pPr>
              <w:jc w:val="right"/>
              <w:ind w:right="600"/>
              <w:spacing w:after="0" w:line="184" w:lineRule="exact"/>
              <w:rPr>
                <w:sz w:val="20"/>
                <w:szCs w:val="20"/>
                <w:color w:val="auto"/>
              </w:rPr>
            </w:pPr>
            <w:r>
              <w:rPr>
                <w:rFonts w:ascii="Arial" w:cs="Arial" w:eastAsia="Arial" w:hAnsi="Arial"/>
                <w:sz w:val="17"/>
                <w:szCs w:val="17"/>
                <w:color w:val="auto"/>
              </w:rPr>
              <w:t>(21,039)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180"/>
              <w:spacing w:after="0" w:line="184" w:lineRule="exact"/>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spacing w:after="0" w:line="184" w:lineRule="exact"/>
              <w:rPr>
                <w:sz w:val="20"/>
                <w:szCs w:val="20"/>
                <w:color w:val="auto"/>
              </w:rPr>
            </w:pPr>
            <w:r>
              <w:rPr>
                <w:rFonts w:ascii="Arial" w:cs="Arial" w:eastAsia="Arial" w:hAnsi="Arial"/>
                <w:sz w:val="17"/>
                <w:szCs w:val="17"/>
                <w:color w:val="auto"/>
              </w:rPr>
              <w:t>(222)</w:t>
            </w:r>
          </w:p>
        </w:tc>
        <w:tc>
          <w:tcPr>
            <w:tcW w:w="800" w:type="dxa"/>
            <w:vAlign w:val="bottom"/>
            <w:gridSpan w:val="3"/>
            <w:shd w:val="clear" w:color="auto" w:fill="CCEEFF"/>
          </w:tcPr>
          <w:p>
            <w:pPr>
              <w:ind w:left="500"/>
              <w:spacing w:after="0" w:line="18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6"/>
              </w:rPr>
              <w:t>39,145</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tcBorders>
              <w:bottom w:val="single" w:sz="8" w:color="auto"/>
            </w:tcBorders>
            <w:gridSpan w:val="3"/>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240" w:type="dxa"/>
            <w:vAlign w:val="bottom"/>
            <w:gridSpan w:val="3"/>
          </w:tcPr>
          <w:p>
            <w:pPr>
              <w:spacing w:after="0"/>
              <w:rPr>
                <w:sz w:val="20"/>
                <w:szCs w:val="20"/>
                <w:color w:val="auto"/>
              </w:rPr>
            </w:pPr>
            <w:r>
              <w:rPr>
                <w:rFonts w:ascii="Arial" w:cs="Arial" w:eastAsia="Arial" w:hAnsi="Arial"/>
                <w:sz w:val="17"/>
                <w:szCs w:val="17"/>
                <w:color w:val="auto"/>
                <w:w w:val="97"/>
              </w:rPr>
              <w:t>Income tax provision (benefit) consisted of the following (in thousands):</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4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CURRENT</w:t>
            </w:r>
          </w:p>
        </w:tc>
        <w:tc>
          <w:tcPr>
            <w:tcW w:w="440" w:type="dxa"/>
            <w:vAlign w:val="bottom"/>
          </w:tcPr>
          <w:p>
            <w:pPr>
              <w:spacing w:after="0"/>
              <w:rPr>
                <w:sz w:val="24"/>
                <w:szCs w:val="24"/>
                <w:color w:val="auto"/>
              </w:rPr>
            </w:pPr>
          </w:p>
        </w:tc>
        <w:tc>
          <w:tcPr>
            <w:tcW w:w="1100" w:type="dxa"/>
            <w:vAlign w:val="bottom"/>
            <w:gridSpan w:val="6"/>
          </w:tcPr>
          <w:p>
            <w:pPr>
              <w:jc w:val="right"/>
              <w:ind w:right="246"/>
              <w:spacing w:after="0"/>
              <w:rPr>
                <w:sz w:val="20"/>
                <w:szCs w:val="20"/>
                <w:color w:val="auto"/>
              </w:rPr>
            </w:pPr>
            <w:r>
              <w:rPr>
                <w:rFonts w:ascii="Arial" w:cs="Arial" w:eastAsia="Arial" w:hAnsi="Arial"/>
                <w:sz w:val="14"/>
                <w:szCs w:val="14"/>
                <w:b w:val="1"/>
                <w:bCs w:val="1"/>
                <w:color w:val="auto"/>
                <w:w w:val="98"/>
              </w:rPr>
              <w:t>DEFERRED</w:t>
            </w:r>
          </w:p>
        </w:tc>
        <w:tc>
          <w:tcPr>
            <w:tcW w:w="12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414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Successor Year ended December 31, 2015:</w:t>
            </w:r>
          </w:p>
        </w:tc>
        <w:tc>
          <w:tcPr>
            <w:tcW w:w="7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260"/>
              <w:spacing w:after="0" w:line="184" w:lineRule="exact"/>
              <w:rPr>
                <w:sz w:val="20"/>
                <w:szCs w:val="20"/>
                <w:color w:val="auto"/>
              </w:rPr>
            </w:pPr>
            <w:r>
              <w:rPr>
                <w:rFonts w:ascii="Arial" w:cs="Arial" w:eastAsia="Arial" w:hAnsi="Arial"/>
                <w:sz w:val="17"/>
                <w:szCs w:val="17"/>
                <w:color w:val="auto"/>
              </w:rPr>
              <w:t>U.S. Federal</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4"/>
          </w:tcPr>
          <w:p>
            <w:pPr>
              <w:ind w:left="1560"/>
              <w:spacing w:after="0" w:line="184"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11,067</w:t>
            </w:r>
          </w:p>
        </w:tc>
        <w:tc>
          <w:tcPr>
            <w:tcW w:w="60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940" w:type="dxa"/>
            <w:vAlign w:val="bottom"/>
            <w:gridSpan w:val="5"/>
          </w:tcPr>
          <w:p>
            <w:pPr>
              <w:jc w:val="right"/>
              <w:ind w:right="186"/>
              <w:spacing w:after="0" w:line="184" w:lineRule="exact"/>
              <w:rPr>
                <w:sz w:val="20"/>
                <w:szCs w:val="20"/>
                <w:color w:val="auto"/>
              </w:rPr>
            </w:pPr>
            <w:r>
              <w:rPr>
                <w:rFonts w:ascii="Arial" w:cs="Arial" w:eastAsia="Arial" w:hAnsi="Arial"/>
                <w:sz w:val="17"/>
                <w:szCs w:val="17"/>
                <w:color w:val="auto"/>
              </w:rPr>
              <w:t>(11,995)</w:t>
            </w:r>
          </w:p>
        </w:tc>
        <w:tc>
          <w:tcPr>
            <w:tcW w:w="2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U.S. state and local</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1,119</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6"/>
              <w:spacing w:after="0" w:line="184" w:lineRule="exact"/>
              <w:rPr>
                <w:sz w:val="20"/>
                <w:szCs w:val="20"/>
                <w:color w:val="auto"/>
              </w:rPr>
            </w:pPr>
            <w:r>
              <w:rPr>
                <w:rFonts w:ascii="Arial" w:cs="Arial" w:eastAsia="Arial" w:hAnsi="Arial"/>
                <w:sz w:val="17"/>
                <w:szCs w:val="17"/>
                <w:color w:val="auto"/>
              </w:rPr>
              <w:t>(761)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90"/>
        </w:trPr>
        <w:tc>
          <w:tcPr>
            <w:tcW w:w="4140" w:type="dxa"/>
            <w:vAlign w:val="bottom"/>
          </w:tcPr>
          <w:p>
            <w:pPr>
              <w:ind w:left="260"/>
              <w:spacing w:after="0" w:line="184" w:lineRule="exact"/>
              <w:rPr>
                <w:sz w:val="20"/>
                <w:szCs w:val="20"/>
                <w:color w:val="auto"/>
              </w:rPr>
            </w:pPr>
            <w:r>
              <w:rPr>
                <w:rFonts w:ascii="Arial" w:cs="Arial" w:eastAsia="Arial" w:hAnsi="Arial"/>
                <w:sz w:val="17"/>
                <w:szCs w:val="17"/>
                <w:color w:val="auto"/>
              </w:rPr>
              <w:t>Foreign jurisdictions</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7"/>
                <w:szCs w:val="17"/>
                <w:color w:val="auto"/>
              </w:rPr>
              <w:t>1,372</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1,413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gridSpan w:val="4"/>
            <w:shd w:val="clear" w:color="auto" w:fill="CCEEFF"/>
          </w:tcPr>
          <w:p>
            <w:pPr>
              <w:ind w:left="1560"/>
              <w:spacing w:after="0" w:line="184"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13,558</w:t>
            </w:r>
          </w:p>
        </w:tc>
        <w:tc>
          <w:tcPr>
            <w:tcW w:w="60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940" w:type="dxa"/>
            <w:vAlign w:val="bottom"/>
            <w:gridSpan w:val="5"/>
            <w:shd w:val="clear" w:color="auto" w:fill="CCEEFF"/>
          </w:tcPr>
          <w:p>
            <w:pPr>
              <w:jc w:val="right"/>
              <w:ind w:right="186"/>
              <w:spacing w:after="0" w:line="184" w:lineRule="exact"/>
              <w:rPr>
                <w:sz w:val="20"/>
                <w:szCs w:val="20"/>
                <w:color w:val="auto"/>
              </w:rPr>
            </w:pPr>
            <w:r>
              <w:rPr>
                <w:rFonts w:ascii="Arial" w:cs="Arial" w:eastAsia="Arial" w:hAnsi="Arial"/>
                <w:sz w:val="17"/>
                <w:szCs w:val="17"/>
                <w:color w:val="auto"/>
              </w:rPr>
              <w:t>(12,715)</w:t>
            </w:r>
          </w:p>
        </w:tc>
        <w:tc>
          <w:tcPr>
            <w:tcW w:w="2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7"/>
                <w:szCs w:val="17"/>
                <w:color w:val="auto"/>
              </w:rPr>
              <w:t>Successor Period ended December 31, 2014:</w:t>
            </w: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U.S. Federal</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gridSpan w:val="4"/>
            <w:shd w:val="clear" w:color="auto" w:fill="CCEEFF"/>
          </w:tcPr>
          <w:p>
            <w:pPr>
              <w:ind w:left="1560"/>
              <w:spacing w:after="0" w:line="184"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1,817</w:t>
            </w:r>
          </w:p>
        </w:tc>
        <w:tc>
          <w:tcPr>
            <w:tcW w:w="60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6"/>
              <w:spacing w:after="0" w:line="184" w:lineRule="exact"/>
              <w:rPr>
                <w:sz w:val="20"/>
                <w:szCs w:val="20"/>
                <w:color w:val="auto"/>
              </w:rPr>
            </w:pPr>
            <w:r>
              <w:rPr>
                <w:rFonts w:ascii="Arial" w:cs="Arial" w:eastAsia="Arial" w:hAnsi="Arial"/>
                <w:sz w:val="17"/>
                <w:szCs w:val="17"/>
                <w:color w:val="auto"/>
                <w:w w:val="96"/>
              </w:rPr>
              <w:t>(8,941)</w:t>
            </w:r>
          </w:p>
        </w:tc>
        <w:tc>
          <w:tcPr>
            <w:tcW w:w="2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(7,124)</w:t>
            </w:r>
          </w:p>
        </w:tc>
        <w:tc>
          <w:tcPr>
            <w:tcW w:w="0" w:type="dxa"/>
            <w:vAlign w:val="bottom"/>
          </w:tcPr>
          <w:p>
            <w:pPr>
              <w:spacing w:after="0"/>
              <w:rPr>
                <w:sz w:val="1"/>
                <w:szCs w:val="1"/>
                <w:color w:val="auto"/>
              </w:rPr>
            </w:pPr>
          </w:p>
        </w:tc>
      </w:tr>
      <w:tr>
        <w:trPr>
          <w:trHeight w:val="183"/>
        </w:trPr>
        <w:tc>
          <w:tcPr>
            <w:tcW w:w="4140" w:type="dxa"/>
            <w:vAlign w:val="bottom"/>
          </w:tcPr>
          <w:p>
            <w:pPr>
              <w:ind w:left="260"/>
              <w:spacing w:after="0" w:line="184" w:lineRule="exact"/>
              <w:rPr>
                <w:sz w:val="20"/>
                <w:szCs w:val="20"/>
                <w:color w:val="auto"/>
              </w:rPr>
            </w:pPr>
            <w:r>
              <w:rPr>
                <w:rFonts w:ascii="Arial" w:cs="Arial" w:eastAsia="Arial" w:hAnsi="Arial"/>
                <w:sz w:val="17"/>
                <w:szCs w:val="17"/>
                <w:color w:val="auto"/>
              </w:rPr>
              <w:t>U.S. state and local</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245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right"/>
              <w:ind w:right="186"/>
              <w:spacing w:after="0" w:line="184" w:lineRule="exact"/>
              <w:rPr>
                <w:sz w:val="20"/>
                <w:szCs w:val="20"/>
                <w:color w:val="auto"/>
              </w:rPr>
            </w:pPr>
            <w:r>
              <w:rPr>
                <w:rFonts w:ascii="Arial" w:cs="Arial" w:eastAsia="Arial" w:hAnsi="Arial"/>
                <w:sz w:val="17"/>
                <w:szCs w:val="17"/>
                <w:color w:val="auto"/>
              </w:rPr>
              <w:t>(606)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jurisdictions</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853</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6"/>
              <w:spacing w:after="0" w:line="184" w:lineRule="exact"/>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spacing w:after="0"/>
              <w:rPr>
                <w:sz w:val="16"/>
                <w:szCs w:val="16"/>
                <w:color w:val="auto"/>
              </w:rPr>
            </w:pP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2,915</w:t>
            </w:r>
          </w:p>
        </w:tc>
        <w:tc>
          <w:tcPr>
            <w:tcW w:w="44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jc w:val="right"/>
              <w:ind w:right="186"/>
              <w:spacing w:after="0" w:line="189" w:lineRule="exact"/>
              <w:rPr>
                <w:sz w:val="20"/>
                <w:szCs w:val="20"/>
                <w:color w:val="auto"/>
              </w:rPr>
            </w:pPr>
            <w:r>
              <w:rPr>
                <w:rFonts w:ascii="Arial" w:cs="Arial" w:eastAsia="Arial" w:hAnsi="Arial"/>
                <w:sz w:val="17"/>
                <w:szCs w:val="17"/>
                <w:color w:val="auto"/>
                <w:w w:val="96"/>
              </w:rPr>
              <w:t>(9,618)</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(6,703)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Predecessor Period ended March 31, 2014:</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260"/>
              <w:spacing w:after="0" w:line="184" w:lineRule="exact"/>
              <w:rPr>
                <w:sz w:val="20"/>
                <w:szCs w:val="20"/>
                <w:color w:val="auto"/>
              </w:rPr>
            </w:pPr>
            <w:r>
              <w:rPr>
                <w:rFonts w:ascii="Arial" w:cs="Arial" w:eastAsia="Arial" w:hAnsi="Arial"/>
                <w:sz w:val="17"/>
                <w:szCs w:val="17"/>
                <w:color w:val="auto"/>
              </w:rPr>
              <w:t>U.S. Federal</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4"/>
          </w:tcPr>
          <w:p>
            <w:pPr>
              <w:ind w:left="1560"/>
              <w:spacing w:after="0" w:line="184"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342</w:t>
            </w:r>
          </w:p>
        </w:tc>
        <w:tc>
          <w:tcPr>
            <w:tcW w:w="60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659</w:t>
            </w:r>
          </w:p>
        </w:tc>
        <w:tc>
          <w:tcPr>
            <w:tcW w:w="300" w:type="dxa"/>
            <w:vAlign w:val="bottom"/>
          </w:tcPr>
          <w:p>
            <w:pPr>
              <w:spacing w:after="0"/>
              <w:rPr>
                <w:sz w:val="15"/>
                <w:szCs w:val="15"/>
                <w:color w:val="auto"/>
              </w:rPr>
            </w:pPr>
          </w:p>
        </w:tc>
        <w:tc>
          <w:tcPr>
            <w:tcW w:w="2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1,001</w:t>
            </w: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U.S. state and local</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52</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6"/>
              <w:spacing w:after="0" w:line="184" w:lineRule="exact"/>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0"/>
        </w:trPr>
        <w:tc>
          <w:tcPr>
            <w:tcW w:w="4140" w:type="dxa"/>
            <w:vAlign w:val="bottom"/>
          </w:tcPr>
          <w:p>
            <w:pPr>
              <w:ind w:left="260"/>
              <w:spacing w:after="0" w:line="184" w:lineRule="exact"/>
              <w:rPr>
                <w:sz w:val="20"/>
                <w:szCs w:val="20"/>
                <w:color w:val="auto"/>
              </w:rPr>
            </w:pPr>
            <w:r>
              <w:rPr>
                <w:rFonts w:ascii="Arial" w:cs="Arial" w:eastAsia="Arial" w:hAnsi="Arial"/>
                <w:sz w:val="17"/>
                <w:szCs w:val="17"/>
                <w:color w:val="auto"/>
              </w:rPr>
              <w:t>Foreign jurisdictions</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320</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jc w:val="right"/>
              <w:ind w:right="186"/>
              <w:spacing w:after="0" w:line="184" w:lineRule="exact"/>
              <w:rPr>
                <w:sz w:val="20"/>
                <w:szCs w:val="20"/>
                <w:color w:val="auto"/>
              </w:rPr>
            </w:pPr>
            <w:r>
              <w:rPr>
                <w:rFonts w:ascii="Arial" w:cs="Arial" w:eastAsia="Arial" w:hAnsi="Arial"/>
                <w:sz w:val="17"/>
                <w:szCs w:val="17"/>
                <w:color w:val="auto"/>
              </w:rPr>
              <w:t>(321)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714</w:t>
            </w:r>
          </w:p>
        </w:tc>
        <w:tc>
          <w:tcPr>
            <w:tcW w:w="440" w:type="dxa"/>
            <w:vAlign w:val="bottom"/>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300</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1,014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7"/>
                <w:szCs w:val="17"/>
                <w:color w:val="auto"/>
              </w:rPr>
              <w:t>Predecessor Year ended December 31, 2013:</w:t>
            </w: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U.S. Federal</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gridSpan w:val="4"/>
            <w:shd w:val="clear" w:color="auto" w:fill="CCEEFF"/>
          </w:tcPr>
          <w:p>
            <w:pPr>
              <w:ind w:left="1560"/>
              <w:spacing w:after="0" w:line="184"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6,165</w:t>
            </w:r>
          </w:p>
        </w:tc>
        <w:tc>
          <w:tcPr>
            <w:tcW w:w="60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6,352</w:t>
            </w:r>
          </w:p>
        </w:tc>
        <w:tc>
          <w:tcPr>
            <w:tcW w:w="3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6"/>
              </w:rPr>
              <w:t>12,517</w:t>
            </w:r>
          </w:p>
        </w:tc>
        <w:tc>
          <w:tcPr>
            <w:tcW w:w="0" w:type="dxa"/>
            <w:vAlign w:val="bottom"/>
          </w:tcPr>
          <w:p>
            <w:pPr>
              <w:spacing w:after="0"/>
              <w:rPr>
                <w:sz w:val="1"/>
                <w:szCs w:val="1"/>
                <w:color w:val="auto"/>
              </w:rPr>
            </w:pPr>
          </w:p>
        </w:tc>
      </w:tr>
      <w:tr>
        <w:trPr>
          <w:trHeight w:val="183"/>
        </w:trPr>
        <w:tc>
          <w:tcPr>
            <w:tcW w:w="4140" w:type="dxa"/>
            <w:vAlign w:val="bottom"/>
          </w:tcPr>
          <w:p>
            <w:pPr>
              <w:ind w:left="260"/>
              <w:spacing w:after="0" w:line="184" w:lineRule="exact"/>
              <w:rPr>
                <w:sz w:val="20"/>
                <w:szCs w:val="20"/>
                <w:color w:val="auto"/>
              </w:rPr>
            </w:pPr>
            <w:r>
              <w:rPr>
                <w:rFonts w:ascii="Arial" w:cs="Arial" w:eastAsia="Arial" w:hAnsi="Arial"/>
                <w:sz w:val="17"/>
                <w:szCs w:val="17"/>
                <w:color w:val="auto"/>
              </w:rPr>
              <w:t>U.S. state and local</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1,011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784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1,795</w:t>
            </w: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jurisdictions</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860</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6"/>
              <w:spacing w:after="0" w:line="184" w:lineRule="exact"/>
              <w:rPr>
                <w:sz w:val="20"/>
                <w:szCs w:val="20"/>
                <w:color w:val="auto"/>
              </w:rPr>
            </w:pPr>
            <w:r>
              <w:rPr>
                <w:rFonts w:ascii="Arial" w:cs="Arial" w:eastAsia="Arial" w:hAnsi="Arial"/>
                <w:sz w:val="17"/>
                <w:szCs w:val="17"/>
                <w:color w:val="auto"/>
              </w:rPr>
              <w:t>(871)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spacing w:after="0"/>
              <w:rPr>
                <w:sz w:val="16"/>
                <w:szCs w:val="16"/>
                <w:color w:val="auto"/>
              </w:rPr>
            </w:pPr>
          </w:p>
        </w:tc>
        <w:tc>
          <w:tcPr>
            <w:tcW w:w="1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8,036</w:t>
            </w:r>
          </w:p>
        </w:tc>
        <w:tc>
          <w:tcPr>
            <w:tcW w:w="4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6,265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5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14,301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4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F-33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the statutory rate for federal income tax and the effective income tax rate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bottom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PREDECESSOR</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320"/>
              <w:spacing w:after="0" w:line="139" w:lineRule="exact"/>
              <w:rPr>
                <w:sz w:val="20"/>
                <w:szCs w:val="20"/>
                <w:color w:val="auto"/>
              </w:rPr>
            </w:pPr>
            <w:r>
              <w:rPr>
                <w:rFonts w:ascii="Arial" w:cs="Arial" w:eastAsia="Arial" w:hAnsi="Arial"/>
                <w:sz w:val="14"/>
                <w:szCs w:val="14"/>
                <w:b w:val="1"/>
                <w:bCs w:val="1"/>
                <w:color w:val="auto"/>
              </w:rPr>
              <w:t>YEAR ENDED</w:t>
            </w:r>
          </w:p>
        </w:tc>
        <w:tc>
          <w:tcPr>
            <w:tcW w:w="132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rPr>
              <w:t>PERIOD ENDED</w:t>
            </w: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20"/>
              <w:spacing w:after="0" w:line="139" w:lineRule="exact"/>
              <w:rPr>
                <w:sz w:val="20"/>
                <w:szCs w:val="20"/>
                <w:color w:val="auto"/>
              </w:rPr>
            </w:pPr>
            <w:r>
              <w:rPr>
                <w:rFonts w:ascii="Arial" w:cs="Arial" w:eastAsia="Arial" w:hAnsi="Arial"/>
                <w:sz w:val="14"/>
                <w:szCs w:val="14"/>
                <w:b w:val="1"/>
                <w:bCs w:val="1"/>
                <w:color w:val="auto"/>
                <w:w w:val="99"/>
              </w:rPr>
              <w:t>PERIOD ENDED</w:t>
            </w:r>
          </w:p>
        </w:tc>
        <w:tc>
          <w:tcPr>
            <w:tcW w:w="80" w:type="dxa"/>
            <w:vAlign w:val="bottom"/>
          </w:tcPr>
          <w:p>
            <w:pPr>
              <w:spacing w:after="0"/>
              <w:rPr>
                <w:sz w:val="12"/>
                <w:szCs w:val="12"/>
                <w:color w:val="auto"/>
              </w:rPr>
            </w:pPr>
          </w:p>
        </w:tc>
        <w:tc>
          <w:tcPr>
            <w:tcW w:w="140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r>
      <w:tr>
        <w:trPr>
          <w:trHeight w:val="157"/>
        </w:trPr>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center"/>
              <w:ind w:right="320"/>
              <w:spacing w:after="0" w:line="157" w:lineRule="exact"/>
              <w:rPr>
                <w:sz w:val="20"/>
                <w:szCs w:val="20"/>
                <w:color w:val="auto"/>
              </w:rPr>
            </w:pPr>
            <w:r>
              <w:rPr>
                <w:rFonts w:ascii="Arial" w:cs="Arial" w:eastAsia="Arial" w:hAnsi="Arial"/>
                <w:sz w:val="14"/>
                <w:szCs w:val="14"/>
                <w:b w:val="1"/>
                <w:bCs w:val="1"/>
                <w:color w:val="auto"/>
              </w:rPr>
              <w:t>DECEMBER 31,</w:t>
            </w:r>
          </w:p>
        </w:tc>
        <w:tc>
          <w:tcPr>
            <w:tcW w:w="1640" w:type="dxa"/>
            <w:vAlign w:val="bottom"/>
            <w:tcBorders>
              <w:right w:val="single" w:sz="8" w:color="auto"/>
            </w:tcBorders>
            <w:gridSpan w:val="4"/>
          </w:tcPr>
          <w:p>
            <w:pPr>
              <w:jc w:val="center"/>
              <w:ind w:right="320"/>
              <w:spacing w:after="0" w:line="157"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MARCH 31,</w:t>
            </w:r>
          </w:p>
        </w:tc>
        <w:tc>
          <w:tcPr>
            <w:tcW w:w="80" w:type="dxa"/>
            <w:vAlign w:val="bottom"/>
          </w:tcPr>
          <w:p>
            <w:pPr>
              <w:spacing w:after="0"/>
              <w:rPr>
                <w:sz w:val="13"/>
                <w:szCs w:val="13"/>
                <w:color w:val="auto"/>
              </w:rPr>
            </w:pPr>
          </w:p>
        </w:tc>
        <w:tc>
          <w:tcPr>
            <w:tcW w:w="1520" w:type="dxa"/>
            <w:vAlign w:val="bottom"/>
            <w:gridSpan w:val="4"/>
          </w:tcPr>
          <w:p>
            <w:pPr>
              <w:jc w:val="center"/>
              <w:ind w:right="120"/>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98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4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Income tax expense calculated at the federal statutory rate</w:t>
            </w: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right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7"/>
                <w:szCs w:val="17"/>
                <w:color w:val="auto"/>
                <w:w w:val="96"/>
              </w:rPr>
              <w:t>(2,740)</w:t>
            </w:r>
          </w:p>
        </w:tc>
        <w:tc>
          <w:tcPr>
            <w:tcW w:w="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35.0%</w:t>
            </w: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gridSpan w:val="2"/>
            <w:shd w:val="clear" w:color="auto" w:fill="CCEEFF"/>
          </w:tcPr>
          <w:p>
            <w:pPr>
              <w:jc w:val="right"/>
              <w:ind w:right="200"/>
              <w:spacing w:after="0" w:line="176" w:lineRule="exact"/>
              <w:rPr>
                <w:sz w:val="20"/>
                <w:szCs w:val="20"/>
                <w:color w:val="auto"/>
              </w:rPr>
            </w:pPr>
            <w:r>
              <w:rPr>
                <w:rFonts w:ascii="Arial" w:cs="Arial" w:eastAsia="Arial" w:hAnsi="Arial"/>
                <w:sz w:val="17"/>
                <w:szCs w:val="17"/>
                <w:color w:val="auto"/>
                <w:w w:val="91"/>
              </w:rPr>
              <w:t>$ (7,363)</w:t>
            </w:r>
          </w:p>
        </w:tc>
        <w:tc>
          <w:tcPr>
            <w:tcW w:w="4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5"/>
              </w:rPr>
              <w:t>35.0%</w:t>
            </w:r>
          </w:p>
        </w:tc>
        <w:tc>
          <w:tcPr>
            <w:tcW w:w="3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(78)</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35.0%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7"/>
                <w:szCs w:val="17"/>
                <w:color w:val="auto"/>
                <w:w w:val="93"/>
              </w:rPr>
              <w:t>$ 13,701</w:t>
            </w:r>
          </w:p>
        </w:tc>
        <w:tc>
          <w:tcPr>
            <w:tcW w:w="5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9"/>
              </w:rPr>
              <w:t>35.0%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4900" w:type="dxa"/>
            <w:vAlign w:val="bottom"/>
          </w:tcPr>
          <w:p>
            <w:pPr>
              <w:spacing w:after="0" w:line="184" w:lineRule="exact"/>
              <w:rPr>
                <w:sz w:val="20"/>
                <w:szCs w:val="20"/>
                <w:color w:val="auto"/>
              </w:rPr>
            </w:pPr>
            <w:r>
              <w:rPr>
                <w:rFonts w:ascii="Arial" w:cs="Arial" w:eastAsia="Arial" w:hAnsi="Arial"/>
                <w:sz w:val="17"/>
                <w:szCs w:val="17"/>
                <w:color w:val="auto"/>
              </w:rPr>
              <w:t>Effect of:</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State and local taxes, net of federal benefit</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487</w:t>
            </w:r>
          </w:p>
        </w:tc>
        <w:tc>
          <w:tcPr>
            <w:tcW w:w="76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(6.2)</w:t>
            </w:r>
          </w:p>
        </w:tc>
        <w:tc>
          <w:tcPr>
            <w:tcW w:w="84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219</w:t>
            </w:r>
          </w:p>
        </w:tc>
        <w:tc>
          <w:tcPr>
            <w:tcW w:w="800" w:type="dxa"/>
            <w:vAlign w:val="bottom"/>
            <w:tcBorders>
              <w:right w:val="single" w:sz="8" w:color="auto"/>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208</w:t>
            </w:r>
          </w:p>
        </w:tc>
        <w:tc>
          <w:tcPr>
            <w:tcW w:w="84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(93.8)</w:t>
            </w:r>
          </w:p>
        </w:tc>
        <w:tc>
          <w:tcPr>
            <w:tcW w:w="980" w:type="dxa"/>
            <w:vAlign w:val="bottom"/>
            <w:tcBorders>
              <w:right w:val="single" w:sz="8" w:color="CCEEFF"/>
            </w:tcBorders>
            <w:gridSpan w:val="3"/>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1,189</w:t>
            </w:r>
          </w:p>
        </w:tc>
        <w:tc>
          <w:tcPr>
            <w:tcW w:w="6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3.0</w:t>
            </w: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Tax on foreign earnings, net of tax credits and deductions</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(330)</w:t>
            </w:r>
          </w:p>
        </w:tc>
        <w:tc>
          <w:tcPr>
            <w:tcW w:w="540" w:type="dxa"/>
            <w:vAlign w:val="bottom"/>
          </w:tcPr>
          <w:p>
            <w:pPr>
              <w:jc w:val="right"/>
              <w:spacing w:after="0" w:line="184" w:lineRule="exact"/>
              <w:rPr>
                <w:sz w:val="20"/>
                <w:szCs w:val="20"/>
                <w:color w:val="auto"/>
              </w:rPr>
            </w:pPr>
            <w:r>
              <w:rPr>
                <w:rFonts w:ascii="Arial" w:cs="Arial" w:eastAsia="Arial" w:hAnsi="Arial"/>
                <w:sz w:val="17"/>
                <w:szCs w:val="17"/>
                <w:color w:val="auto"/>
              </w:rPr>
              <w:t>4.2</w:t>
            </w:r>
          </w:p>
        </w:tc>
        <w:tc>
          <w:tcPr>
            <w:tcW w:w="220" w:type="dxa"/>
            <w:vAlign w:val="bottom"/>
          </w:tcPr>
          <w:p>
            <w:pPr>
              <w:spacing w:after="0"/>
              <w:rPr>
                <w:sz w:val="15"/>
                <w:szCs w:val="15"/>
                <w:color w:val="auto"/>
              </w:rPr>
            </w:pPr>
          </w:p>
        </w:tc>
        <w:tc>
          <w:tcPr>
            <w:tcW w:w="84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(261)</w:t>
            </w:r>
          </w:p>
        </w:tc>
        <w:tc>
          <w:tcPr>
            <w:tcW w:w="480" w:type="dxa"/>
            <w:vAlign w:val="bottom"/>
          </w:tcPr>
          <w:p>
            <w:pPr>
              <w:jc w:val="right"/>
              <w:spacing w:after="0" w:line="184" w:lineRule="exact"/>
              <w:rPr>
                <w:sz w:val="20"/>
                <w:szCs w:val="20"/>
                <w:color w:val="auto"/>
              </w:rPr>
            </w:pPr>
            <w:r>
              <w:rPr>
                <w:rFonts w:ascii="Arial" w:cs="Arial" w:eastAsia="Arial" w:hAnsi="Arial"/>
                <w:sz w:val="17"/>
                <w:szCs w:val="17"/>
                <w:color w:val="auto"/>
              </w:rPr>
              <w:t>1.2</w:t>
            </w:r>
          </w:p>
        </w:tc>
        <w:tc>
          <w:tcPr>
            <w:tcW w:w="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(440)</w:t>
            </w:r>
          </w:p>
        </w:tc>
        <w:tc>
          <w:tcPr>
            <w:tcW w:w="84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197.8</w:t>
            </w:r>
          </w:p>
        </w:tc>
        <w:tc>
          <w:tcPr>
            <w:tcW w:w="980" w:type="dxa"/>
            <w:vAlign w:val="bottom"/>
            <w:gridSpan w:val="3"/>
          </w:tcPr>
          <w:p>
            <w:pPr>
              <w:jc w:val="right"/>
              <w:ind w:right="200"/>
              <w:spacing w:after="0" w:line="184" w:lineRule="exact"/>
              <w:rPr>
                <w:sz w:val="20"/>
                <w:szCs w:val="20"/>
                <w:color w:val="auto"/>
              </w:rPr>
            </w:pPr>
            <w:r>
              <w:rPr>
                <w:rFonts w:ascii="Arial" w:cs="Arial" w:eastAsia="Arial" w:hAnsi="Arial"/>
                <w:sz w:val="17"/>
                <w:szCs w:val="17"/>
                <w:color w:val="auto"/>
              </w:rPr>
              <w:t>(746)</w:t>
            </w:r>
          </w:p>
        </w:tc>
        <w:tc>
          <w:tcPr>
            <w:tcW w:w="620" w:type="dxa"/>
            <w:vAlign w:val="bottom"/>
            <w:gridSpan w:val="2"/>
          </w:tcPr>
          <w:p>
            <w:pPr>
              <w:jc w:val="right"/>
              <w:ind w:right="60"/>
              <w:spacing w:after="0" w:line="184" w:lineRule="exact"/>
              <w:rPr>
                <w:sz w:val="20"/>
                <w:szCs w:val="20"/>
                <w:color w:val="auto"/>
              </w:rPr>
            </w:pPr>
            <w:r>
              <w:rPr>
                <w:rFonts w:ascii="Arial" w:cs="Arial" w:eastAsia="Arial" w:hAnsi="Arial"/>
                <w:sz w:val="17"/>
                <w:szCs w:val="17"/>
                <w:color w:val="auto"/>
              </w:rPr>
              <w:t>(1.9)</w:t>
            </w: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Change in valuation allowance</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gridSpan w:val="2"/>
            <w:shd w:val="clear" w:color="auto" w:fill="CCEEFF"/>
          </w:tcPr>
          <w:p>
            <w:pPr>
              <w:jc w:val="right"/>
              <w:ind w:right="320"/>
              <w:spacing w:after="0" w:line="18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789</w:t>
            </w:r>
          </w:p>
        </w:tc>
        <w:tc>
          <w:tcPr>
            <w:tcW w:w="84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(354.3)</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w:t>
            </w: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Permanent items: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490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Goodwill impairment</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2,106</w:t>
            </w:r>
          </w:p>
        </w:tc>
        <w:tc>
          <w:tcPr>
            <w:tcW w:w="76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(26.9)</w:t>
            </w:r>
          </w:p>
        </w:tc>
        <w:tc>
          <w:tcPr>
            <w:tcW w:w="84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gridSpan w:val="2"/>
            <w:shd w:val="clear" w:color="auto" w:fill="CCEEFF"/>
          </w:tcPr>
          <w:p>
            <w:pPr>
              <w:jc w:val="right"/>
              <w:ind w:right="320"/>
              <w:spacing w:after="0" w:line="18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w:t>
            </w:r>
          </w:p>
        </w:tc>
      </w:tr>
      <w:tr>
        <w:trPr>
          <w:trHeight w:val="183"/>
        </w:trPr>
        <w:tc>
          <w:tcPr>
            <w:tcW w:w="4900" w:type="dxa"/>
            <w:vAlign w:val="bottom"/>
          </w:tcPr>
          <w:p>
            <w:pPr>
              <w:ind w:left="500"/>
              <w:spacing w:after="0" w:line="184" w:lineRule="exact"/>
              <w:rPr>
                <w:sz w:val="20"/>
                <w:szCs w:val="20"/>
                <w:color w:val="auto"/>
              </w:rPr>
            </w:pPr>
            <w:r>
              <w:rPr>
                <w:rFonts w:ascii="Arial" w:cs="Arial" w:eastAsia="Arial" w:hAnsi="Arial"/>
                <w:sz w:val="17"/>
                <w:szCs w:val="17"/>
                <w:color w:val="auto"/>
              </w:rPr>
              <w:t>Stock-based awards</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778</w:t>
            </w:r>
          </w:p>
        </w:tc>
        <w:tc>
          <w:tcPr>
            <w:tcW w:w="76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(9.9)</w:t>
            </w:r>
          </w:p>
        </w:tc>
        <w:tc>
          <w:tcPr>
            <w:tcW w:w="84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332</w:t>
            </w:r>
          </w:p>
        </w:tc>
        <w:tc>
          <w:tcPr>
            <w:tcW w:w="800" w:type="dxa"/>
            <w:vAlign w:val="bottom"/>
            <w:tcBorders>
              <w:right w:val="single" w:sz="8" w:color="auto"/>
            </w:tcBorders>
            <w:gridSpan w:val="2"/>
          </w:tcPr>
          <w:p>
            <w:pPr>
              <w:jc w:val="right"/>
              <w:ind w:right="260"/>
              <w:spacing w:after="0" w:line="184" w:lineRule="exact"/>
              <w:rPr>
                <w:sz w:val="20"/>
                <w:szCs w:val="20"/>
                <w:color w:val="auto"/>
              </w:rPr>
            </w:pPr>
            <w:r>
              <w:rPr>
                <w:rFonts w:ascii="Arial" w:cs="Arial" w:eastAsia="Arial" w:hAnsi="Arial"/>
                <w:sz w:val="17"/>
                <w:szCs w:val="17"/>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278</w:t>
            </w:r>
          </w:p>
        </w:tc>
        <w:tc>
          <w:tcPr>
            <w:tcW w:w="840" w:type="dxa"/>
            <w:vAlign w:val="bottom"/>
            <w:gridSpan w:val="2"/>
          </w:tcPr>
          <w:p>
            <w:pPr>
              <w:jc w:val="right"/>
              <w:ind w:right="60"/>
              <w:spacing w:after="0" w:line="184" w:lineRule="exact"/>
              <w:rPr>
                <w:sz w:val="20"/>
                <w:szCs w:val="20"/>
                <w:color w:val="auto"/>
              </w:rPr>
            </w:pPr>
            <w:r>
              <w:rPr>
                <w:rFonts w:ascii="Arial" w:cs="Arial" w:eastAsia="Arial" w:hAnsi="Arial"/>
                <w:sz w:val="17"/>
                <w:szCs w:val="17"/>
                <w:color w:val="auto"/>
              </w:rPr>
              <w:t>(125.2)</w:t>
            </w:r>
          </w:p>
        </w:tc>
        <w:tc>
          <w:tcPr>
            <w:tcW w:w="80" w:type="dxa"/>
            <w:vAlign w:val="bottom"/>
          </w:tcPr>
          <w:p>
            <w:pPr>
              <w:spacing w:after="0"/>
              <w:rPr>
                <w:sz w:val="15"/>
                <w:szCs w:val="15"/>
                <w:color w:val="auto"/>
              </w:rPr>
            </w:pPr>
          </w:p>
        </w:tc>
        <w:tc>
          <w:tcPr>
            <w:tcW w:w="900" w:type="dxa"/>
            <w:vAlign w:val="bottom"/>
            <w:gridSpan w:val="2"/>
          </w:tcPr>
          <w:p>
            <w:pPr>
              <w:jc w:val="right"/>
              <w:ind w:right="260"/>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w:t>
            </w:r>
          </w:p>
        </w:tc>
      </w:tr>
      <w:tr>
        <w:trPr>
          <w:trHeight w:val="183"/>
        </w:trPr>
        <w:tc>
          <w:tcPr>
            <w:tcW w:w="490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185</w:t>
            </w:r>
          </w:p>
        </w:tc>
        <w:tc>
          <w:tcPr>
            <w:tcW w:w="76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(2.4)</w:t>
            </w:r>
          </w:p>
        </w:tc>
        <w:tc>
          <w:tcPr>
            <w:tcW w:w="84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730</w:t>
            </w:r>
          </w:p>
        </w:tc>
        <w:tc>
          <w:tcPr>
            <w:tcW w:w="800" w:type="dxa"/>
            <w:vAlign w:val="bottom"/>
            <w:tcBorders>
              <w:right w:val="single" w:sz="8" w:color="auto"/>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296</w:t>
            </w:r>
          </w:p>
        </w:tc>
        <w:tc>
          <w:tcPr>
            <w:tcW w:w="84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(133.1)</w:t>
            </w:r>
          </w:p>
        </w:tc>
        <w:tc>
          <w:tcPr>
            <w:tcW w:w="980" w:type="dxa"/>
            <w:vAlign w:val="bottom"/>
            <w:tcBorders>
              <w:right w:val="single" w:sz="8" w:color="CCEEFF"/>
            </w:tcBorders>
            <w:gridSpan w:val="3"/>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(22)</w:t>
            </w:r>
          </w:p>
        </w:tc>
        <w:tc>
          <w:tcPr>
            <w:tcW w:w="62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(0.1)</w:t>
            </w: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State tax credits</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(931)</w:t>
            </w:r>
          </w:p>
        </w:tc>
        <w:tc>
          <w:tcPr>
            <w:tcW w:w="76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11.9</w:t>
            </w:r>
          </w:p>
        </w:tc>
        <w:tc>
          <w:tcPr>
            <w:tcW w:w="84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(573)</w:t>
            </w:r>
          </w:p>
        </w:tc>
        <w:tc>
          <w:tcPr>
            <w:tcW w:w="480" w:type="dxa"/>
            <w:vAlign w:val="bottom"/>
          </w:tcPr>
          <w:p>
            <w:pPr>
              <w:jc w:val="right"/>
              <w:spacing w:after="0" w:line="184" w:lineRule="exact"/>
              <w:rPr>
                <w:sz w:val="20"/>
                <w:szCs w:val="20"/>
                <w:color w:val="auto"/>
              </w:rPr>
            </w:pPr>
            <w:r>
              <w:rPr>
                <w:rFonts w:ascii="Arial" w:cs="Arial" w:eastAsia="Arial" w:hAnsi="Arial"/>
                <w:sz w:val="17"/>
                <w:szCs w:val="17"/>
                <w:color w:val="auto"/>
              </w:rPr>
              <w:t>2.7</w:t>
            </w:r>
          </w:p>
        </w:tc>
        <w:tc>
          <w:tcPr>
            <w:tcW w:w="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(208)</w:t>
            </w:r>
          </w:p>
        </w:tc>
        <w:tc>
          <w:tcPr>
            <w:tcW w:w="84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93.6</w:t>
            </w:r>
          </w:p>
        </w:tc>
        <w:tc>
          <w:tcPr>
            <w:tcW w:w="980" w:type="dxa"/>
            <w:vAlign w:val="bottom"/>
            <w:gridSpan w:val="3"/>
          </w:tcPr>
          <w:p>
            <w:pPr>
              <w:jc w:val="right"/>
              <w:ind w:right="200"/>
              <w:spacing w:after="0" w:line="184" w:lineRule="exact"/>
              <w:rPr>
                <w:sz w:val="20"/>
                <w:szCs w:val="20"/>
                <w:color w:val="auto"/>
              </w:rPr>
            </w:pPr>
            <w:r>
              <w:rPr>
                <w:rFonts w:ascii="Arial" w:cs="Arial" w:eastAsia="Arial" w:hAnsi="Arial"/>
                <w:sz w:val="17"/>
                <w:szCs w:val="17"/>
                <w:color w:val="auto"/>
              </w:rPr>
              <w:t>(554)</w:t>
            </w:r>
          </w:p>
        </w:tc>
        <w:tc>
          <w:tcPr>
            <w:tcW w:w="620" w:type="dxa"/>
            <w:vAlign w:val="bottom"/>
            <w:gridSpan w:val="2"/>
          </w:tcPr>
          <w:p>
            <w:pPr>
              <w:jc w:val="right"/>
              <w:ind w:right="60"/>
              <w:spacing w:after="0" w:line="184" w:lineRule="exact"/>
              <w:rPr>
                <w:sz w:val="20"/>
                <w:szCs w:val="20"/>
                <w:color w:val="auto"/>
              </w:rPr>
            </w:pPr>
            <w:r>
              <w:rPr>
                <w:rFonts w:ascii="Arial" w:cs="Arial" w:eastAsia="Arial" w:hAnsi="Arial"/>
                <w:sz w:val="17"/>
                <w:szCs w:val="17"/>
                <w:color w:val="auto"/>
              </w:rPr>
              <w:t>(1.4)</w:t>
            </w:r>
          </w:p>
        </w:tc>
      </w:tr>
      <w:tr>
        <w:trPr>
          <w:trHeight w:val="183"/>
        </w:trPr>
        <w:tc>
          <w:tcPr>
            <w:tcW w:w="49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Change in liability for uncertain tax positions</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1,250</w:t>
            </w:r>
          </w:p>
        </w:tc>
        <w:tc>
          <w:tcPr>
            <w:tcW w:w="76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(16.0)</w:t>
            </w:r>
          </w:p>
        </w:tc>
        <w:tc>
          <w:tcPr>
            <w:tcW w:w="840" w:type="dxa"/>
            <w:vAlign w:val="bottom"/>
            <w:tcBorders>
              <w:right w:val="single" w:sz="8" w:color="CCEEFF"/>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249</w:t>
            </w:r>
          </w:p>
        </w:tc>
        <w:tc>
          <w:tcPr>
            <w:tcW w:w="800" w:type="dxa"/>
            <w:vAlign w:val="bottom"/>
            <w:tcBorders>
              <w:right w:val="single" w:sz="8" w:color="auto"/>
            </w:tcBorders>
            <w:gridSpan w:val="2"/>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169</w:t>
            </w:r>
          </w:p>
        </w:tc>
        <w:tc>
          <w:tcPr>
            <w:tcW w:w="84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(76.1)</w:t>
            </w:r>
          </w:p>
        </w:tc>
        <w:tc>
          <w:tcPr>
            <w:tcW w:w="980" w:type="dxa"/>
            <w:vAlign w:val="bottom"/>
            <w:tcBorders>
              <w:right w:val="single" w:sz="8" w:color="CCEEFF"/>
            </w:tcBorders>
            <w:gridSpan w:val="3"/>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985</w:t>
            </w:r>
          </w:p>
        </w:tc>
        <w:tc>
          <w:tcPr>
            <w:tcW w:w="6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2.5</w:t>
            </w:r>
          </w:p>
        </w:tc>
      </w:tr>
      <w:tr>
        <w:trPr>
          <w:trHeight w:val="183"/>
        </w:trPr>
        <w:tc>
          <w:tcPr>
            <w:tcW w:w="4900" w:type="dxa"/>
            <w:vAlign w:val="bottom"/>
          </w:tcPr>
          <w:p>
            <w:pPr>
              <w:ind w:left="260"/>
              <w:spacing w:after="0" w:line="184" w:lineRule="exact"/>
              <w:rPr>
                <w:sz w:val="20"/>
                <w:szCs w:val="20"/>
                <w:color w:val="auto"/>
              </w:rPr>
            </w:pPr>
            <w:r>
              <w:rPr>
                <w:rFonts w:ascii="Arial" w:cs="Arial" w:eastAsia="Arial" w:hAnsi="Arial"/>
                <w:sz w:val="17"/>
                <w:szCs w:val="17"/>
                <w:color w:val="auto"/>
              </w:rPr>
              <w:t>Other</w:t>
            </w:r>
          </w:p>
        </w:tc>
        <w:tc>
          <w:tcPr>
            <w:tcW w:w="100" w:type="dxa"/>
            <w:vAlign w:val="bottom"/>
          </w:tcPr>
          <w:p>
            <w:pPr>
              <w:spacing w:after="0"/>
              <w:rPr>
                <w:sz w:val="15"/>
                <w:szCs w:val="15"/>
                <w:color w:val="auto"/>
              </w:rPr>
            </w:pPr>
          </w:p>
        </w:tc>
        <w:tc>
          <w:tcPr>
            <w:tcW w:w="500" w:type="dxa"/>
            <w:vAlign w:val="bottom"/>
          </w:tcPr>
          <w:p>
            <w:pPr>
              <w:jc w:val="right"/>
              <w:spacing w:after="0" w:line="184" w:lineRule="exact"/>
              <w:rPr>
                <w:sz w:val="20"/>
                <w:szCs w:val="20"/>
                <w:color w:val="auto"/>
              </w:rPr>
            </w:pPr>
            <w:r>
              <w:rPr>
                <w:rFonts w:ascii="Arial" w:cs="Arial" w:eastAsia="Arial" w:hAnsi="Arial"/>
                <w:sz w:val="17"/>
                <w:szCs w:val="17"/>
                <w:color w:val="auto"/>
              </w:rPr>
              <w:t>38</w:t>
            </w:r>
          </w:p>
        </w:tc>
        <w:tc>
          <w:tcPr>
            <w:tcW w:w="260" w:type="dxa"/>
            <w:vAlign w:val="bottom"/>
          </w:tcPr>
          <w:p>
            <w:pPr>
              <w:spacing w:after="0"/>
              <w:rPr>
                <w:sz w:val="15"/>
                <w:szCs w:val="15"/>
                <w:color w:val="auto"/>
              </w:rPr>
            </w:pPr>
          </w:p>
        </w:tc>
        <w:tc>
          <w:tcPr>
            <w:tcW w:w="76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(0.5)</w:t>
            </w:r>
          </w:p>
        </w:tc>
        <w:tc>
          <w:tcPr>
            <w:tcW w:w="84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(36)</w:t>
            </w:r>
          </w:p>
        </w:tc>
        <w:tc>
          <w:tcPr>
            <w:tcW w:w="480" w:type="dxa"/>
            <w:vAlign w:val="bottom"/>
          </w:tcPr>
          <w:p>
            <w:pPr>
              <w:jc w:val="right"/>
              <w:spacing w:after="0" w:line="184" w:lineRule="exact"/>
              <w:rPr>
                <w:sz w:val="20"/>
                <w:szCs w:val="20"/>
                <w:color w:val="auto"/>
              </w:rPr>
            </w:pPr>
            <w:r>
              <w:rPr>
                <w:rFonts w:ascii="Arial" w:cs="Arial" w:eastAsia="Arial" w:hAnsi="Arial"/>
                <w:sz w:val="17"/>
                <w:szCs w:val="17"/>
                <w:color w:val="auto"/>
              </w:rPr>
              <w:t>0.2</w:t>
            </w:r>
          </w:p>
        </w:tc>
        <w:tc>
          <w:tcPr>
            <w:tcW w:w="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200"/>
              <w:spacing w:after="0" w:line="184" w:lineRule="exact"/>
              <w:rPr>
                <w:sz w:val="20"/>
                <w:szCs w:val="20"/>
                <w:color w:val="auto"/>
              </w:rPr>
            </w:pPr>
            <w:r>
              <w:rPr>
                <w:rFonts w:ascii="Arial" w:cs="Arial" w:eastAsia="Arial" w:hAnsi="Arial"/>
                <w:sz w:val="17"/>
                <w:szCs w:val="17"/>
                <w:color w:val="auto"/>
              </w:rPr>
              <w:t>(252)</w:t>
            </w:r>
          </w:p>
        </w:tc>
        <w:tc>
          <w:tcPr>
            <w:tcW w:w="620" w:type="dxa"/>
            <w:vAlign w:val="bottom"/>
            <w:gridSpan w:val="2"/>
          </w:tcPr>
          <w:p>
            <w:pPr>
              <w:jc w:val="right"/>
              <w:ind w:right="60"/>
              <w:spacing w:after="0" w:line="184" w:lineRule="exact"/>
              <w:rPr>
                <w:sz w:val="20"/>
                <w:szCs w:val="20"/>
                <w:color w:val="auto"/>
              </w:rPr>
            </w:pPr>
            <w:r>
              <w:rPr>
                <w:rFonts w:ascii="Arial" w:cs="Arial" w:eastAsia="Arial" w:hAnsi="Arial"/>
                <w:sz w:val="17"/>
                <w:szCs w:val="17"/>
                <w:color w:val="auto"/>
              </w:rPr>
              <w:t>(0.6)</w:t>
            </w:r>
          </w:p>
        </w:tc>
      </w:tr>
      <w:tr>
        <w:trPr>
          <w:trHeight w:val="26"/>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843</w:t>
            </w:r>
          </w:p>
        </w:tc>
        <w:tc>
          <w:tcPr>
            <w:tcW w:w="260" w:type="dxa"/>
            <w:vAlign w:val="bottom"/>
            <w:tcBorders>
              <w:right w:val="single" w:sz="8" w:color="CCEEFF"/>
            </w:tcBorders>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w w:val="97"/>
              </w:rPr>
              <w:t>(10.8%)</w:t>
            </w:r>
          </w:p>
        </w:tc>
        <w:tc>
          <w:tcPr>
            <w:tcW w:w="840" w:type="dxa"/>
            <w:vAlign w:val="bottom"/>
            <w:tcBorders>
              <w:right w:val="single" w:sz="8" w:color="CCEEFF"/>
            </w:tcBorders>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w w:val="91"/>
              </w:rPr>
              <w:t>$ (6,703)</w:t>
            </w:r>
          </w:p>
        </w:tc>
        <w:tc>
          <w:tcPr>
            <w:tcW w:w="800" w:type="dxa"/>
            <w:vAlign w:val="bottom"/>
            <w:tcBorders>
              <w:right w:val="single" w:sz="8" w:color="auto"/>
            </w:tcBorders>
            <w:gridSpan w:val="2"/>
            <w:shd w:val="clear" w:color="auto" w:fill="CCEEFF"/>
          </w:tcPr>
          <w:p>
            <w:pPr>
              <w:jc w:val="right"/>
              <w:ind w:right="320"/>
              <w:spacing w:after="0" w:line="184" w:lineRule="exact"/>
              <w:rPr>
                <w:sz w:val="20"/>
                <w:szCs w:val="20"/>
                <w:color w:val="auto"/>
              </w:rPr>
            </w:pPr>
            <w:r>
              <w:rPr>
                <w:rFonts w:ascii="Arial" w:cs="Arial" w:eastAsia="Arial" w:hAnsi="Arial"/>
                <w:sz w:val="17"/>
                <w:szCs w:val="17"/>
                <w:color w:val="auto"/>
                <w:w w:val="95"/>
              </w:rPr>
              <w:t>31.8%</w:t>
            </w:r>
          </w:p>
        </w:tc>
        <w:tc>
          <w:tcPr>
            <w:tcW w:w="1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w w:val="98"/>
              </w:rPr>
              <w:t>1,014</w:t>
            </w:r>
          </w:p>
        </w:tc>
        <w:tc>
          <w:tcPr>
            <w:tcW w:w="84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(456.1%)</w:t>
            </w:r>
          </w:p>
        </w:tc>
        <w:tc>
          <w:tcPr>
            <w:tcW w:w="980" w:type="dxa"/>
            <w:vAlign w:val="bottom"/>
            <w:tcBorders>
              <w:right w:val="single" w:sz="8" w:color="CCEEFF"/>
            </w:tcBorders>
            <w:gridSpan w:val="3"/>
            <w:shd w:val="clear" w:color="auto" w:fill="CCEEFF"/>
          </w:tcPr>
          <w:p>
            <w:pPr>
              <w:jc w:val="right"/>
              <w:ind w:right="260"/>
              <w:spacing w:after="0" w:line="184" w:lineRule="exact"/>
              <w:rPr>
                <w:sz w:val="20"/>
                <w:szCs w:val="20"/>
                <w:color w:val="auto"/>
              </w:rPr>
            </w:pPr>
            <w:r>
              <w:rPr>
                <w:rFonts w:ascii="Arial" w:cs="Arial" w:eastAsia="Arial" w:hAnsi="Arial"/>
                <w:sz w:val="17"/>
                <w:szCs w:val="17"/>
                <w:color w:val="auto"/>
              </w:rPr>
              <w:t>14,301</w:t>
            </w:r>
          </w:p>
        </w:tc>
        <w:tc>
          <w:tcPr>
            <w:tcW w:w="6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w w:val="99"/>
              </w:rPr>
              <w:t>36.5%</w:t>
            </w: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undistributed earnings of foreign subsidiaries at December 31, 2015 and 2014 were approximately $10.4 million and $8.2 million, respectively, and have been permanently reinvested. It is not practicable to determine the amount of the additional taxes that would result if these earnings were repatriated.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Company’s net deferred tax liability included in the consolidated balance sheets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0"/>
        </w:trPr>
        <w:tc>
          <w:tcPr>
            <w:tcW w:w="4660" w:type="dxa"/>
            <w:vAlign w:val="bottom"/>
            <w:tcBorders>
              <w:bottom w:val="single" w:sz="8" w:color="CCEEFF"/>
            </w:tcBorders>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9"/>
              <w:spacing w:after="0" w:line="150"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8"/>
              <w:spacing w:after="0" w:line="150"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6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Deferred tax assets:</w:t>
            </w:r>
          </w:p>
        </w:tc>
        <w:tc>
          <w:tcPr>
            <w:tcW w:w="4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60" w:type="dxa"/>
            <w:vAlign w:val="bottom"/>
          </w:tcPr>
          <w:p>
            <w:pPr>
              <w:ind w:left="260"/>
              <w:spacing w:after="0" w:line="184" w:lineRule="exact"/>
              <w:rPr>
                <w:sz w:val="20"/>
                <w:szCs w:val="20"/>
                <w:color w:val="auto"/>
              </w:rPr>
            </w:pPr>
            <w:r>
              <w:rPr>
                <w:rFonts w:ascii="Arial" w:cs="Arial" w:eastAsia="Arial" w:hAnsi="Arial"/>
                <w:sz w:val="17"/>
                <w:szCs w:val="17"/>
                <w:color w:val="auto"/>
              </w:rPr>
              <w:t>Accrued liabilities</w:t>
            </w:r>
          </w:p>
        </w:tc>
        <w:tc>
          <w:tcPr>
            <w:tcW w:w="50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15,746</w:t>
            </w:r>
          </w:p>
        </w:tc>
        <w:tc>
          <w:tcPr>
            <w:tcW w:w="2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16,802</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Depreciation and amortization</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1,995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2,241</w:t>
            </w:r>
          </w:p>
        </w:tc>
        <w:tc>
          <w:tcPr>
            <w:tcW w:w="0" w:type="dxa"/>
            <w:vAlign w:val="bottom"/>
          </w:tcPr>
          <w:p>
            <w:pPr>
              <w:spacing w:after="0"/>
              <w:rPr>
                <w:sz w:val="1"/>
                <w:szCs w:val="1"/>
                <w:color w:val="auto"/>
              </w:rPr>
            </w:pPr>
          </w:p>
        </w:tc>
      </w:tr>
      <w:tr>
        <w:trPr>
          <w:trHeight w:val="183"/>
        </w:trPr>
        <w:tc>
          <w:tcPr>
            <w:tcW w:w="4660" w:type="dxa"/>
            <w:vAlign w:val="bottom"/>
          </w:tcPr>
          <w:p>
            <w:pPr>
              <w:ind w:left="260"/>
              <w:spacing w:after="0" w:line="184" w:lineRule="exact"/>
              <w:rPr>
                <w:sz w:val="20"/>
                <w:szCs w:val="20"/>
                <w:color w:val="auto"/>
              </w:rPr>
            </w:pPr>
            <w:r>
              <w:rPr>
                <w:rFonts w:ascii="Arial" w:cs="Arial" w:eastAsia="Arial" w:hAnsi="Arial"/>
                <w:sz w:val="17"/>
                <w:szCs w:val="17"/>
                <w:color w:val="auto"/>
              </w:rPr>
              <w:t>Foreign operating loss carryforward</w:t>
            </w: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250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tax credit carryforward</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4660" w:type="dxa"/>
            <w:vAlign w:val="bottom"/>
          </w:tcPr>
          <w:p>
            <w:pPr>
              <w:ind w:left="260"/>
              <w:spacing w:after="0" w:line="184" w:lineRule="exact"/>
              <w:rPr>
                <w:sz w:val="20"/>
                <w:szCs w:val="20"/>
                <w:color w:val="auto"/>
              </w:rPr>
            </w:pPr>
            <w:r>
              <w:rPr>
                <w:rFonts w:ascii="Arial" w:cs="Arial" w:eastAsia="Arial" w:hAnsi="Arial"/>
                <w:sz w:val="17"/>
                <w:szCs w:val="17"/>
                <w:color w:val="auto"/>
              </w:rPr>
              <w:t>U.S. state and local tax credits and carryforward</w:t>
            </w: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153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84" w:lineRule="exact"/>
              <w:rPr>
                <w:sz w:val="20"/>
                <w:szCs w:val="20"/>
                <w:color w:val="auto"/>
              </w:rPr>
            </w:pPr>
            <w:r>
              <w:rPr>
                <w:rFonts w:ascii="Arial" w:cs="Arial" w:eastAsia="Arial" w:hAnsi="Arial"/>
                <w:sz w:val="17"/>
                <w:szCs w:val="17"/>
                <w:color w:val="auto"/>
              </w:rPr>
              <w:t>1,128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183"/>
        </w:trPr>
        <w:tc>
          <w:tcPr>
            <w:tcW w:w="4660" w:type="dxa"/>
            <w:vAlign w:val="bottom"/>
          </w:tcPr>
          <w:p>
            <w:pPr>
              <w:ind w:left="260"/>
              <w:spacing w:after="0" w:line="184" w:lineRule="exact"/>
              <w:rPr>
                <w:sz w:val="20"/>
                <w:szCs w:val="20"/>
                <w:color w:val="auto"/>
              </w:rPr>
            </w:pPr>
            <w:r>
              <w:rPr>
                <w:rFonts w:ascii="Arial" w:cs="Arial" w:eastAsia="Arial" w:hAnsi="Arial"/>
                <w:sz w:val="17"/>
                <w:szCs w:val="17"/>
                <w:color w:val="auto"/>
              </w:rPr>
              <w:t>Valuation allowance</w:t>
            </w: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(1,021)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60"/>
              <w:spacing w:after="0" w:line="184" w:lineRule="exact"/>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Total deferred tax assets</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18,255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20,053</w:t>
            </w:r>
          </w:p>
        </w:tc>
        <w:tc>
          <w:tcPr>
            <w:tcW w:w="0" w:type="dxa"/>
            <w:vAlign w:val="bottom"/>
          </w:tcPr>
          <w:p>
            <w:pPr>
              <w:spacing w:after="0"/>
              <w:rPr>
                <w:sz w:val="1"/>
                <w:szCs w:val="1"/>
                <w:color w:val="auto"/>
              </w:rPr>
            </w:pPr>
          </w:p>
        </w:tc>
      </w:tr>
      <w:tr>
        <w:trPr>
          <w:trHeight w:val="190"/>
        </w:trPr>
        <w:tc>
          <w:tcPr>
            <w:tcW w:w="4660" w:type="dxa"/>
            <w:vAlign w:val="bottom"/>
          </w:tcPr>
          <w:p>
            <w:pPr>
              <w:spacing w:after="0" w:line="189" w:lineRule="exact"/>
              <w:rPr>
                <w:sz w:val="20"/>
                <w:szCs w:val="20"/>
                <w:color w:val="auto"/>
              </w:rPr>
            </w:pPr>
            <w:r>
              <w:rPr>
                <w:rFonts w:ascii="Arial" w:cs="Arial" w:eastAsia="Arial" w:hAnsi="Arial"/>
                <w:sz w:val="17"/>
                <w:szCs w:val="17"/>
                <w:color w:val="auto"/>
              </w:rPr>
              <w:t>Deferred tax liabilities:</w:t>
            </w:r>
          </w:p>
        </w:tc>
        <w:tc>
          <w:tcPr>
            <w:tcW w:w="4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Depreciation and amortization</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line="184" w:lineRule="exact"/>
              <w:rPr>
                <w:sz w:val="20"/>
                <w:szCs w:val="20"/>
                <w:color w:val="auto"/>
              </w:rPr>
            </w:pPr>
            <w:r>
              <w:rPr>
                <w:rFonts w:ascii="Arial" w:cs="Arial" w:eastAsia="Arial" w:hAnsi="Arial"/>
                <w:sz w:val="17"/>
                <w:szCs w:val="17"/>
                <w:color w:val="auto"/>
                <w:w w:val="94"/>
              </w:rPr>
              <w:t>(38,970)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w w:val="97"/>
              </w:rPr>
              <w:t>(52,791)</w:t>
            </w:r>
          </w:p>
        </w:tc>
        <w:tc>
          <w:tcPr>
            <w:tcW w:w="0" w:type="dxa"/>
            <w:vAlign w:val="bottom"/>
          </w:tcPr>
          <w:p>
            <w:pPr>
              <w:spacing w:after="0"/>
              <w:rPr>
                <w:sz w:val="1"/>
                <w:szCs w:val="1"/>
                <w:color w:val="auto"/>
              </w:rPr>
            </w:pPr>
          </w:p>
        </w:tc>
      </w:tr>
      <w:tr>
        <w:trPr>
          <w:trHeight w:val="183"/>
        </w:trPr>
        <w:tc>
          <w:tcPr>
            <w:tcW w:w="4660" w:type="dxa"/>
            <w:vAlign w:val="bottom"/>
          </w:tcPr>
          <w:p>
            <w:pPr>
              <w:ind w:left="260"/>
              <w:spacing w:after="0" w:line="184" w:lineRule="exact"/>
              <w:rPr>
                <w:sz w:val="20"/>
                <w:szCs w:val="20"/>
                <w:color w:val="auto"/>
              </w:rPr>
            </w:pPr>
            <w:r>
              <w:rPr>
                <w:rFonts w:ascii="Arial" w:cs="Arial" w:eastAsia="Arial" w:hAnsi="Arial"/>
                <w:sz w:val="17"/>
                <w:szCs w:val="17"/>
                <w:color w:val="auto"/>
              </w:rPr>
              <w:t>Prepaid expenses</w:t>
            </w: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(161)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60"/>
              <w:spacing w:after="0" w:line="184"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line="184" w:lineRule="exact"/>
              <w:rPr>
                <w:sz w:val="20"/>
                <w:szCs w:val="20"/>
                <w:color w:val="auto"/>
              </w:rPr>
            </w:pPr>
            <w:r>
              <w:rPr>
                <w:rFonts w:ascii="Arial" w:cs="Arial" w:eastAsia="Arial" w:hAnsi="Arial"/>
                <w:sz w:val="17"/>
                <w:szCs w:val="17"/>
                <w:color w:val="auto"/>
              </w:rPr>
              <w:t>(71)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500"/>
              <w:spacing w:after="0"/>
              <w:rPr>
                <w:sz w:val="20"/>
                <w:szCs w:val="20"/>
                <w:color w:val="auto"/>
              </w:rPr>
            </w:pPr>
            <w:r>
              <w:rPr>
                <w:rFonts w:ascii="Arial" w:cs="Arial" w:eastAsia="Arial" w:hAnsi="Arial"/>
                <w:sz w:val="17"/>
                <w:szCs w:val="17"/>
                <w:color w:val="auto"/>
              </w:rPr>
              <w:t>Total deferred tax liabilities</w:t>
            </w:r>
          </w:p>
        </w:tc>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4"/>
              </w:rPr>
              <w:t>(39,202)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(53,683)</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Net deferred tax liability</w:t>
            </w:r>
          </w:p>
        </w:tc>
        <w:tc>
          <w:tcPr>
            <w:tcW w:w="49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line="184" w:lineRule="exact"/>
              <w:rPr>
                <w:sz w:val="20"/>
                <w:szCs w:val="20"/>
                <w:color w:val="auto"/>
              </w:rPr>
            </w:pPr>
            <w:r>
              <w:rPr>
                <w:rFonts w:ascii="Arial" w:cs="Arial" w:eastAsia="Arial" w:hAnsi="Arial"/>
                <w:sz w:val="17"/>
                <w:szCs w:val="17"/>
                <w:color w:val="auto"/>
                <w:w w:val="94"/>
              </w:rPr>
              <w:t>(20,947)</w:t>
            </w:r>
          </w:p>
        </w:tc>
        <w:tc>
          <w:tcPr>
            <w:tcW w:w="26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w w:val="97"/>
              </w:rPr>
              <w:t>(33,630)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6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4660" w:type="dxa"/>
            <w:vAlign w:val="bottom"/>
          </w:tcPr>
          <w:p>
            <w:pPr>
              <w:spacing w:after="0"/>
              <w:rPr>
                <w:sz w:val="24"/>
                <w:szCs w:val="24"/>
                <w:color w:val="auto"/>
              </w:rPr>
            </w:pPr>
          </w:p>
        </w:tc>
        <w:tc>
          <w:tcPr>
            <w:tcW w:w="5040" w:type="dxa"/>
            <w:vAlign w:val="bottom"/>
            <w:gridSpan w:val="2"/>
          </w:tcPr>
          <w:p>
            <w:pPr>
              <w:jc w:val="right"/>
              <w:ind w:right="3737"/>
              <w:spacing w:after="0"/>
              <w:rPr>
                <w:sz w:val="20"/>
                <w:szCs w:val="20"/>
                <w:color w:val="auto"/>
              </w:rPr>
            </w:pPr>
            <w:r>
              <w:rPr>
                <w:rFonts w:ascii="Arial" w:cs="Arial" w:eastAsia="Arial" w:hAnsi="Arial"/>
                <w:sz w:val="16"/>
                <w:szCs w:val="16"/>
                <w:color w:val="auto"/>
              </w:rPr>
              <w:t>F-34</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deferred tax asset attributable to U.S. state and local tax credits and carryforwards above includes $0.1 million for U.S. state and local operating loss carryforwards that expire at various times from 2015 to 2029.</w:t>
      </w:r>
    </w:p>
    <w:p>
      <w:pPr>
        <w:spacing w:after="0" w:line="14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Company has foreign operating loss carryforwards for which a deferred tax asset of $0.3 million has been established. The Company has a valuation allowance of $0.2 million against this deferred tax asset based upon its assessment that it is more likely than not that this amount will not be realized. The ultimate realization of this tax benefit is dependent upon the generation of sufficient operating income in the respective tax jurisdictions. Approximately 92% of the foreign net operating loss carryforwards can be utilized over an indefinite period whereas the remainder will expire in 2020 if not utilized.</w:t>
      </w:r>
    </w:p>
    <w:p>
      <w:pPr>
        <w:spacing w:after="0" w:line="136"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In December 2013, the Company recorded an impairment loss of $2.3 million and an associated deferred tax asset of $0.8 million on its cost method investment in a related party. In March 2014, the investment was sold and the company incurred a capital loss. This loss is limited to offset future capital gains which the Company does not anticipate will be generated, thus a valuation allowance of $0.8 million has been recorded as it is more likely than not that realization cannot be assured.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Annual activity related to the Company’s valuation allowance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PREDECESSOR</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right"/>
              <w:ind w:right="420"/>
              <w:spacing w:after="0" w:line="139" w:lineRule="exact"/>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2"/>
                <w:szCs w:val="12"/>
                <w:color w:val="auto"/>
              </w:rPr>
            </w:pPr>
          </w:p>
        </w:tc>
        <w:tc>
          <w:tcPr>
            <w:tcW w:w="10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7"/>
              </w:rPr>
              <w:t>PERIOD ENDED</w:t>
            </w:r>
          </w:p>
        </w:tc>
        <w:tc>
          <w:tcPr>
            <w:tcW w:w="7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PERIOD ENDED</w:t>
            </w:r>
          </w:p>
        </w:tc>
        <w:tc>
          <w:tcPr>
            <w:tcW w:w="32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82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Beginning Balance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1,086</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1,103</w:t>
            </w:r>
          </w:p>
        </w:tc>
        <w:tc>
          <w:tcPr>
            <w:tcW w:w="74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305</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line="184" w:lineRule="exact"/>
              <w:rPr>
                <w:sz w:val="20"/>
                <w:szCs w:val="20"/>
                <w:color w:val="auto"/>
              </w:rPr>
            </w:pPr>
            <w:r>
              <w:rPr>
                <w:rFonts w:ascii="Arial" w:cs="Arial" w:eastAsia="Arial" w:hAnsi="Arial"/>
                <w:sz w:val="17"/>
                <w:szCs w:val="17"/>
                <w:color w:val="auto"/>
              </w:rPr>
              <w:t>Additions charged to expense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tcPr>
          <w:p>
            <w:pPr>
              <w:jc w:val="right"/>
              <w:ind w:right="360"/>
              <w:spacing w:after="0" w:line="18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Borders>
              <w:right w:val="single" w:sz="8" w:color="auto"/>
            </w:tcBorders>
            <w:gridSpan w:val="2"/>
          </w:tcPr>
          <w:p>
            <w:pPr>
              <w:jc w:val="right"/>
              <w:ind w:right="740"/>
              <w:spacing w:after="0" w:line="184"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798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Reductions from utilization, reassessments and</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expirations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(65)</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tcBorders>
              <w:right w:val="single" w:sz="8" w:color="auto"/>
            </w:tcBorders>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(17)</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240" w:type="dxa"/>
            <w:vAlign w:val="bottom"/>
            <w:gridSpan w:val="2"/>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1,021</w:t>
            </w:r>
          </w:p>
        </w:tc>
        <w:tc>
          <w:tcPr>
            <w:tcW w:w="340" w:type="dxa"/>
            <w:vAlign w:val="bottom"/>
          </w:tcPr>
          <w:p>
            <w:pPr>
              <w:spacing w:after="0"/>
              <w:rPr>
                <w:sz w:val="16"/>
                <w:szCs w:val="16"/>
                <w:color w:val="auto"/>
              </w:rPr>
            </w:pP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gridSpan w:val="2"/>
          </w:tcPr>
          <w:p>
            <w:pPr>
              <w:jc w:val="right"/>
              <w:ind w:right="740"/>
              <w:spacing w:after="0" w:line="189" w:lineRule="exact"/>
              <w:rPr>
                <w:sz w:val="20"/>
                <w:szCs w:val="20"/>
                <w:color w:val="auto"/>
              </w:rPr>
            </w:pPr>
            <w:r>
              <w:rPr>
                <w:rFonts w:ascii="Arial" w:cs="Arial" w:eastAsia="Arial" w:hAnsi="Arial"/>
                <w:sz w:val="17"/>
                <w:szCs w:val="17"/>
                <w:color w:val="auto"/>
              </w:rPr>
              <w:t>1,086</w:t>
            </w:r>
          </w:p>
        </w:tc>
        <w:tc>
          <w:tcPr>
            <w:tcW w:w="6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1,103</w:t>
            </w:r>
          </w:p>
        </w:tc>
        <w:tc>
          <w:tcPr>
            <w:tcW w:w="60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PREDECESSOR</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4460" w:type="dxa"/>
            <w:vAlign w:val="bottom"/>
          </w:tcPr>
          <w:p>
            <w:pPr>
              <w:spacing w:after="0"/>
              <w:rPr>
                <w:sz w:val="12"/>
                <w:szCs w:val="12"/>
                <w:color w:val="auto"/>
              </w:rPr>
            </w:pPr>
          </w:p>
        </w:tc>
        <w:tc>
          <w:tcPr>
            <w:tcW w:w="168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7"/>
              </w:rPr>
              <w:t>PERIOD ENDED</w:t>
            </w:r>
          </w:p>
        </w:tc>
        <w:tc>
          <w:tcPr>
            <w:tcW w:w="7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PERIOD ENDED</w:t>
            </w:r>
          </w:p>
        </w:tc>
        <w:tc>
          <w:tcPr>
            <w:tcW w:w="34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16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840" w:type="dxa"/>
            <w:vAlign w:val="bottom"/>
            <w:tcBorders>
              <w:right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4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Beginning Balance</w:t>
            </w:r>
          </w:p>
        </w:tc>
        <w:tc>
          <w:tcPr>
            <w:tcW w:w="2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1,353</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1,092</w:t>
            </w:r>
          </w:p>
        </w:tc>
        <w:tc>
          <w:tcPr>
            <w:tcW w:w="76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938</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5"/>
                <w:szCs w:val="15"/>
                <w:color w:val="auto"/>
              </w:rPr>
            </w:pPr>
          </w:p>
        </w:tc>
      </w:tr>
      <w:tr>
        <w:trPr>
          <w:trHeight w:val="183"/>
        </w:trPr>
        <w:tc>
          <w:tcPr>
            <w:tcW w:w="4460" w:type="dxa"/>
            <w:vAlign w:val="bottom"/>
          </w:tcPr>
          <w:p>
            <w:pPr>
              <w:spacing w:after="0" w:line="184" w:lineRule="exact"/>
              <w:rPr>
                <w:sz w:val="20"/>
                <w:szCs w:val="20"/>
                <w:color w:val="auto"/>
              </w:rPr>
            </w:pPr>
            <w:r>
              <w:rPr>
                <w:rFonts w:ascii="Arial" w:cs="Arial" w:eastAsia="Arial" w:hAnsi="Arial"/>
                <w:sz w:val="17"/>
                <w:szCs w:val="17"/>
                <w:color w:val="auto"/>
              </w:rPr>
              <w:t>Increases in tax positions for prior years</w:t>
            </w:r>
          </w:p>
        </w:tc>
        <w:tc>
          <w:tcPr>
            <w:tcW w:w="220" w:type="dxa"/>
            <w:vAlign w:val="bottom"/>
          </w:tcPr>
          <w:p>
            <w:pPr>
              <w:spacing w:after="0"/>
              <w:rPr>
                <w:sz w:val="15"/>
                <w:szCs w:val="15"/>
                <w:color w:val="auto"/>
              </w:rPr>
            </w:pPr>
          </w:p>
        </w:tc>
        <w:tc>
          <w:tcPr>
            <w:tcW w:w="1460" w:type="dxa"/>
            <w:vAlign w:val="bottom"/>
            <w:gridSpan w:val="2"/>
          </w:tcPr>
          <w:p>
            <w:pPr>
              <w:jc w:val="right"/>
              <w:ind w:right="640"/>
              <w:spacing w:after="0" w:line="18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1580" w:type="dxa"/>
            <w:vAlign w:val="bottom"/>
            <w:tcBorders>
              <w:right w:val="single" w:sz="8" w:color="auto"/>
            </w:tcBorders>
            <w:gridSpan w:val="2"/>
          </w:tcPr>
          <w:p>
            <w:pPr>
              <w:jc w:val="right"/>
              <w:ind w:right="760"/>
              <w:spacing w:after="0" w:line="184" w:lineRule="exact"/>
              <w:rPr>
                <w:sz w:val="20"/>
                <w:szCs w:val="20"/>
                <w:color w:val="auto"/>
              </w:rPr>
            </w:pPr>
            <w:r>
              <w:rPr>
                <w:rFonts w:ascii="Arial" w:cs="Arial" w:eastAsia="Arial" w:hAnsi="Arial"/>
                <w:sz w:val="17"/>
                <w:szCs w:val="17"/>
                <w:color w:val="auto"/>
              </w:rPr>
              <w:t>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134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183"/>
        </w:trPr>
        <w:tc>
          <w:tcPr>
            <w:tcW w:w="44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Decreases in tax positions for prior years</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00"/>
              <w:spacing w:after="0" w:line="184" w:lineRule="exact"/>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15"/>
                <w:szCs w:val="15"/>
                <w:color w:val="auto"/>
              </w:rPr>
            </w:pPr>
          </w:p>
        </w:tc>
        <w:tc>
          <w:tcPr>
            <w:tcW w:w="1580" w:type="dxa"/>
            <w:vAlign w:val="bottom"/>
            <w:tcBorders>
              <w:right w:val="single" w:sz="8" w:color="auto"/>
            </w:tcBorders>
            <w:gridSpan w:val="2"/>
            <w:shd w:val="clear" w:color="auto" w:fill="CCEEFF"/>
          </w:tcPr>
          <w:p>
            <w:pPr>
              <w:jc w:val="right"/>
              <w:ind w:right="700"/>
              <w:spacing w:after="0" w:line="184" w:lineRule="exact"/>
              <w:rPr>
                <w:sz w:val="20"/>
                <w:szCs w:val="20"/>
                <w:color w:val="auto"/>
              </w:rPr>
            </w:pPr>
            <w:r>
              <w:rPr>
                <w:rFonts w:ascii="Arial" w:cs="Arial" w:eastAsia="Arial" w:hAnsi="Arial"/>
                <w:sz w:val="17"/>
                <w:szCs w:val="17"/>
                <w:color w:val="auto"/>
              </w:rPr>
              <w:t>(8)</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183"/>
        </w:trPr>
        <w:tc>
          <w:tcPr>
            <w:tcW w:w="4460" w:type="dxa"/>
            <w:vAlign w:val="bottom"/>
          </w:tcPr>
          <w:p>
            <w:pPr>
              <w:spacing w:after="0" w:line="184" w:lineRule="exact"/>
              <w:rPr>
                <w:sz w:val="20"/>
                <w:szCs w:val="20"/>
                <w:color w:val="auto"/>
              </w:rPr>
            </w:pPr>
            <w:r>
              <w:rPr>
                <w:rFonts w:ascii="Arial" w:cs="Arial" w:eastAsia="Arial" w:hAnsi="Arial"/>
                <w:sz w:val="17"/>
                <w:szCs w:val="17"/>
                <w:color w:val="auto"/>
              </w:rPr>
              <w:t>Increases in tax positions for current year</w:t>
            </w:r>
          </w:p>
        </w:tc>
        <w:tc>
          <w:tcPr>
            <w:tcW w:w="22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1,265</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4" w:lineRule="exact"/>
              <w:rPr>
                <w:sz w:val="20"/>
                <w:szCs w:val="20"/>
                <w:color w:val="auto"/>
              </w:rPr>
            </w:pPr>
            <w:r>
              <w:rPr>
                <w:rFonts w:ascii="Arial" w:cs="Arial" w:eastAsia="Arial" w:hAnsi="Arial"/>
                <w:sz w:val="17"/>
                <w:szCs w:val="17"/>
                <w:color w:val="auto"/>
              </w:rPr>
              <w:t>238</w:t>
            </w:r>
          </w:p>
        </w:tc>
        <w:tc>
          <w:tcPr>
            <w:tcW w:w="76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20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776</w:t>
            </w:r>
          </w:p>
        </w:tc>
      </w:tr>
      <w:tr>
        <w:trPr>
          <w:trHeight w:val="26"/>
        </w:trPr>
        <w:tc>
          <w:tcPr>
            <w:tcW w:w="4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4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Ending Balance</w:t>
            </w:r>
          </w:p>
        </w:tc>
        <w:tc>
          <w:tcPr>
            <w:tcW w:w="2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2,604</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1,353</w:t>
            </w:r>
          </w:p>
        </w:tc>
        <w:tc>
          <w:tcPr>
            <w:tcW w:w="760" w:type="dxa"/>
            <w:vAlign w:val="bottom"/>
            <w:tcBorders>
              <w:right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1,092</w:t>
            </w:r>
          </w:p>
        </w:tc>
        <w:tc>
          <w:tcPr>
            <w:tcW w:w="620" w:type="dxa"/>
            <w:vAlign w:val="bottom"/>
            <w:gridSpan w:val="2"/>
            <w:shd w:val="clear" w:color="auto" w:fill="CCEEFF"/>
          </w:tcPr>
          <w:p>
            <w:pPr>
              <w:ind w:left="340"/>
              <w:spacing w:after="0" w:line="18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938</w:t>
            </w: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Interest and penalties associated with uncertain tax positions are recognized as components of Income tax provision (benefit) in the consolidated statements of operations. There was no material change to tax-related interest and penalties during the Successor year ended December 31, 2015, the Successor Period ended December 31, 2014, the Predecessor Period ended March 31, 2014 and the Predecessor year ended December 31, 2013. As of December 31, 2015 and 2014, respectively, the Company has a liability for interest and penalties of $0.6 million and $0.3 million that is associated with related tax liabilities of $1.8 million and $0.8 million for uncertain tax positions.</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operates in various foreign, state and local jurisdictions. The number of tax years for which the statute of limitations remains open for foreign, state and local jurisdictions varies by jurisdiction and is approximately four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449"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years (2012 through 2015). For federal tax purposes, the Company’s open tax years are 2012, 2013, 2014 and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MISCELLANEOUS (EXPENSE) INCOME, NET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Miscellaneous (expense) income,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3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2"/>
                <w:szCs w:val="12"/>
                <w:color w:val="auto"/>
              </w:rPr>
            </w:pPr>
          </w:p>
        </w:tc>
        <w:tc>
          <w:tcPr>
            <w:tcW w:w="10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7"/>
              </w:rPr>
              <w:t>PERIOD ENDED</w:t>
            </w:r>
          </w:p>
        </w:tc>
        <w:tc>
          <w:tcPr>
            <w:tcW w:w="70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PERIOD ENDED</w:t>
            </w:r>
          </w:p>
        </w:tc>
        <w:tc>
          <w:tcPr>
            <w:tcW w:w="26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57"/>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3"/>
                <w:szCs w:val="13"/>
                <w:color w:val="auto"/>
              </w:rPr>
            </w:pPr>
          </w:p>
        </w:tc>
        <w:tc>
          <w:tcPr>
            <w:tcW w:w="1780" w:type="dxa"/>
            <w:vAlign w:val="bottom"/>
            <w:tcBorders>
              <w:right w:val="single" w:sz="8" w:color="auto"/>
            </w:tcBorders>
            <w:gridSpan w:val="3"/>
          </w:tcPr>
          <w:p>
            <w:pPr>
              <w:ind w:left="40"/>
              <w:spacing w:after="0" w:line="157"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9"/>
        </w:trPr>
        <w:tc>
          <w:tcPr>
            <w:tcW w:w="38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right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on foreign-currency transactions</w:t>
            </w: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(1,307)</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(1,156)</w:t>
            </w:r>
          </w:p>
        </w:tc>
        <w:tc>
          <w:tcPr>
            <w:tcW w:w="70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(114)</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(338)</w:t>
            </w:r>
          </w:p>
        </w:tc>
        <w:tc>
          <w:tcPr>
            <w:tcW w:w="100" w:type="dxa"/>
            <w:vAlign w:val="bottom"/>
            <w:shd w:val="clear" w:color="auto" w:fill="CCEEFF"/>
          </w:tcPr>
          <w:p>
            <w:pPr>
              <w:spacing w:after="0"/>
              <w:rPr>
                <w:sz w:val="15"/>
                <w:szCs w:val="15"/>
                <w:color w:val="auto"/>
              </w:rPr>
            </w:pPr>
          </w:p>
        </w:tc>
      </w:tr>
      <w:tr>
        <w:trPr>
          <w:trHeight w:val="183"/>
        </w:trPr>
        <w:tc>
          <w:tcPr>
            <w:tcW w:w="3860" w:type="dxa"/>
            <w:vAlign w:val="bottom"/>
          </w:tcPr>
          <w:p>
            <w:pPr>
              <w:spacing w:after="0" w:line="184" w:lineRule="exact"/>
              <w:rPr>
                <w:sz w:val="20"/>
                <w:szCs w:val="20"/>
                <w:color w:val="auto"/>
              </w:rPr>
            </w:pPr>
            <w:r>
              <w:rPr>
                <w:rFonts w:ascii="Arial" w:cs="Arial" w:eastAsia="Arial" w:hAnsi="Arial"/>
                <w:sz w:val="17"/>
                <w:szCs w:val="17"/>
                <w:color w:val="auto"/>
              </w:rPr>
              <w:t>Impairment loss on equity investment</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700"/>
              <w:spacing w:after="0" w:line="184"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(2,250)</w:t>
            </w:r>
          </w:p>
        </w:tc>
      </w:tr>
      <w:tr>
        <w:trPr>
          <w:trHeight w:val="183"/>
        </w:trPr>
        <w:tc>
          <w:tcPr>
            <w:tcW w:w="38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Loss on extinguishment of debt</w:t>
            </w: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tcBorders>
              <w:right w:val="single" w:sz="8" w:color="auto"/>
            </w:tcBorders>
            <w:gridSpan w:val="2"/>
            <w:shd w:val="clear" w:color="auto" w:fill="CCEEFF"/>
          </w:tcPr>
          <w:p>
            <w:pPr>
              <w:jc w:val="right"/>
              <w:ind w:right="700"/>
              <w:spacing w:after="0" w:line="18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(1,523)</w:t>
            </w:r>
          </w:p>
        </w:tc>
      </w:tr>
      <w:tr>
        <w:trPr>
          <w:trHeight w:val="183"/>
        </w:trPr>
        <w:tc>
          <w:tcPr>
            <w:tcW w:w="3860" w:type="dxa"/>
            <w:vAlign w:val="bottom"/>
          </w:tcPr>
          <w:p>
            <w:pPr>
              <w:spacing w:after="0" w:line="184" w:lineRule="exact"/>
              <w:rPr>
                <w:sz w:val="20"/>
                <w:szCs w:val="20"/>
                <w:color w:val="auto"/>
              </w:rPr>
            </w:pPr>
            <w:r>
              <w:rPr>
                <w:rFonts w:ascii="Arial" w:cs="Arial" w:eastAsia="Arial" w:hAnsi="Arial"/>
                <w:sz w:val="17"/>
                <w:szCs w:val="17"/>
                <w:color w:val="auto"/>
              </w:rPr>
              <w:t>Other income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174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7"/>
                <w:szCs w:val="17"/>
                <w:color w:val="auto"/>
              </w:rPr>
              <w:t>855</w:t>
            </w:r>
          </w:p>
        </w:tc>
        <w:tc>
          <w:tcPr>
            <w:tcW w:w="70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40"/>
              <w:spacing w:after="0" w:line="184" w:lineRule="exact"/>
              <w:rPr>
                <w:sz w:val="20"/>
                <w:szCs w:val="20"/>
                <w:color w:val="auto"/>
              </w:rPr>
            </w:pPr>
            <w:r>
              <w:rPr>
                <w:rFonts w:ascii="Arial" w:cs="Arial" w:eastAsia="Arial" w:hAnsi="Arial"/>
                <w:sz w:val="17"/>
                <w:szCs w:val="17"/>
                <w:color w:val="auto"/>
              </w:rPr>
              <w:t>1,327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2,393</w:t>
            </w:r>
          </w:p>
        </w:tc>
      </w:tr>
      <w:tr>
        <w:trPr>
          <w:trHeight w:val="26"/>
        </w:trPr>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38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Miscellaneous (expense) income, net</w:t>
            </w:r>
          </w:p>
        </w:tc>
        <w:tc>
          <w:tcPr>
            <w:tcW w:w="1060" w:type="dxa"/>
            <w:vAlign w:val="bottom"/>
            <w:gridSpan w:val="2"/>
            <w:shd w:val="clear" w:color="auto" w:fill="CCEEFF"/>
          </w:tcPr>
          <w:p>
            <w:pPr>
              <w:jc w:val="right"/>
              <w:ind w:right="69"/>
              <w:spacing w:after="0" w:line="18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80"/>
              <w:spacing w:after="0" w:line="184" w:lineRule="exact"/>
              <w:rPr>
                <w:sz w:val="20"/>
                <w:szCs w:val="20"/>
                <w:color w:val="auto"/>
              </w:rPr>
            </w:pPr>
            <w:r>
              <w:rPr>
                <w:rFonts w:ascii="Arial" w:cs="Arial" w:eastAsia="Arial" w:hAnsi="Arial"/>
                <w:sz w:val="17"/>
                <w:szCs w:val="17"/>
                <w:color w:val="auto"/>
              </w:rPr>
              <w:t>(1,133)</w:t>
            </w:r>
          </w:p>
        </w:tc>
        <w:tc>
          <w:tcPr>
            <w:tcW w:w="540" w:type="dxa"/>
            <w:vAlign w:val="bottom"/>
            <w:gridSpan w:val="2"/>
            <w:shd w:val="clear" w:color="auto" w:fill="CCEEFF"/>
          </w:tcPr>
          <w:p>
            <w:pPr>
              <w:ind w:left="260"/>
              <w:spacing w:after="0" w:line="184" w:lineRule="exact"/>
              <w:rPr>
                <w:sz w:val="20"/>
                <w:szCs w:val="20"/>
                <w:color w:val="auto"/>
              </w:rPr>
            </w:pPr>
            <w:r>
              <w:rPr>
                <w:rFonts w:ascii="Arial" w:cs="Arial" w:eastAsia="Arial" w:hAnsi="Arial"/>
                <w:sz w:val="17"/>
                <w:szCs w:val="17"/>
                <w:color w:val="auto"/>
              </w:rPr>
              <w:t>$</w:t>
            </w:r>
          </w:p>
        </w:tc>
        <w:tc>
          <w:tcPr>
            <w:tcW w:w="1500" w:type="dxa"/>
            <w:vAlign w:val="bottom"/>
            <w:tcBorders>
              <w:right w:val="single" w:sz="8" w:color="auto"/>
            </w:tcBorders>
            <w:gridSpan w:val="2"/>
            <w:shd w:val="clear" w:color="auto" w:fill="CCEEFF"/>
          </w:tcPr>
          <w:p>
            <w:pPr>
              <w:jc w:val="right"/>
              <w:ind w:right="640"/>
              <w:spacing w:after="0" w:line="184" w:lineRule="exact"/>
              <w:rPr>
                <w:sz w:val="20"/>
                <w:szCs w:val="20"/>
                <w:color w:val="auto"/>
              </w:rPr>
            </w:pPr>
            <w:r>
              <w:rPr>
                <w:rFonts w:ascii="Arial" w:cs="Arial" w:eastAsia="Arial" w:hAnsi="Arial"/>
                <w:sz w:val="17"/>
                <w:szCs w:val="17"/>
                <w:color w:val="auto"/>
              </w:rPr>
              <w:t>(301)</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40"/>
              <w:spacing w:after="0" w:line="184" w:lineRule="exact"/>
              <w:rPr>
                <w:sz w:val="20"/>
                <w:szCs w:val="20"/>
                <w:color w:val="auto"/>
              </w:rPr>
            </w:pPr>
            <w:r>
              <w:rPr>
                <w:rFonts w:ascii="Arial" w:cs="Arial" w:eastAsia="Arial" w:hAnsi="Arial"/>
                <w:sz w:val="17"/>
                <w:szCs w:val="17"/>
                <w:color w:val="auto"/>
              </w:rPr>
              <w:t>1,213</w:t>
            </w:r>
          </w:p>
        </w:tc>
        <w:tc>
          <w:tcPr>
            <w:tcW w:w="560" w:type="dxa"/>
            <w:vAlign w:val="bottom"/>
            <w:gridSpan w:val="2"/>
            <w:shd w:val="clear" w:color="auto" w:fill="CCEEFF"/>
          </w:tcPr>
          <w:p>
            <w:pPr>
              <w:ind w:left="260"/>
              <w:spacing w:after="0" w:line="18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(1,718)</w:t>
            </w:r>
          </w:p>
        </w:tc>
      </w:tr>
      <w:tr>
        <w:trPr>
          <w:trHeight w:val="20"/>
        </w:trPr>
        <w:tc>
          <w:tcPr>
            <w:tcW w:w="3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Loans</w:t>
      </w:r>
    </w:p>
    <w:p>
      <w:pPr>
        <w:spacing w:after="0" w:line="34"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Company periodically extends short term loans or advances to employees, typically upon commencement of employment. Total receivables as a result of these employee advances of $0.2 million and $0.3 million existed at December 31, 2015 and December 31, 2014, respectively and are included in the Prepaid expenses and other current assets line item of the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34"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During the Successor year ended December 31, 2015 and the Successor Period ended December 31, 2014, the Successor Company incurred management fees to Cinven of $0.3 million and $0.2 million and $0.1 million and $0.1 million in related travel expenses, respectively. As of the Successor year ended December 31, 2015 and the Successor Period ended December 31, 2014, respectively, the Company had outstanding accounts payable to Cinven of $0.1 million and $0.1 million. The Successor and Predecessor paid Transaction-related expenses on behalf of or to Cinven and CCMP.</w:t>
      </w:r>
    </w:p>
    <w:p>
      <w:pPr>
        <w:spacing w:after="0" w:line="13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Predecessor Company was obligated to pay management fees to a subsidiary of CCMP and incurred $0.1 million and $0.3 million in such fees during the Predecessor Period ended March 31, 2014 and the Predecessor year ended December 31, 2013,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Consulting Fees</w:t>
      </w:r>
    </w:p>
    <w:p>
      <w:pPr>
        <w:spacing w:after="0" w:line="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2014, the Successor Company paid $1.7 million in consulting fees to an investment banking firm in connection with the Transaction. A managing member of this firm was previously a Medpace board member.</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Capital Lease</w:t>
      </w:r>
    </w:p>
    <w:p>
      <w:pPr>
        <w:spacing w:after="0" w:line="3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Company assumed a capital lease with a former employee associated with the Company’s medical device operations. The capital lease liability is $0.1 million and $0.1 million as of December 31, 2015 and 2014, respectively. The Company made lease payments that were inclusive of interest expense totaling $0.1 million, $0.1 million and $0.1 million during the Successor year ended December 31, 2015, the Successor Period ended December 31, 2014 and the Predecessor year ended December 31, 2013,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Symplmed Pharmaceuticals, LLC (“Symplmed”)</w:t>
      </w:r>
    </w:p>
    <w:p>
      <w:pPr>
        <w:spacing w:after="0" w:line="37"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During 2013, the chief executive officer of Medpace acquired a majority ownership interest in Symplmed, a new pharmaceutical development company, and was elected to the board of directors along with two other executives. Also in 2013, Medpace entered into a Master Services Agreement (“MSA”) with Symplmed to perform clinical trials.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449" w:right="2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520"/>
        <w:spacing w:after="0" w:line="231" w:lineRule="auto"/>
        <w:rPr>
          <w:sz w:val="20"/>
          <w:szCs w:val="20"/>
          <w:color w:val="auto"/>
        </w:rPr>
      </w:pPr>
      <w:r>
        <w:rPr>
          <w:rFonts w:ascii="Arial" w:cs="Arial" w:eastAsia="Arial" w:hAnsi="Arial"/>
          <w:sz w:val="17"/>
          <w:szCs w:val="17"/>
          <w:color w:val="auto"/>
        </w:rPr>
        <w:t>In 2013, the Predecessor Company evaluated its relationship with Symplmed and concluded that Symplmed was not a variable interest entity. As the Company has no direct ownership interest or relationship other than the MSA, there were no other factors that required consolidation of Symplmed’s financial results.</w:t>
      </w:r>
    </w:p>
    <w:p>
      <w:pPr>
        <w:spacing w:after="0" w:line="143" w:lineRule="exact"/>
        <w:rPr>
          <w:sz w:val="20"/>
          <w:szCs w:val="20"/>
          <w:color w:val="auto"/>
        </w:rPr>
      </w:pPr>
    </w:p>
    <w:p>
      <w:pPr>
        <w:ind w:right="560"/>
        <w:spacing w:after="0" w:line="230" w:lineRule="auto"/>
        <w:rPr>
          <w:sz w:val="20"/>
          <w:szCs w:val="20"/>
          <w:color w:val="auto"/>
        </w:rPr>
      </w:pPr>
      <w:r>
        <w:rPr>
          <w:rFonts w:ascii="Arial" w:cs="Arial" w:eastAsia="Arial" w:hAnsi="Arial"/>
          <w:sz w:val="17"/>
          <w:szCs w:val="17"/>
          <w:color w:val="auto"/>
        </w:rPr>
        <w:t>During 2014 and 2015, the chief executive officer and other executives of Medpace made equity investments in Symplmed. Also in 2014, Symplmed entered into an Amended Master Services Agreement (the “Amended MSA”) with Medpace. The Amended MSA provides for a revised financing arrangement which allows for Symplmed to defer payments of the services provided by the Company while incurring premium service charges as consideration for the deferred payment concessions.</w:t>
      </w:r>
    </w:p>
    <w:p>
      <w:pPr>
        <w:spacing w:after="0" w:line="141"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equity contributions made by the Medpace executives prompted the Successor Company to reassess whether Symplmed is a variable interest entity. Based on the evaluation performed, Symplmed is not a variable interest entity and no other direct ownership interests exist that would require consolidation of Symplmed’s financial results.</w:t>
      </w:r>
    </w:p>
    <w:p>
      <w:pPr>
        <w:spacing w:after="0" w:line="143" w:lineRule="exact"/>
        <w:rPr>
          <w:sz w:val="20"/>
          <w:szCs w:val="20"/>
          <w:color w:val="auto"/>
        </w:rPr>
      </w:pPr>
    </w:p>
    <w:p>
      <w:pPr>
        <w:ind w:right="320"/>
        <w:spacing w:after="0" w:line="231" w:lineRule="auto"/>
        <w:rPr>
          <w:sz w:val="20"/>
          <w:szCs w:val="20"/>
          <w:color w:val="auto"/>
        </w:rPr>
      </w:pPr>
      <w:r>
        <w:rPr>
          <w:rFonts w:ascii="Arial" w:cs="Arial" w:eastAsia="Arial" w:hAnsi="Arial"/>
          <w:sz w:val="17"/>
          <w:szCs w:val="17"/>
          <w:color w:val="auto"/>
        </w:rPr>
        <w:t>During the Successor year ended December 31, 2015 and the Successor Period ended December 31, 2014 the Company recognized related party transactions of $1.2 million and $1.2 million as service revenue in the consolidated statements of operations, respectively. As of December 31, 2015 the Company had accounts receivable from Symplmed of $0.3 million recorded in the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Coherus BioSciences, Inc. (“Coherus”) and MX II Associates, LLC (“MXII”)</w:t>
      </w:r>
    </w:p>
    <w:p>
      <w:pPr>
        <w:spacing w:after="0" w:line="3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During 2011 a related party of the Company in which the Company’s chief executive officer is the managing member, MXII, made an investment in Coherus. In early 2012 the Company made a $2.5 million investment in Coherus. Concurrent with the initial investment, MXII secured the exclusive rights for Medpace to perform Phase I through Phase III clinical trial work for certain Coherus’ “bio-similar” drug compounds executed through a MSA. In return, Medpace agreed to pay a 10% sales commission to MXII on cash received from Coherus. The commission agreement between the Company and MXII was terminated during 2015 but did not impact the MSA between the Company and Coherus. Accordingly, Medpace paid a $0.3 million sales commission during 2012 pursuant to a $2.5 million advance payment received from Coherus for the aforementioned clinical trial work. In addition, Medpace paid commissions of $1.1 million, $0.6 million and $0.3 million during the Successor year ended December 31, 2015, the Successor Period ended December 31, 2014 and the Predecessor Period ended March 31, 2014, respectively, and were recorded in Selling, general and administrative in the consolidated statements of operations. During the Successor year ended December 31, 2015, the Successor Period ended December 31, 2014, the Predecessor Period ended March 31, 2014 and the Predecessor year ended December 31, 2013, the Company recognized service revenue of $22.1 million, $10.6 million, $2.0 million, and $3.3 million from Coherus in the Company’s consolidated statements of operations, respectively. In addition, the company recognized Reimbursed out-of-pocket revenue and Reimbursed out-of-pocket expenses with Coherus in the consolidated statements of operations of $6.9 million, $2.0 million, $0.1 million and $0.1 million during the Successor year ended December 31, 2015, the Successor Period ended December 31, 2014, the Predecessor Period ended March 31, 2014 and the Predecessor year ended December 31, 2013, respectively. As of December 31, 2015 and December 31, 2014 the Company had accounts receivable from Coherus of $2.0 million and $0.7 million recorded in the consolidated balance sheets, respectively. In addition, the Company had Advanced billings of $8.4 million and $5.3 million and Pre-funded study costs of $3.5 million and $2.4 million with Coherus recorded in the consolidated balance sheets at December 31, 2015 and 2014, respectively.</w:t>
      </w:r>
    </w:p>
    <w:p>
      <w:pPr>
        <w:spacing w:after="0" w:line="144"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As of December 31, 2013, the Predecessor Company recorded an impairment loss of $2.3 million on its cost method investment in Coherus in contemplation of the ultimate liquidation of this investment prior to the Transaction. The impairment loss is reflected as a component of Miscellaneous (expense) income, net in the consolidated statements of operations. In March 2014, the investment was sold to Medpace Investors for $0.3 million and was reflected in the other income component of Miscellaneous (expense) income, net in the consolidated statements of operations for the Predecessor Period ended March 31, 2014.</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Xenon Pharmaceuticals, Inc. (“Xenon”)</w:t>
      </w:r>
    </w:p>
    <w:p>
      <w:pPr>
        <w:spacing w:after="0" w:line="32"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450" w:right="2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360"/>
        <w:spacing w:after="0" w:line="231" w:lineRule="auto"/>
        <w:rPr>
          <w:sz w:val="20"/>
          <w:szCs w:val="20"/>
          <w:color w:val="auto"/>
        </w:rPr>
      </w:pPr>
      <w:r>
        <w:rPr>
          <w:rFonts w:ascii="Arial" w:cs="Arial" w:eastAsia="Arial" w:hAnsi="Arial"/>
          <w:sz w:val="17"/>
          <w:szCs w:val="17"/>
          <w:color w:val="auto"/>
        </w:rPr>
        <w:t>provide certain clinical development services. During the Successor year ended December 31, 2015 the Company recognized service revenue of $0.7 million in the Company’s consolidated statements of operations. As of December 31, 2015, the Company had $1.8 million and $0.2 million of Advanced billings and Pre-funded study costs, respectively, in the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Medpace Investors, LLC</w:t>
      </w:r>
    </w:p>
    <w:p>
      <w:pPr>
        <w:spacing w:after="0" w:line="3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Medpace Investors is a noncontrolling shareholder and related party of Medpace Holdings, Inc. Medpace Investors is owned and managed by employees of the Company. The chief executive officer of Medpace is also the manager and majority unit holder of Medpace Investors. The Successor Company acts as a paying agent for Medpace Investors with taxing authorities principally in instances when employee tax payments or remittance of withholdings related to equity compensation are required. During the Successor year ended December 31, 2015 and the Successor Period ended December 31, 2014, the Successor Company paid $0.9 million and $1.4 million to various taxing authorities on behalf of Medpace Investors.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Leased Real Estate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 Lease</w:t>
      </w:r>
    </w:p>
    <w:p>
      <w:pPr>
        <w:spacing w:after="0" w:line="37"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The Predecessor Company entered into an operating lease with 100 Medpace Way, LLC (“100 MW”), which is wholly owned by the chief executive officer of the Company, for an initial term of twelve years with a renewal option for one 10-year term at prevailing market rates. The Company pays rent, taxes, insurance, and maintenance expenses that arise from the use of the property. Annual base rent in effect at December 31, 2015 under the lease agreement is $2.1 million. The lease allows for adjustments to the rental rate annually for increases in the consumer price index.</w:t>
      </w:r>
    </w:p>
    <w:p>
      <w:pPr>
        <w:spacing w:after="0" w:line="141"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For the Successor year ended December 31, 2015, the Successor Period ended December 31, 2014, the Predecessor Period ended March 31, 2014 and the Predecessor year ended December 31, 2013, lease expense for 100 MW of $2.1 million, $1.6 million, $0.5 million and $2.1 million, respectively, was allocated between Direct costs, excluding depreciation and amortization, and Selling, general and administrative in the consolidated statements of operations. Additionally, the Successor Company prepaid $0.2 million in lease payments to 100 MW which is recorded as a component of Prepaid expenses and other current assets on the consolidated balance sheet at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Deemed Assets and Deemed Landlord Liabilities</w:t>
      </w:r>
    </w:p>
    <w:p>
      <w:pPr>
        <w:spacing w:after="0" w:line="45"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The Predecessor Company entered into two multi-year leases of office space commencing in July 2012 and September 2012 with 200 Medpace Way, LLC (“200 MW”) and 300 Medpace Way, LLC (“300 MW”), respectively. Both 200 MW and 300 MW are wholly owned by the Company’s chief executive officer and certain of his immediate family. The Company recognizes Deemed landlord liabilities according to their term in the consolidated balance sheets. The obligation was initially recorded by the Predecessor Company at its net present value using the notional rates implicit in the lease agreements. The Successor Company revalued the liability by calculating the net present value using the Company’s incremental borrowing rate at the time of the Transaction. Accretion expense is being recorded over the term of the lease as a component of Interest expense, net in the Company’s consolidated statements of operations. During the Successor year ended December 31, 2015, the Successor Period ended December 31, 2014, the Predecessor Period ended March 31, 2014 and the Predecessor year ended December 31, 2013, the Company paid $3.4 million, $3.1 million, $0.9 million and $2.7 million, respectively, in rents, which are accounted for as principal and interest payments on the Deemed landlord liability in accordance with the accounting guidance governing such transactions.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Travel Services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ATSB Aviation</w:t>
      </w:r>
    </w:p>
    <w:p>
      <w:pPr>
        <w:spacing w:after="0" w:line="45"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which is owned by the chief executive officer and another executive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any personal travel paid for as part of the executives’ compensation arrangements. The Aircraft Management Company also makes the Private Aviation Charter aircraft available to other third parties. The Company incurred travel expenses of $0.9 million, $0.5 million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449"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$0.1 million during the Successor year ended December 31, 2015, the Successor Period ended December 31, 2014 and the Predecessor Period ended March 31, 2014, respectively, related to these travel services, and are recorded in Selling, general and administrative in the Company’s consolidated statements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Purchases</w:t>
      </w:r>
    </w:p>
    <w:p>
      <w:pPr>
        <w:spacing w:after="0" w:line="3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During 2015, an employee of the Company entered into a stock purchase agreement (“SPA”) with the Company that permitted the purchase of 37,037 shares of the Company’s common stock at the then-current value for those shares. There was no stock-based compensation expense recognized in relation to the SPA due to no required services to be rendered in exchange for shares. The proceeds from this SPA are reflected as Proceeds from sale of common stock in the consolidated statement of cash flows for the Successor year ended 2015.</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During 2013, the chief executive officer of the Company entered into a SPA with the Company that permitted him to purchase 120,000 shares of the Company’s common stock at the then-current market value for those shares. In exchange, the chief executive officer agreed to forfeit his ownership of 80,000 unvested stock options that were originally scheduled to vest at various dates through 2016. The proceeds from this stock purchase are reflected as Stock issued and Proceeds from sale of common stock, respectively, in the Predecessor Company’s consolidated statement of shareholders’ equity and consolidated statement of cash flows for the Predecessor year ended December 31, 2013.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Obligations Related to Former Owners</w:t>
      </w:r>
    </w:p>
    <w:p>
      <w:pPr>
        <w:spacing w:after="0" w:line="34"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Pursuant to the Medpace, Inc. Stock Purchase Agreement dated June 17, 2011 (the “Predecessor Purchase Agreement”), certain tax indemnifications between the sellers (a group led by the former majority shareholder who is the current chief executive officer, the “Former Owners”) and the buyers (led by CCMP) were entered into regarding contingencies that could arise after the June 17, 2011 transaction, as well as tax payments or refunds that were finalized after June 17, 2011 but which relate to periods prior to the Predecessor Purchase Agreement date. In February 2015, a settlement was reached with a local taxing authority regarding the refund of income tax payments made by the Company prior to June 17, 2011. On the consolidated balance sheets at December 31, 2015 and 2014, the Successor has $0.4 million and $0.6 million in Prepaid expenses and other current assets and Other assets related to the tax refund due from the local taxing authority and $0.4 million and $0.6 million in Other current liabilities and Other long-term liabilities representing the obligation to the Former Owners. The Successor has $0.1 million and $0.1 million in Prepaid expenses and other current assets and $0.1 million and $0.3 million in Other current liabilities on the consolidated balance sheets at December 31, 2015 and 2014, associated with refunds from various other taxing authorities that were generated prior to June 17, 2011.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ACQUISITION AND INTEGRATION EXPENSES</w:t>
      </w:r>
    </w:p>
    <w:p>
      <w:pPr>
        <w:spacing w:after="0" w:line="96"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The Successor Company and the Predecessor Company incurred $9.3 million and $12.4 million of one-time Acquisition and integration expenses related to the Transaction during the Successor Period ended December 31, 2014 and the Predecessor Period ended March 31, 2014, respectively, primarily for investment banking, legal, accounting, consulting and other advisory fees.</w:t>
      </w:r>
    </w:p>
    <w:p>
      <w:pPr>
        <w:spacing w:after="0" w:line="178" w:lineRule="exact"/>
        <w:rPr>
          <w:sz w:val="20"/>
          <w:szCs w:val="20"/>
          <w:color w:val="auto"/>
        </w:rPr>
      </w:pPr>
    </w:p>
    <w:p>
      <w:pPr>
        <w:ind w:right="8560" w:firstLine="5"/>
        <w:spacing w:after="0" w:line="307" w:lineRule="auto"/>
        <w:tabs>
          <w:tab w:leader="none" w:pos="29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ENTITY WIDE DISCLOSURES </w:t>
      </w:r>
      <w:r>
        <w:rPr>
          <w:rFonts w:ascii="Arial" w:cs="Arial" w:eastAsia="Arial" w:hAnsi="Arial"/>
          <w:sz w:val="16"/>
          <w:szCs w:val="16"/>
          <w:b w:val="1"/>
          <w:bCs w:val="1"/>
          <w:i w:val="1"/>
          <w:iCs w:val="1"/>
          <w:color w:val="auto"/>
        </w:rPr>
        <w:t>Operations By Geographic Location</w:t>
      </w:r>
    </w:p>
    <w:p>
      <w:pPr>
        <w:spacing w:after="0" w:line="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Company conducts operations in North America, Europe, Africa, Asia-Pacific and Latin America through wholly-owned subsidiaries and representative sales offices. The Company attributes service revenue to geographical locations based upon the location of the contracting entity. Service revenue attributable to the U.S. represent approximately 98% of total consolidated service revenue, net. No other country or region represents more than 5% of service revenue, net.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00"/>
          </w:cols>
          <w:pgMar w:left="240" w:top="449" w:right="25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following table summarizes property and equipment, net by geographic region and is further broken down to show countries which account for 10% or more of total as of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40" w:type="dxa"/>
            <w:vAlign w:val="bottom"/>
          </w:tcPr>
          <w:p>
            <w:pPr>
              <w:spacing w:after="0"/>
              <w:rPr>
                <w:sz w:val="14"/>
                <w:szCs w:val="14"/>
                <w:color w:val="auto"/>
              </w:rPr>
            </w:pPr>
          </w:p>
        </w:tc>
        <w:tc>
          <w:tcPr>
            <w:tcW w:w="178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w:t>
            </w:r>
          </w:p>
        </w:tc>
      </w:tr>
      <w:tr>
        <w:trPr>
          <w:trHeight w:val="150"/>
        </w:trPr>
        <w:tc>
          <w:tcPr>
            <w:tcW w:w="9640" w:type="dxa"/>
            <w:vAlign w:val="bottom"/>
          </w:tcPr>
          <w:p>
            <w:pPr>
              <w:spacing w:after="0"/>
              <w:rPr>
                <w:sz w:val="13"/>
                <w:szCs w:val="13"/>
                <w:color w:val="auto"/>
              </w:rPr>
            </w:pPr>
          </w:p>
        </w:tc>
        <w:tc>
          <w:tcPr>
            <w:tcW w:w="620" w:type="dxa"/>
            <w:vAlign w:val="bottom"/>
            <w:tcBorders>
              <w:top w:val="single" w:sz="8" w:color="auto"/>
            </w:tcBorders>
          </w:tcPr>
          <w:p>
            <w:pPr>
              <w:jc w:val="right"/>
              <w:ind w:right="80"/>
              <w:spacing w:after="0" w:line="150"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tcBorders>
            <w:gridSpan w:val="2"/>
          </w:tcPr>
          <w:p>
            <w:pPr>
              <w:jc w:val="right"/>
              <w:ind w:right="77"/>
              <w:spacing w:after="0" w:line="150"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63"/>
        </w:trPr>
        <w:tc>
          <w:tcPr>
            <w:tcW w:w="964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Property and equipment, net:</w:t>
            </w:r>
          </w:p>
        </w:tc>
        <w:tc>
          <w:tcPr>
            <w:tcW w:w="6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3"/>
        </w:trPr>
        <w:tc>
          <w:tcPr>
            <w:tcW w:w="9640" w:type="dxa"/>
            <w:vAlign w:val="bottom"/>
          </w:tcPr>
          <w:p>
            <w:pPr>
              <w:spacing w:after="0" w:line="184" w:lineRule="exact"/>
              <w:rPr>
                <w:sz w:val="20"/>
                <w:szCs w:val="20"/>
                <w:color w:val="auto"/>
              </w:rPr>
            </w:pPr>
            <w:r>
              <w:rPr>
                <w:rFonts w:ascii="Arial" w:cs="Arial" w:eastAsia="Arial" w:hAnsi="Arial"/>
                <w:sz w:val="17"/>
                <w:szCs w:val="17"/>
                <w:color w:val="auto"/>
              </w:rPr>
              <w:t>United States</w:t>
            </w: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w w:val="97"/>
              </w:rPr>
              <w:t>$28,152</w:t>
            </w:r>
          </w:p>
        </w:tc>
        <w:tc>
          <w:tcPr>
            <w:tcW w:w="1160" w:type="dxa"/>
            <w:vAlign w:val="bottom"/>
            <w:gridSpan w:val="3"/>
          </w:tcPr>
          <w:p>
            <w:pPr>
              <w:jc w:val="right"/>
              <w:ind w:right="100"/>
              <w:spacing w:after="0" w:line="184" w:lineRule="exact"/>
              <w:rPr>
                <w:sz w:val="20"/>
                <w:szCs w:val="20"/>
                <w:color w:val="auto"/>
              </w:rPr>
            </w:pPr>
            <w:r>
              <w:rPr>
                <w:rFonts w:ascii="Arial" w:cs="Arial" w:eastAsia="Arial" w:hAnsi="Arial"/>
                <w:sz w:val="17"/>
                <w:szCs w:val="17"/>
                <w:color w:val="auto"/>
              </w:rPr>
              <w:t>$29,928</w:t>
            </w:r>
          </w:p>
        </w:tc>
      </w:tr>
      <w:tr>
        <w:trPr>
          <w:trHeight w:val="183"/>
        </w:trPr>
        <w:tc>
          <w:tcPr>
            <w:tcW w:w="96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Europe:</w:t>
            </w: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9640" w:type="dxa"/>
            <w:vAlign w:val="bottom"/>
          </w:tcPr>
          <w:p>
            <w:pPr>
              <w:ind w:left="260"/>
              <w:spacing w:after="0" w:line="184" w:lineRule="exact"/>
              <w:rPr>
                <w:sz w:val="20"/>
                <w:szCs w:val="20"/>
                <w:color w:val="auto"/>
              </w:rPr>
            </w:pPr>
            <w:r>
              <w:rPr>
                <w:rFonts w:ascii="Arial" w:cs="Arial" w:eastAsia="Arial" w:hAnsi="Arial"/>
                <w:sz w:val="17"/>
                <w:szCs w:val="17"/>
                <w:color w:val="auto"/>
              </w:rPr>
              <w:t>Belgium</w:t>
            </w:r>
          </w:p>
        </w:tc>
        <w:tc>
          <w:tcPr>
            <w:tcW w:w="620" w:type="dxa"/>
            <w:vAlign w:val="bottom"/>
          </w:tcPr>
          <w:p>
            <w:pPr>
              <w:jc w:val="right"/>
              <w:spacing w:after="0" w:line="184" w:lineRule="exact"/>
              <w:rPr>
                <w:sz w:val="20"/>
                <w:szCs w:val="20"/>
                <w:color w:val="auto"/>
              </w:rPr>
            </w:pPr>
            <w:r>
              <w:rPr>
                <w:rFonts w:ascii="Arial" w:cs="Arial" w:eastAsia="Arial" w:hAnsi="Arial"/>
                <w:sz w:val="17"/>
                <w:szCs w:val="17"/>
                <w:color w:val="auto"/>
              </w:rPr>
              <w:t>3,896</w:t>
            </w:r>
          </w:p>
        </w:tc>
        <w:tc>
          <w:tcPr>
            <w:tcW w:w="1160" w:type="dxa"/>
            <w:vAlign w:val="bottom"/>
            <w:gridSpan w:val="3"/>
          </w:tcPr>
          <w:p>
            <w:pPr>
              <w:jc w:val="right"/>
              <w:ind w:right="100"/>
              <w:spacing w:after="0" w:line="184" w:lineRule="exact"/>
              <w:rPr>
                <w:sz w:val="20"/>
                <w:szCs w:val="20"/>
                <w:color w:val="auto"/>
              </w:rPr>
            </w:pPr>
            <w:r>
              <w:rPr>
                <w:rFonts w:ascii="Arial" w:cs="Arial" w:eastAsia="Arial" w:hAnsi="Arial"/>
                <w:sz w:val="17"/>
                <w:szCs w:val="17"/>
                <w:color w:val="auto"/>
              </w:rPr>
              <w:t>3,947</w:t>
            </w:r>
          </w:p>
        </w:tc>
      </w:tr>
      <w:tr>
        <w:trPr>
          <w:trHeight w:val="183"/>
        </w:trPr>
        <w:tc>
          <w:tcPr>
            <w:tcW w:w="96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w:t>
            </w: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3,968</w:t>
            </w:r>
          </w:p>
        </w:tc>
        <w:tc>
          <w:tcPr>
            <w:tcW w:w="4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2,719</w:t>
            </w:r>
          </w:p>
        </w:tc>
        <w:tc>
          <w:tcPr>
            <w:tcW w:w="100" w:type="dxa"/>
            <w:vAlign w:val="bottom"/>
            <w:shd w:val="clear" w:color="auto" w:fill="CCEEFF"/>
          </w:tcPr>
          <w:p>
            <w:pPr>
              <w:spacing w:after="0"/>
              <w:rPr>
                <w:sz w:val="15"/>
                <w:szCs w:val="15"/>
                <w:color w:val="auto"/>
              </w:rPr>
            </w:pPr>
          </w:p>
        </w:tc>
      </w:tr>
      <w:tr>
        <w:trPr>
          <w:trHeight w:val="190"/>
        </w:trPr>
        <w:tc>
          <w:tcPr>
            <w:tcW w:w="9640" w:type="dxa"/>
            <w:vAlign w:val="bottom"/>
          </w:tcPr>
          <w:p>
            <w:pPr>
              <w:ind w:left="500"/>
              <w:spacing w:after="0" w:line="189" w:lineRule="exact"/>
              <w:rPr>
                <w:sz w:val="20"/>
                <w:szCs w:val="20"/>
                <w:color w:val="auto"/>
              </w:rPr>
            </w:pPr>
            <w:r>
              <w:rPr>
                <w:rFonts w:ascii="Arial" w:cs="Arial" w:eastAsia="Arial" w:hAnsi="Arial"/>
                <w:sz w:val="17"/>
                <w:szCs w:val="17"/>
                <w:color w:val="auto"/>
              </w:rPr>
              <w:t>Total Europe</w:t>
            </w: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7,864</w:t>
            </w:r>
          </w:p>
        </w:tc>
        <w:tc>
          <w:tcPr>
            <w:tcW w:w="11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6,666</w:t>
            </w:r>
          </w:p>
        </w:tc>
      </w:tr>
      <w:tr>
        <w:trPr>
          <w:trHeight w:val="183"/>
        </w:trPr>
        <w:tc>
          <w:tcPr>
            <w:tcW w:w="96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Other</w:t>
            </w: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1,496</w:t>
            </w:r>
          </w:p>
        </w:tc>
        <w:tc>
          <w:tcPr>
            <w:tcW w:w="4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5"/>
                <w:szCs w:val="15"/>
                <w:color w:val="auto"/>
              </w:rPr>
            </w:pPr>
          </w:p>
        </w:tc>
      </w:tr>
      <w:tr>
        <w:trPr>
          <w:trHeight w:val="190"/>
        </w:trPr>
        <w:tc>
          <w:tcPr>
            <w:tcW w:w="9640" w:type="dxa"/>
            <w:vAlign w:val="bottom"/>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620" w:type="dxa"/>
            <w:vAlign w:val="bottom"/>
          </w:tcPr>
          <w:p>
            <w:pPr>
              <w:jc w:val="right"/>
              <w:spacing w:after="0" w:line="189"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37,512</w:t>
            </w:r>
          </w:p>
        </w:tc>
        <w:tc>
          <w:tcPr>
            <w:tcW w:w="1160" w:type="dxa"/>
            <w:vAlign w:val="bottom"/>
            <w:gridSpan w:val="3"/>
          </w:tcPr>
          <w:p>
            <w:pPr>
              <w:jc w:val="right"/>
              <w:ind w:right="1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38,084</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9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 &amp; Services</w:t>
      </w:r>
    </w:p>
    <w:p>
      <w:pPr>
        <w:spacing w:after="0" w:line="73"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Clinical research services and laboratory services represented approximately 87% and 13%, 85% and 15%, 85% and 15%, and 86% and 14% of consolidated service revenue, net for the Successor year ended December 31, 2015 and period ended December 31, 2014 and the Predecessor Period ended March 31, 2014 and year ended December 31,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96" w:lineRule="exact"/>
        <w:rPr>
          <w:sz w:val="20"/>
          <w:szCs w:val="20"/>
          <w:color w:val="auto"/>
        </w:rPr>
      </w:pPr>
    </w:p>
    <w:p>
      <w:pPr>
        <w:ind w:right="280"/>
        <w:spacing w:after="0" w:line="231" w:lineRule="auto"/>
        <w:rPr>
          <w:sz w:val="20"/>
          <w:szCs w:val="20"/>
          <w:color w:val="auto"/>
        </w:rPr>
      </w:pPr>
      <w:r>
        <w:rPr>
          <w:rFonts w:ascii="Arial" w:cs="Arial" w:eastAsia="Arial" w:hAnsi="Arial"/>
          <w:sz w:val="17"/>
          <w:szCs w:val="17"/>
          <w:color w:val="auto"/>
        </w:rPr>
        <w:t>The Company has evaluated subsequent events through March 1, 2016, the date the consolidated financial statements were available to be issued, and July 25, 2016, the date on which the retrospectively revised Successor consolidated financial statements were issued (as to the reverse stock split described in Note 3), and determined that the following event required recognition or disclosure in the financial statements:</w:t>
      </w:r>
    </w:p>
    <w:p>
      <w:pPr>
        <w:spacing w:after="0" w:line="14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As disclosed in Note 3, on July 25, 2016, the Board of Directors of the Company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449"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040" w:type="dxa"/>
            <w:vAlign w:val="bottom"/>
          </w:tcPr>
          <w:p>
            <w:pPr>
              <w:spacing w:after="0"/>
              <w:rPr>
                <w:sz w:val="12"/>
                <w:szCs w:val="12"/>
                <w:color w:val="auto"/>
              </w:rPr>
            </w:pPr>
          </w:p>
        </w:tc>
        <w:tc>
          <w:tcPr>
            <w:tcW w:w="840" w:type="dxa"/>
            <w:vAlign w:val="bottom"/>
            <w:gridSpan w:val="3"/>
          </w:tcPr>
          <w:p>
            <w:pPr>
              <w:jc w:val="right"/>
              <w:ind w:right="180"/>
              <w:spacing w:after="0" w:line="139"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4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40" w:type="dxa"/>
            <w:vAlign w:val="bottom"/>
          </w:tcPr>
          <w:p>
            <w:pPr>
              <w:spacing w:after="0" w:line="184"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13,674</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14,880</w:t>
            </w:r>
          </w:p>
        </w:tc>
        <w:tc>
          <w:tcPr>
            <w:tcW w:w="0" w:type="dxa"/>
            <w:vAlign w:val="bottom"/>
          </w:tcPr>
          <w:p>
            <w:pPr>
              <w:spacing w:after="0"/>
              <w:rPr>
                <w:sz w:val="1"/>
                <w:szCs w:val="1"/>
                <w:color w:val="auto"/>
              </w:rPr>
            </w:pPr>
          </w:p>
        </w:tc>
      </w:tr>
      <w:tr>
        <w:trPr>
          <w:trHeight w:val="183"/>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Restricted cash</w:t>
            </w:r>
          </w:p>
        </w:tc>
        <w:tc>
          <w:tcPr>
            <w:tcW w:w="10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rPr>
              <w:t>3,366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2,857</w:t>
            </w:r>
          </w:p>
        </w:tc>
        <w:tc>
          <w:tcPr>
            <w:tcW w:w="0" w:type="dxa"/>
            <w:vAlign w:val="bottom"/>
          </w:tcPr>
          <w:p>
            <w:pPr>
              <w:spacing w:after="0"/>
              <w:rPr>
                <w:sz w:val="1"/>
                <w:szCs w:val="1"/>
                <w:color w:val="auto"/>
              </w:rPr>
            </w:pPr>
          </w:p>
        </w:tc>
      </w:tr>
      <w:tr>
        <w:trPr>
          <w:trHeight w:val="177"/>
        </w:trPr>
        <w:tc>
          <w:tcPr>
            <w:tcW w:w="904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Accounts receivable and unbilled, net (includes $3.8 million and $2.9 million with related parties at June 30, 2016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and December 31, 2015, respectively)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90,048</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65,088</w:t>
            </w:r>
          </w:p>
        </w:tc>
        <w:tc>
          <w:tcPr>
            <w:tcW w:w="0" w:type="dxa"/>
            <w:vAlign w:val="bottom"/>
          </w:tcPr>
          <w:p>
            <w:pPr>
              <w:spacing w:after="0"/>
              <w:rPr>
                <w:sz w:val="1"/>
                <w:szCs w:val="1"/>
                <w:color w:val="auto"/>
              </w:rPr>
            </w:pPr>
          </w:p>
        </w:tc>
      </w:tr>
      <w:tr>
        <w:trPr>
          <w:trHeight w:val="190"/>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20,402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11,896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4"/>
              </w:rPr>
              <w:t>127,490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94,721</w:t>
            </w:r>
          </w:p>
        </w:tc>
        <w:tc>
          <w:tcPr>
            <w:tcW w:w="0" w:type="dxa"/>
            <w:vAlign w:val="bottom"/>
          </w:tcPr>
          <w:p>
            <w:pPr>
              <w:spacing w:after="0"/>
              <w:rPr>
                <w:sz w:val="1"/>
                <w:szCs w:val="1"/>
                <w:color w:val="auto"/>
              </w:rPr>
            </w:pPr>
          </w:p>
        </w:tc>
      </w:tr>
      <w:tr>
        <w:trPr>
          <w:trHeight w:val="183"/>
        </w:trPr>
        <w:tc>
          <w:tcPr>
            <w:tcW w:w="9040" w:type="dxa"/>
            <w:vAlign w:val="bottom"/>
          </w:tcPr>
          <w:p>
            <w:pPr>
              <w:spacing w:after="0" w:line="184"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rPr>
              <w:t>40,168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37,512</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4"/>
              </w:rPr>
              <w:t>660,981</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660,981</w:t>
            </w:r>
          </w:p>
        </w:tc>
        <w:tc>
          <w:tcPr>
            <w:tcW w:w="0" w:type="dxa"/>
            <w:vAlign w:val="bottom"/>
          </w:tcPr>
          <w:p>
            <w:pPr>
              <w:spacing w:after="0"/>
              <w:rPr>
                <w:sz w:val="1"/>
                <w:szCs w:val="1"/>
                <w:color w:val="auto"/>
              </w:rPr>
            </w:pPr>
          </w:p>
        </w:tc>
      </w:tr>
      <w:tr>
        <w:trPr>
          <w:trHeight w:val="183"/>
        </w:trPr>
        <w:tc>
          <w:tcPr>
            <w:tcW w:w="9040" w:type="dxa"/>
            <w:vAlign w:val="bottom"/>
          </w:tcPr>
          <w:p>
            <w:pPr>
              <w:spacing w:after="0" w:line="184" w:lineRule="exact"/>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w w:val="94"/>
              </w:rPr>
              <w:t>161,407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126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90"/>
        </w:trPr>
        <w:tc>
          <w:tcPr>
            <w:tcW w:w="9040" w:type="dxa"/>
            <w:vAlign w:val="bottom"/>
          </w:tcPr>
          <w:p>
            <w:pPr>
              <w:spacing w:after="0" w:line="184" w:lineRule="exact"/>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4,691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3,927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u w:val="single" w:color="auto"/>
                <w:color w:val="auto"/>
                <w:w w:val="84"/>
              </w:rPr>
              <w:t>$</w:t>
            </w: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4"/>
              </w:rPr>
              <w:t>994,863</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984,041</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rPr>
              <w:t>7,227</w:t>
            </w:r>
          </w:p>
        </w:tc>
        <w:tc>
          <w:tcPr>
            <w:tcW w:w="140" w:type="dxa"/>
            <w:vAlign w:val="bottom"/>
          </w:tcPr>
          <w:p>
            <w:pPr>
              <w:spacing w:after="0"/>
              <w:rPr>
                <w:sz w:val="15"/>
                <w:szCs w:val="15"/>
                <w:color w:val="auto"/>
              </w:rPr>
            </w:pPr>
          </w:p>
        </w:tc>
        <w:tc>
          <w:tcPr>
            <w:tcW w:w="640" w:type="dxa"/>
            <w:vAlign w:val="bottom"/>
            <w:gridSpan w:val="2"/>
          </w:tcPr>
          <w:p>
            <w:pPr>
              <w:ind w:left="400"/>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8,728</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18,683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20,111</w:t>
            </w:r>
          </w:p>
        </w:tc>
        <w:tc>
          <w:tcPr>
            <w:tcW w:w="0" w:type="dxa"/>
            <w:vAlign w:val="bottom"/>
          </w:tcPr>
          <w:p>
            <w:pPr>
              <w:spacing w:after="0"/>
              <w:rPr>
                <w:sz w:val="1"/>
                <w:szCs w:val="1"/>
                <w:color w:val="auto"/>
              </w:rPr>
            </w:pPr>
          </w:p>
        </w:tc>
      </w:tr>
      <w:tr>
        <w:trPr>
          <w:trHeight w:val="177"/>
        </w:trPr>
        <w:tc>
          <w:tcPr>
            <w:tcW w:w="9040" w:type="dxa"/>
            <w:vAlign w:val="bottom"/>
          </w:tcPr>
          <w:p>
            <w:pPr>
              <w:ind w:left="260"/>
              <w:spacing w:after="0" w:line="177" w:lineRule="exact"/>
              <w:rPr>
                <w:sz w:val="20"/>
                <w:szCs w:val="20"/>
                <w:color w:val="auto"/>
              </w:rPr>
            </w:pPr>
            <w:r>
              <w:rPr>
                <w:rFonts w:ascii="Arial" w:cs="Arial" w:eastAsia="Arial" w:hAnsi="Arial"/>
                <w:sz w:val="17"/>
                <w:szCs w:val="17"/>
                <w:color w:val="auto"/>
              </w:rPr>
              <w:t>Pre-funded study costs (includes $4.3 million and $3.7 million with related parties at June 30, 2016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40" w:type="dxa"/>
            <w:vAlign w:val="bottom"/>
          </w:tcPr>
          <w:p>
            <w:pPr>
              <w:ind w:left="500"/>
              <w:spacing w:after="0" w:line="189" w:lineRule="exact"/>
              <w:rPr>
                <w:sz w:val="20"/>
                <w:szCs w:val="20"/>
                <w:color w:val="auto"/>
              </w:rPr>
            </w:pPr>
            <w:r>
              <w:rPr>
                <w:rFonts w:ascii="Arial" w:cs="Arial" w:eastAsia="Arial" w:hAnsi="Arial"/>
                <w:sz w:val="17"/>
                <w:szCs w:val="17"/>
                <w:color w:val="auto"/>
              </w:rPr>
              <w:t>December 31, 2015, respectively)</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48,971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46,599</w:t>
            </w:r>
          </w:p>
        </w:tc>
        <w:tc>
          <w:tcPr>
            <w:tcW w:w="0" w:type="dxa"/>
            <w:vAlign w:val="bottom"/>
          </w:tcPr>
          <w:p>
            <w:pPr>
              <w:spacing w:after="0"/>
              <w:rPr>
                <w:sz w:val="1"/>
                <w:szCs w:val="1"/>
                <w:color w:val="auto"/>
              </w:rPr>
            </w:pPr>
          </w:p>
        </w:tc>
      </w:tr>
      <w:tr>
        <w:trPr>
          <w:trHeight w:val="177"/>
        </w:trPr>
        <w:tc>
          <w:tcPr>
            <w:tcW w:w="904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Advanced billings (includes $11.5 million and $10.2 million with related parties at June 30, 2016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December 31, 2015, respectively)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66,084</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51,051</w:t>
            </w:r>
          </w:p>
        </w:tc>
        <w:tc>
          <w:tcPr>
            <w:tcW w:w="0" w:type="dxa"/>
            <w:vAlign w:val="bottom"/>
          </w:tcPr>
          <w:p>
            <w:pPr>
              <w:spacing w:after="0"/>
              <w:rPr>
                <w:sz w:val="1"/>
                <w:szCs w:val="1"/>
                <w:color w:val="auto"/>
              </w:rPr>
            </w:pPr>
          </w:p>
        </w:tc>
      </w:tr>
      <w:tr>
        <w:trPr>
          <w:trHeight w:val="190"/>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8,785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7,528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4"/>
              </w:rPr>
              <w:t>149,750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134,017</w:t>
            </w:r>
          </w:p>
        </w:tc>
        <w:tc>
          <w:tcPr>
            <w:tcW w:w="0" w:type="dxa"/>
            <w:vAlign w:val="bottom"/>
          </w:tcPr>
          <w:p>
            <w:pPr>
              <w:spacing w:after="0"/>
              <w:rPr>
                <w:sz w:val="1"/>
                <w:szCs w:val="1"/>
                <w:color w:val="auto"/>
              </w:rPr>
            </w:pPr>
          </w:p>
        </w:tc>
      </w:tr>
      <w:tr>
        <w:trPr>
          <w:trHeight w:val="183"/>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Long-term debt, net, less current portion</w:t>
            </w:r>
          </w:p>
        </w:tc>
        <w:tc>
          <w:tcPr>
            <w:tcW w:w="10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w w:val="94"/>
              </w:rPr>
              <w:t>364,033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377,882</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Deemed landlord liability, less current portion</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29,425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30,273</w:t>
            </w:r>
          </w:p>
        </w:tc>
        <w:tc>
          <w:tcPr>
            <w:tcW w:w="0" w:type="dxa"/>
            <w:vAlign w:val="bottom"/>
          </w:tcPr>
          <w:p>
            <w:pPr>
              <w:spacing w:after="0"/>
              <w:rPr>
                <w:sz w:val="1"/>
                <w:szCs w:val="1"/>
                <w:color w:val="auto"/>
              </w:rPr>
            </w:pPr>
          </w:p>
        </w:tc>
      </w:tr>
      <w:tr>
        <w:trPr>
          <w:trHeight w:val="183"/>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Deferred income tax liability</w:t>
            </w:r>
          </w:p>
        </w:tc>
        <w:tc>
          <w:tcPr>
            <w:tcW w:w="10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rPr>
              <w:t>20,587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21,104</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Other long-term liabilities</w:t>
            </w: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8,432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7,291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40" w:type="dxa"/>
            <w:vAlign w:val="bottom"/>
          </w:tcPr>
          <w:p>
            <w:pPr>
              <w:ind w:left="740"/>
              <w:spacing w:after="0" w:line="189" w:lineRule="exact"/>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w w:val="94"/>
              </w:rPr>
              <w:t>572,227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570,567</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Commitments and contingencies (see Note 10)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40" w:type="dxa"/>
            <w:vAlign w:val="bottom"/>
          </w:tcPr>
          <w:p>
            <w:pPr>
              <w:spacing w:after="0" w:line="184" w:lineRule="exact"/>
              <w:rPr>
                <w:sz w:val="20"/>
                <w:szCs w:val="20"/>
                <w:color w:val="auto"/>
              </w:rPr>
            </w:pPr>
            <w:r>
              <w:rPr>
                <w:rFonts w:ascii="Arial" w:cs="Arial" w:eastAsia="Arial" w:hAnsi="Arial"/>
                <w:sz w:val="17"/>
                <w:szCs w:val="17"/>
                <w:color w:val="auto"/>
              </w:rPr>
              <w:t>Shareholders’ equity:</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4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Common stock—$0.01 par-value; 60,000,000 shares authorized; 32,642,113 and 32,624,461 shares issued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outstanding at June 30, 2016 and December 31, 2015, respectively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183"/>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Arial" w:cs="Arial" w:eastAsia="Arial" w:hAnsi="Arial"/>
                <w:sz w:val="17"/>
                <w:szCs w:val="17"/>
                <w:color w:val="auto"/>
                <w:w w:val="94"/>
              </w:rPr>
              <w:t>439,460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438,716</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84" w:lineRule="exact"/>
              <w:rPr>
                <w:sz w:val="20"/>
                <w:szCs w:val="20"/>
                <w:color w:val="auto"/>
              </w:rPr>
            </w:pPr>
            <w:r>
              <w:rPr>
                <w:rFonts w:ascii="Arial" w:cs="Arial" w:eastAsia="Arial" w:hAnsi="Arial"/>
                <w:sz w:val="17"/>
                <w:szCs w:val="17"/>
                <w:color w:val="auto"/>
              </w:rPr>
              <w:t>(14,599)</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(23,009)</w:t>
            </w:r>
          </w:p>
        </w:tc>
        <w:tc>
          <w:tcPr>
            <w:tcW w:w="0" w:type="dxa"/>
            <w:vAlign w:val="bottom"/>
          </w:tcPr>
          <w:p>
            <w:pPr>
              <w:spacing w:after="0"/>
              <w:rPr>
                <w:sz w:val="1"/>
                <w:szCs w:val="1"/>
                <w:color w:val="auto"/>
              </w:rPr>
            </w:pPr>
          </w:p>
        </w:tc>
      </w:tr>
      <w:tr>
        <w:trPr>
          <w:trHeight w:val="190"/>
        </w:trPr>
        <w:tc>
          <w:tcPr>
            <w:tcW w:w="9040" w:type="dxa"/>
            <w:vAlign w:val="bottom"/>
          </w:tcPr>
          <w:p>
            <w:pPr>
              <w:ind w:left="260"/>
              <w:spacing w:after="0" w:line="184" w:lineRule="exact"/>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6"/>
                <w:szCs w:val="16"/>
                <w:color w:val="auto"/>
              </w:rPr>
            </w:pPr>
          </w:p>
        </w:tc>
        <w:tc>
          <w:tcPr>
            <w:tcW w:w="74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(2,551)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(2,559)</w:t>
            </w: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94"/>
              </w:rPr>
              <w:t>422,636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413,474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40" w:type="dxa"/>
            <w:vAlign w:val="bottom"/>
          </w:tcPr>
          <w:p>
            <w:pPr>
              <w:ind w:left="740"/>
              <w:spacing w:after="0" w:line="189" w:lineRule="exact"/>
              <w:rPr>
                <w:sz w:val="20"/>
                <w:szCs w:val="20"/>
                <w:color w:val="auto"/>
              </w:rPr>
            </w:pPr>
            <w:r>
              <w:rPr>
                <w:rFonts w:ascii="Arial" w:cs="Arial" w:eastAsia="Arial" w:hAnsi="Arial"/>
                <w:sz w:val="17"/>
                <w:szCs w:val="17"/>
                <w:color w:val="auto"/>
              </w:rPr>
              <w:t>Total liabilities and shareholders’ equity</w:t>
            </w:r>
          </w:p>
        </w:tc>
        <w:tc>
          <w:tcPr>
            <w:tcW w:w="100" w:type="dxa"/>
            <w:vAlign w:val="bottom"/>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w w:val="94"/>
              </w:rPr>
              <w:t>994,863</w:t>
            </w:r>
          </w:p>
        </w:tc>
        <w:tc>
          <w:tcPr>
            <w:tcW w:w="140" w:type="dxa"/>
            <w:vAlign w:val="bottom"/>
          </w:tcPr>
          <w:p>
            <w:pPr>
              <w:spacing w:after="0"/>
              <w:rPr>
                <w:sz w:val="16"/>
                <w:szCs w:val="16"/>
                <w:color w:val="auto"/>
              </w:rPr>
            </w:pPr>
          </w:p>
        </w:tc>
        <w:tc>
          <w:tcPr>
            <w:tcW w:w="640" w:type="dxa"/>
            <w:vAlign w:val="bottom"/>
            <w:gridSpan w:val="2"/>
          </w:tcPr>
          <w:p>
            <w:pPr>
              <w:ind w:left="40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984,041</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449"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9"/>
              <w:spacing w:after="0" w:line="150"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line="150"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24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240" w:type="dxa"/>
            <w:vAlign w:val="bottom"/>
          </w:tcPr>
          <w:p>
            <w:pPr>
              <w:ind w:left="260"/>
              <w:spacing w:after="0" w:line="177" w:lineRule="exact"/>
              <w:rPr>
                <w:sz w:val="20"/>
                <w:szCs w:val="20"/>
                <w:color w:val="auto"/>
              </w:rPr>
            </w:pPr>
            <w:r>
              <w:rPr>
                <w:rFonts w:ascii="Arial" w:cs="Arial" w:eastAsia="Arial" w:hAnsi="Arial"/>
                <w:sz w:val="17"/>
                <w:szCs w:val="17"/>
                <w:color w:val="auto"/>
              </w:rPr>
              <w:t>Service revenue, net (includes $12.4 million and $11.5 million with related parties for the six months ended June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40" w:type="dxa"/>
            <w:vAlign w:val="bottom"/>
          </w:tcPr>
          <w:p>
            <w:pPr>
              <w:ind w:left="500"/>
              <w:spacing w:after="0" w:line="189" w:lineRule="exact"/>
              <w:rPr>
                <w:sz w:val="20"/>
                <w:szCs w:val="20"/>
                <w:color w:val="auto"/>
              </w:rPr>
            </w:pPr>
            <w:r>
              <w:rPr>
                <w:rFonts w:ascii="Arial" w:cs="Arial" w:eastAsia="Arial" w:hAnsi="Arial"/>
                <w:sz w:val="17"/>
                <w:szCs w:val="17"/>
                <w:color w:val="auto"/>
              </w:rPr>
              <w:t>2016 and 2015, respectively)</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w w:val="94"/>
              </w:rPr>
              <w:t>180,433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4"/>
              </w:rPr>
              <w:t>152,782</w:t>
            </w:r>
          </w:p>
        </w:tc>
        <w:tc>
          <w:tcPr>
            <w:tcW w:w="0" w:type="dxa"/>
            <w:vAlign w:val="bottom"/>
          </w:tcPr>
          <w:p>
            <w:pPr>
              <w:spacing w:after="0"/>
              <w:rPr>
                <w:sz w:val="1"/>
                <w:szCs w:val="1"/>
                <w:color w:val="auto"/>
              </w:rPr>
            </w:pPr>
          </w:p>
        </w:tc>
      </w:tr>
      <w:tr>
        <w:trPr>
          <w:trHeight w:val="177"/>
        </w:trPr>
        <w:tc>
          <w:tcPr>
            <w:tcW w:w="924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rPr>
              <w:t>Reimbursed out-of-pocket revenue (includes $2.9 million and $4.2 million with related parties for the six months ended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June 30, 2016 and 2015, respectively)</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25,107</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18,105</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740"/>
              <w:spacing w:after="0"/>
              <w:rPr>
                <w:sz w:val="20"/>
                <w:szCs w:val="20"/>
                <w:color w:val="auto"/>
              </w:rPr>
            </w:pPr>
            <w:r>
              <w:rPr>
                <w:rFonts w:ascii="Arial" w:cs="Arial" w:eastAsia="Arial" w:hAnsi="Arial"/>
                <w:sz w:val="17"/>
                <w:szCs w:val="17"/>
                <w:color w:val="auto"/>
              </w:rPr>
              <w:t>Total revenue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w w:val="94"/>
              </w:rPr>
              <w:t>205,540</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4"/>
              </w:rPr>
              <w:t>170,887</w:t>
            </w: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40" w:type="dxa"/>
            <w:vAlign w:val="bottom"/>
          </w:tcPr>
          <w:p>
            <w:pPr>
              <w:ind w:left="260"/>
              <w:spacing w:after="0" w:line="184" w:lineRule="exact"/>
              <w:rPr>
                <w:sz w:val="20"/>
                <w:szCs w:val="20"/>
                <w:color w:val="auto"/>
              </w:rPr>
            </w:pPr>
            <w:r>
              <w:rPr>
                <w:rFonts w:ascii="Arial" w:cs="Arial" w:eastAsia="Arial" w:hAnsi="Arial"/>
                <w:sz w:val="17"/>
                <w:szCs w:val="17"/>
                <w:color w:val="auto"/>
              </w:rPr>
              <w:t>Direct costs, excluding depreciation and amortization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96,215</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77,725</w:t>
            </w:r>
          </w:p>
        </w:tc>
        <w:tc>
          <w:tcPr>
            <w:tcW w:w="0" w:type="dxa"/>
            <w:vAlign w:val="bottom"/>
          </w:tcPr>
          <w:p>
            <w:pPr>
              <w:spacing w:after="0"/>
              <w:rPr>
                <w:sz w:val="1"/>
                <w:szCs w:val="1"/>
                <w:color w:val="auto"/>
              </w:rPr>
            </w:pPr>
          </w:p>
        </w:tc>
      </w:tr>
      <w:tr>
        <w:trPr>
          <w:trHeight w:val="177"/>
        </w:trPr>
        <w:tc>
          <w:tcPr>
            <w:tcW w:w="9240" w:type="dxa"/>
            <w:vAlign w:val="bottom"/>
            <w:shd w:val="clear" w:color="auto" w:fill="CCEEFF"/>
          </w:tcPr>
          <w:p>
            <w:pPr>
              <w:ind w:left="260"/>
              <w:spacing w:after="0" w:line="177" w:lineRule="exact"/>
              <w:rPr>
                <w:sz w:val="20"/>
                <w:szCs w:val="20"/>
                <w:color w:val="auto"/>
              </w:rPr>
            </w:pPr>
            <w:r>
              <w:rPr>
                <w:rFonts w:ascii="Arial" w:cs="Arial" w:eastAsia="Arial" w:hAnsi="Arial"/>
                <w:sz w:val="17"/>
                <w:szCs w:val="17"/>
                <w:color w:val="auto"/>
                <w:w w:val="99"/>
              </w:rPr>
              <w:t>Reimbursed out-of-pocket expenses (includes $2.9 million and $4.2 million with related parties for the six months ended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June 30, 2016 and 2015, respectively)</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25,107</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18,105</w:t>
            </w:r>
          </w:p>
        </w:tc>
        <w:tc>
          <w:tcPr>
            <w:tcW w:w="0" w:type="dxa"/>
            <w:vAlign w:val="bottom"/>
          </w:tcPr>
          <w:p>
            <w:pPr>
              <w:spacing w:after="0"/>
              <w:rPr>
                <w:sz w:val="1"/>
                <w:szCs w:val="1"/>
                <w:color w:val="auto"/>
              </w:rPr>
            </w:pPr>
          </w:p>
        </w:tc>
      </w:tr>
      <w:tr>
        <w:trPr>
          <w:trHeight w:val="183"/>
        </w:trPr>
        <w:tc>
          <w:tcPr>
            <w:tcW w:w="9240" w:type="dxa"/>
            <w:vAlign w:val="bottom"/>
          </w:tcPr>
          <w:p>
            <w:pPr>
              <w:ind w:left="260"/>
              <w:spacing w:after="0" w:line="184" w:lineRule="exact"/>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28,333</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23,448</w:t>
            </w: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Depreciation</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3,566</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3,110</w:t>
            </w:r>
          </w:p>
        </w:tc>
        <w:tc>
          <w:tcPr>
            <w:tcW w:w="0" w:type="dxa"/>
            <w:vAlign w:val="bottom"/>
          </w:tcPr>
          <w:p>
            <w:pPr>
              <w:spacing w:after="0"/>
              <w:rPr>
                <w:sz w:val="1"/>
                <w:szCs w:val="1"/>
                <w:color w:val="auto"/>
              </w:rPr>
            </w:pPr>
          </w:p>
        </w:tc>
      </w:tr>
      <w:tr>
        <w:trPr>
          <w:trHeight w:val="183"/>
        </w:trPr>
        <w:tc>
          <w:tcPr>
            <w:tcW w:w="9240" w:type="dxa"/>
            <w:vAlign w:val="bottom"/>
          </w:tcPr>
          <w:p>
            <w:pPr>
              <w:ind w:left="260"/>
              <w:spacing w:after="0" w:line="184" w:lineRule="exact"/>
              <w:rPr>
                <w:sz w:val="20"/>
                <w:szCs w:val="20"/>
                <w:color w:val="auto"/>
              </w:rPr>
            </w:pPr>
            <w:r>
              <w:rPr>
                <w:rFonts w:ascii="Arial" w:cs="Arial" w:eastAsia="Arial" w:hAnsi="Arial"/>
                <w:sz w:val="17"/>
                <w:szCs w:val="17"/>
                <w:color w:val="auto"/>
              </w:rPr>
              <w:t>Amortization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25,336</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34,243</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2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w w:val="94"/>
              </w:rPr>
              <w:t>178,557</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w w:val="94"/>
              </w:rPr>
              <w:t>156,631</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26,983</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14,256</w:t>
            </w: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Other Expense, Net: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40" w:type="dxa"/>
            <w:vAlign w:val="bottom"/>
          </w:tcPr>
          <w:p>
            <w:pPr>
              <w:ind w:left="260"/>
              <w:spacing w:after="0" w:line="184" w:lineRule="exact"/>
              <w:rPr>
                <w:sz w:val="20"/>
                <w:szCs w:val="20"/>
                <w:color w:val="auto"/>
              </w:rPr>
            </w:pPr>
            <w:r>
              <w:rPr>
                <w:rFonts w:ascii="Arial" w:cs="Arial" w:eastAsia="Arial" w:hAnsi="Arial"/>
                <w:sz w:val="17"/>
                <w:szCs w:val="17"/>
                <w:color w:val="auto"/>
              </w:rPr>
              <w:t>Miscellaneous expense, net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00"/>
              <w:spacing w:after="0" w:line="184" w:lineRule="exact"/>
              <w:rPr>
                <w:sz w:val="20"/>
                <w:szCs w:val="20"/>
                <w:color w:val="auto"/>
              </w:rPr>
            </w:pPr>
            <w:r>
              <w:rPr>
                <w:rFonts w:ascii="Arial" w:cs="Arial" w:eastAsia="Arial" w:hAnsi="Arial"/>
                <w:sz w:val="17"/>
                <w:szCs w:val="17"/>
                <w:color w:val="auto"/>
              </w:rPr>
              <w:t>(941)</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Interest expense, net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0"/>
              <w:spacing w:after="0" w:line="184" w:lineRule="exact"/>
              <w:rPr>
                <w:sz w:val="20"/>
                <w:szCs w:val="20"/>
                <w:color w:val="auto"/>
              </w:rPr>
            </w:pPr>
            <w:r>
              <w:rPr>
                <w:rFonts w:ascii="Arial" w:cs="Arial" w:eastAsia="Arial" w:hAnsi="Arial"/>
                <w:sz w:val="17"/>
                <w:szCs w:val="17"/>
                <w:color w:val="auto"/>
              </w:rPr>
              <w:t>(11,894)</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(13,975)</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740"/>
              <w:spacing w:after="0"/>
              <w:rPr>
                <w:sz w:val="20"/>
                <w:szCs w:val="20"/>
                <w:color w:val="auto"/>
              </w:rPr>
            </w:pPr>
            <w:r>
              <w:rPr>
                <w:rFonts w:ascii="Arial" w:cs="Arial" w:eastAsia="Arial" w:hAnsi="Arial"/>
                <w:sz w:val="17"/>
                <w:szCs w:val="17"/>
                <w:color w:val="auto"/>
              </w:rPr>
              <w:t>Total other expense, net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(12,835)</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(14,953)</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Income (loss) before income taxes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14,148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183"/>
        </w:trPr>
        <w:tc>
          <w:tcPr>
            <w:tcW w:w="9240" w:type="dxa"/>
            <w:vAlign w:val="bottom"/>
          </w:tcPr>
          <w:p>
            <w:pPr>
              <w:spacing w:after="0" w:line="184" w:lineRule="exact"/>
              <w:rPr>
                <w:sz w:val="20"/>
                <w:szCs w:val="20"/>
                <w:color w:val="auto"/>
              </w:rPr>
            </w:pPr>
            <w:r>
              <w:rPr>
                <w:rFonts w:ascii="Arial" w:cs="Arial" w:eastAsia="Arial" w:hAnsi="Arial"/>
                <w:sz w:val="17"/>
                <w:szCs w:val="17"/>
                <w:color w:val="auto"/>
              </w:rPr>
              <w:t>Income tax provision (benefit)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5,738</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Net income</w:t>
            </w:r>
          </w:p>
        </w:tc>
        <w:tc>
          <w:tcPr>
            <w:tcW w:w="3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8,410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Net income per share attributable to common shareholders: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Basic</w:t>
            </w:r>
          </w:p>
        </w:tc>
        <w:tc>
          <w:tcPr>
            <w:tcW w:w="3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9240" w:type="dxa"/>
            <w:vAlign w:val="bottom"/>
          </w:tcPr>
          <w:p>
            <w:pPr>
              <w:ind w:left="260"/>
              <w:spacing w:after="0" w:line="184" w:lineRule="exact"/>
              <w:rPr>
                <w:sz w:val="20"/>
                <w:szCs w:val="20"/>
                <w:color w:val="auto"/>
              </w:rPr>
            </w:pPr>
            <w:r>
              <w:rPr>
                <w:rFonts w:ascii="Arial" w:cs="Arial" w:eastAsia="Arial" w:hAnsi="Arial"/>
                <w:sz w:val="17"/>
                <w:szCs w:val="17"/>
                <w:color w:val="auto"/>
              </w:rPr>
              <w:t>Diluted</w:t>
            </w:r>
          </w:p>
        </w:tc>
        <w:tc>
          <w:tcPr>
            <w:tcW w:w="3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Weighted average common shares outstanding:</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40" w:type="dxa"/>
            <w:vAlign w:val="bottom"/>
          </w:tcPr>
          <w:p>
            <w:pPr>
              <w:ind w:left="260"/>
              <w:spacing w:after="0" w:line="184" w:lineRule="exact"/>
              <w:rPr>
                <w:sz w:val="20"/>
                <w:szCs w:val="20"/>
                <w:color w:val="auto"/>
              </w:rPr>
            </w:pPr>
            <w:r>
              <w:rPr>
                <w:rFonts w:ascii="Arial" w:cs="Arial" w:eastAsia="Arial" w:hAnsi="Arial"/>
                <w:sz w:val="17"/>
                <w:szCs w:val="17"/>
                <w:color w:val="auto"/>
              </w:rPr>
              <w:t>Basic</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line="184" w:lineRule="exact"/>
              <w:rPr>
                <w:sz w:val="20"/>
                <w:szCs w:val="20"/>
                <w:color w:val="auto"/>
              </w:rPr>
            </w:pPr>
            <w:r>
              <w:rPr>
                <w:rFonts w:ascii="Arial" w:cs="Arial" w:eastAsia="Arial" w:hAnsi="Arial"/>
                <w:sz w:val="17"/>
                <w:szCs w:val="17"/>
                <w:color w:val="auto"/>
              </w:rPr>
              <w:t>32,631</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31,527</w:t>
            </w:r>
          </w:p>
        </w:tc>
        <w:tc>
          <w:tcPr>
            <w:tcW w:w="0" w:type="dxa"/>
            <w:vAlign w:val="bottom"/>
          </w:tcPr>
          <w:p>
            <w:pPr>
              <w:spacing w:after="0"/>
              <w:rPr>
                <w:sz w:val="1"/>
                <w:szCs w:val="1"/>
                <w:color w:val="auto"/>
              </w:rPr>
            </w:pPr>
          </w:p>
        </w:tc>
      </w:tr>
      <w:tr>
        <w:trPr>
          <w:trHeight w:val="183"/>
        </w:trPr>
        <w:tc>
          <w:tcPr>
            <w:tcW w:w="92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Diluted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60"/>
              <w:spacing w:after="0" w:line="184" w:lineRule="exact"/>
              <w:rPr>
                <w:sz w:val="20"/>
                <w:szCs w:val="20"/>
                <w:color w:val="auto"/>
              </w:rPr>
            </w:pPr>
            <w:r>
              <w:rPr>
                <w:rFonts w:ascii="Arial" w:cs="Arial" w:eastAsia="Arial" w:hAnsi="Arial"/>
                <w:sz w:val="17"/>
                <w:szCs w:val="17"/>
                <w:color w:val="auto"/>
              </w:rPr>
              <w:t>32,631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31,591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449" w:right="2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9"/>
        </w:trPr>
        <w:tc>
          <w:tcPr>
            <w:tcW w:w="9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4"/>
              <w:spacing w:after="0" w:line="150"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40"/>
              <w:spacing w:after="0" w:line="150"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7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8,410</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700" w:type="dxa"/>
            <w:vAlign w:val="bottom"/>
          </w:tcPr>
          <w:p>
            <w:pPr>
              <w:spacing w:after="0" w:line="184" w:lineRule="exact"/>
              <w:rPr>
                <w:sz w:val="20"/>
                <w:szCs w:val="20"/>
                <w:color w:val="auto"/>
              </w:rPr>
            </w:pPr>
            <w:r>
              <w:rPr>
                <w:rFonts w:ascii="Arial" w:cs="Arial" w:eastAsia="Arial" w:hAnsi="Arial"/>
                <w:sz w:val="17"/>
                <w:szCs w:val="17"/>
                <w:color w:val="auto"/>
              </w:rPr>
              <w:t>Other comprehensive income (loss)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70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currency translation adjustments, net of taxes</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7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8,418</w:t>
            </w:r>
          </w:p>
        </w:tc>
        <w:tc>
          <w:tcPr>
            <w:tcW w:w="20" w:type="dxa"/>
            <w:vAlign w:val="bottom"/>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449"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SHAREHOLDERS’ EQUITY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(ACCUMULATED</w:t>
            </w:r>
          </w:p>
        </w:tc>
        <w:tc>
          <w:tcPr>
            <w:tcW w:w="240" w:type="dxa"/>
            <w:vAlign w:val="bottom"/>
          </w:tcPr>
          <w:p>
            <w:pPr>
              <w:spacing w:after="0"/>
              <w:rPr>
                <w:sz w:val="14"/>
                <w:szCs w:val="14"/>
                <w:color w:val="auto"/>
              </w:rPr>
            </w:pP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9"/>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780"/>
              <w:spacing w:after="0" w:line="157" w:lineRule="exact"/>
              <w:rPr>
                <w:sz w:val="20"/>
                <w:szCs w:val="20"/>
                <w:color w:val="auto"/>
              </w:rPr>
            </w:pPr>
            <w:r>
              <w:rPr>
                <w:rFonts w:ascii="Arial" w:cs="Arial" w:eastAsia="Arial" w:hAnsi="Arial"/>
                <w:sz w:val="14"/>
                <w:szCs w:val="14"/>
                <w:b w:val="1"/>
                <w:bCs w:val="1"/>
                <w:color w:val="auto"/>
                <w:w w:val="97"/>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w w:val="94"/>
              </w:rPr>
              <w:t>COMMON</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660"/>
              <w:spacing w:after="0" w:line="157" w:lineRule="exact"/>
              <w:rPr>
                <w:sz w:val="20"/>
                <w:szCs w:val="20"/>
                <w:color w:val="auto"/>
              </w:rPr>
            </w:pPr>
            <w:r>
              <w:rPr>
                <w:rFonts w:ascii="Arial" w:cs="Arial" w:eastAsia="Arial" w:hAnsi="Arial"/>
                <w:sz w:val="14"/>
                <w:szCs w:val="14"/>
                <w:b w:val="1"/>
                <w:bCs w:val="1"/>
                <w:color w:val="auto"/>
                <w:w w:val="99"/>
              </w:rPr>
              <w:t>PAID-IN</w:t>
            </w:r>
          </w:p>
        </w:tc>
        <w:tc>
          <w:tcPr>
            <w:tcW w:w="140" w:type="dxa"/>
            <w:vAlign w:val="bottom"/>
          </w:tcPr>
          <w:p>
            <w:pPr>
              <w:spacing w:after="0"/>
              <w:rPr>
                <w:sz w:val="13"/>
                <w:szCs w:val="13"/>
                <w:color w:val="auto"/>
              </w:rPr>
            </w:pPr>
          </w:p>
        </w:tc>
        <w:tc>
          <w:tcPr>
            <w:tcW w:w="128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7"/>
              </w:rPr>
              <w:t>RETAINED</w:t>
            </w:r>
          </w:p>
        </w:tc>
        <w:tc>
          <w:tcPr>
            <w:tcW w:w="240" w:type="dxa"/>
            <w:vAlign w:val="bottom"/>
          </w:tcPr>
          <w:p>
            <w:pPr>
              <w:spacing w:after="0"/>
              <w:rPr>
                <w:sz w:val="13"/>
                <w:szCs w:val="13"/>
                <w:color w:val="auto"/>
              </w:rPr>
            </w:pPr>
          </w:p>
        </w:tc>
        <w:tc>
          <w:tcPr>
            <w:tcW w:w="1780" w:type="dxa"/>
            <w:vAlign w:val="bottom"/>
            <w:gridSpan w:val="3"/>
          </w:tcPr>
          <w:p>
            <w:pPr>
              <w:jc w:val="center"/>
              <w:ind w:right="540"/>
              <w:spacing w:after="0" w:line="157" w:lineRule="exact"/>
              <w:rPr>
                <w:sz w:val="20"/>
                <w:szCs w:val="20"/>
                <w:color w:val="auto"/>
              </w:rPr>
            </w:pPr>
            <w:r>
              <w:rPr>
                <w:rFonts w:ascii="Arial" w:cs="Arial" w:eastAsia="Arial" w:hAnsi="Arial"/>
                <w:sz w:val="14"/>
                <w:szCs w:val="14"/>
                <w:b w:val="1"/>
                <w:bCs w:val="1"/>
                <w:color w:val="auto"/>
              </w:rPr>
              <w:t>COMPREHENSIVE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INCOME (LOSS)</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76"/>
        </w:trPr>
        <w:tc>
          <w:tcPr>
            <w:tcW w:w="45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BALANCE—December 31, 2015</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326</w:t>
            </w: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438,716</w:t>
            </w: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(23,009)</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7"/>
              <w:spacing w:after="0" w:line="176"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(2,559)</w:t>
            </w:r>
          </w:p>
        </w:tc>
        <w:tc>
          <w:tcPr>
            <w:tcW w:w="5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5"/>
              </w:rPr>
              <w:t>$413,474</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4560" w:type="dxa"/>
            <w:vAlign w:val="bottom"/>
          </w:tcPr>
          <w:p>
            <w:pPr>
              <w:ind w:left="260"/>
              <w:spacing w:after="0" w:line="184" w:lineRule="exact"/>
              <w:rPr>
                <w:sz w:val="20"/>
                <w:szCs w:val="20"/>
                <w:color w:val="auto"/>
              </w:rPr>
            </w:pPr>
            <w:r>
              <w:rPr>
                <w:rFonts w:ascii="Arial" w:cs="Arial" w:eastAsia="Arial" w:hAnsi="Arial"/>
                <w:sz w:val="17"/>
                <w:szCs w:val="17"/>
                <w:color w:val="auto"/>
              </w:rPr>
              <w:t>Net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00"/>
              <w:spacing w:after="0" w:line="184" w:lineRule="exact"/>
              <w:rPr>
                <w:sz w:val="20"/>
                <w:szCs w:val="20"/>
                <w:color w:val="auto"/>
              </w:rPr>
            </w:pPr>
            <w:r>
              <w:rPr>
                <w:rFonts w:ascii="Arial" w:cs="Arial" w:eastAsia="Arial" w:hAnsi="Arial"/>
                <w:sz w:val="17"/>
                <w:szCs w:val="17"/>
                <w:color w:val="auto"/>
              </w:rPr>
              <w:t>8,410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8,410</w:t>
            </w:r>
          </w:p>
        </w:tc>
      </w:tr>
      <w:tr>
        <w:trPr>
          <w:trHeight w:val="183"/>
        </w:trPr>
        <w:tc>
          <w:tcPr>
            <w:tcW w:w="45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Foreign currency translation</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540"/>
              <w:spacing w:after="0" w:line="184" w:lineRule="exact"/>
              <w:rPr>
                <w:sz w:val="20"/>
                <w:szCs w:val="20"/>
                <w:color w:val="auto"/>
              </w:rPr>
            </w:pPr>
            <w:r>
              <w:rPr>
                <w:rFonts w:ascii="Arial" w:cs="Arial" w:eastAsia="Arial" w:hAnsi="Arial"/>
                <w:sz w:val="17"/>
                <w:szCs w:val="17"/>
                <w:color w:val="auto"/>
              </w:rPr>
              <w:t>8</w:t>
            </w:r>
          </w:p>
        </w:tc>
        <w:tc>
          <w:tcPr>
            <w:tcW w:w="8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8</w:t>
            </w:r>
          </w:p>
        </w:tc>
      </w:tr>
      <w:tr>
        <w:trPr>
          <w:trHeight w:val="183"/>
        </w:trPr>
        <w:tc>
          <w:tcPr>
            <w:tcW w:w="4560" w:type="dxa"/>
            <w:vAlign w:val="bottom"/>
          </w:tcPr>
          <w:p>
            <w:pPr>
              <w:ind w:left="260"/>
              <w:spacing w:after="0" w:line="184" w:lineRule="exact"/>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40"/>
              <w:spacing w:after="0" w:line="184" w:lineRule="exact"/>
              <w:rPr>
                <w:sz w:val="20"/>
                <w:szCs w:val="20"/>
                <w:color w:val="auto"/>
              </w:rPr>
            </w:pPr>
            <w:r>
              <w:rPr>
                <w:rFonts w:ascii="Arial" w:cs="Arial" w:eastAsia="Arial" w:hAnsi="Arial"/>
                <w:sz w:val="17"/>
                <w:szCs w:val="17"/>
                <w:color w:val="auto"/>
              </w:rPr>
              <w:t>557</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557</w:t>
            </w:r>
          </w:p>
        </w:tc>
      </w:tr>
      <w:tr>
        <w:trPr>
          <w:trHeight w:val="183"/>
        </w:trPr>
        <w:tc>
          <w:tcPr>
            <w:tcW w:w="45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Stock options exercised</w:t>
            </w: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187</w:t>
            </w:r>
          </w:p>
        </w:tc>
        <w:tc>
          <w:tcPr>
            <w:tcW w:w="5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5"/>
                <w:szCs w:val="15"/>
                <w:color w:val="auto"/>
              </w:rPr>
            </w:pPr>
          </w:p>
        </w:tc>
      </w:tr>
      <w:tr>
        <w:trPr>
          <w:trHeight w:val="190"/>
        </w:trPr>
        <w:tc>
          <w:tcPr>
            <w:tcW w:w="4560" w:type="dxa"/>
            <w:vAlign w:val="bottom"/>
          </w:tcPr>
          <w:p>
            <w:pPr>
              <w:spacing w:after="0" w:line="189" w:lineRule="exact"/>
              <w:rPr>
                <w:sz w:val="20"/>
                <w:szCs w:val="20"/>
                <w:color w:val="auto"/>
              </w:rPr>
            </w:pPr>
            <w:r>
              <w:rPr>
                <w:rFonts w:ascii="Arial" w:cs="Arial" w:eastAsia="Arial" w:hAnsi="Arial"/>
                <w:sz w:val="17"/>
                <w:szCs w:val="17"/>
                <w:color w:val="auto"/>
              </w:rPr>
              <w:t>BALANCE—June 30, 2016</w:t>
            </w:r>
          </w:p>
        </w:tc>
        <w:tc>
          <w:tcPr>
            <w:tcW w:w="240" w:type="dxa"/>
            <w:vAlign w:val="bottom"/>
            <w:gridSpan w:val="2"/>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326</w:t>
            </w:r>
          </w:p>
        </w:tc>
        <w:tc>
          <w:tcPr>
            <w:tcW w:w="6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439,460</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(14,599)</w:t>
            </w:r>
          </w:p>
        </w:tc>
        <w:tc>
          <w:tcPr>
            <w:tcW w:w="480" w:type="dxa"/>
            <w:vAlign w:val="bottom"/>
            <w:gridSpan w:val="2"/>
          </w:tcPr>
          <w:p>
            <w:pPr>
              <w:jc w:val="right"/>
              <w:ind w:right="67"/>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(2,551)</w:t>
            </w: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422,636</w:t>
            </w: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449"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8"/>
              <w:spacing w:after="0" w:line="150"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8"/>
              <w:spacing w:after="0" w:line="150"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54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540" w:type="dxa"/>
            <w:vAlign w:val="bottom"/>
          </w:tcPr>
          <w:p>
            <w:pPr>
              <w:spacing w:after="0" w:line="184" w:lineRule="exact"/>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84" w:lineRule="exact"/>
              <w:rPr>
                <w:sz w:val="20"/>
                <w:szCs w:val="20"/>
                <w:color w:val="auto"/>
              </w:rPr>
            </w:pPr>
            <w:r>
              <w:rPr>
                <w:rFonts w:ascii="Arial" w:cs="Arial" w:eastAsia="Arial" w:hAnsi="Arial"/>
                <w:sz w:val="17"/>
                <w:szCs w:val="17"/>
                <w:color w:val="auto"/>
              </w:rPr>
              <w:t>8,410</w:t>
            </w:r>
          </w:p>
        </w:tc>
        <w:tc>
          <w:tcPr>
            <w:tcW w:w="260" w:type="dxa"/>
            <w:vAlign w:val="bottom"/>
          </w:tcPr>
          <w:p>
            <w:pPr>
              <w:spacing w:after="0"/>
              <w:rPr>
                <w:sz w:val="15"/>
                <w:szCs w:val="15"/>
                <w:color w:val="auto"/>
              </w:rPr>
            </w:pPr>
          </w:p>
        </w:tc>
        <w:tc>
          <w:tcPr>
            <w:tcW w:w="28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7"/>
                <w:szCs w:val="17"/>
                <w:color w:val="auto"/>
              </w:rPr>
              <w:t>3,566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3,110</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Amortization</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25,336</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34,243</w:t>
            </w:r>
          </w:p>
        </w:tc>
        <w:tc>
          <w:tcPr>
            <w:tcW w:w="0" w:type="dxa"/>
            <w:vAlign w:val="bottom"/>
          </w:tcPr>
          <w:p>
            <w:pPr>
              <w:spacing w:after="0"/>
              <w:rPr>
                <w:sz w:val="1"/>
                <w:szCs w:val="1"/>
                <w:color w:val="auto"/>
              </w:rPr>
            </w:pPr>
          </w:p>
        </w:tc>
      </w:tr>
      <w:tr>
        <w:trPr>
          <w:trHeight w:val="183"/>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7"/>
                <w:szCs w:val="17"/>
                <w:color w:val="auto"/>
              </w:rPr>
              <w:t>4,275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4,905</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Amortization of debt issuance costs and discount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1,345</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183"/>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Deferred income tax benefit</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(483)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(6,504)</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(207)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83"/>
        </w:trPr>
        <w:tc>
          <w:tcPr>
            <w:tcW w:w="9540" w:type="dxa"/>
            <w:vAlign w:val="bottom"/>
          </w:tcPr>
          <w:p>
            <w:pPr>
              <w:ind w:left="260"/>
              <w:spacing w:after="0" w:line="184" w:lineRule="exact"/>
              <w:rPr>
                <w:sz w:val="20"/>
                <w:szCs w:val="20"/>
                <w:color w:val="auto"/>
              </w:rPr>
            </w:pPr>
            <w:r>
              <w:rPr>
                <w:rFonts w:ascii="Arial" w:cs="Arial" w:eastAsia="Arial" w:hAnsi="Arial"/>
                <w:sz w:val="17"/>
                <w:szCs w:val="17"/>
                <w:color w:val="auto"/>
              </w:rPr>
              <w:t>Changes in assets and liabilities: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(509)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183"/>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Accounts receivable and unbilled, net</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w w:val="94"/>
              </w:rPr>
              <w:t>(24,825)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6,740</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(8,551)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(1,579)</w:t>
            </w:r>
          </w:p>
        </w:tc>
        <w:tc>
          <w:tcPr>
            <w:tcW w:w="0" w:type="dxa"/>
            <w:vAlign w:val="bottom"/>
          </w:tcPr>
          <w:p>
            <w:pPr>
              <w:spacing w:after="0"/>
              <w:rPr>
                <w:sz w:val="1"/>
                <w:szCs w:val="1"/>
                <w:color w:val="auto"/>
              </w:rPr>
            </w:pPr>
          </w:p>
        </w:tc>
      </w:tr>
      <w:tr>
        <w:trPr>
          <w:trHeight w:val="183"/>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(2,112)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(1,461)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(2,849)</w:t>
            </w:r>
          </w:p>
        </w:tc>
        <w:tc>
          <w:tcPr>
            <w:tcW w:w="0" w:type="dxa"/>
            <w:vAlign w:val="bottom"/>
          </w:tcPr>
          <w:p>
            <w:pPr>
              <w:spacing w:after="0"/>
              <w:rPr>
                <w:sz w:val="1"/>
                <w:szCs w:val="1"/>
                <w:color w:val="auto"/>
              </w:rPr>
            </w:pPr>
          </w:p>
        </w:tc>
      </w:tr>
      <w:tr>
        <w:trPr>
          <w:trHeight w:val="183"/>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Pre-funded study costs</w:t>
            </w:r>
          </w:p>
        </w:tc>
        <w:tc>
          <w:tcPr>
            <w:tcW w:w="100" w:type="dxa"/>
            <w:vAlign w:val="bottom"/>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7"/>
                <w:szCs w:val="17"/>
                <w:color w:val="auto"/>
              </w:rPr>
              <w:t>2,372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Advanced billings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15,017</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(6,532)</w:t>
            </w:r>
          </w:p>
        </w:tc>
        <w:tc>
          <w:tcPr>
            <w:tcW w:w="0" w:type="dxa"/>
            <w:vAlign w:val="bottom"/>
          </w:tcPr>
          <w:p>
            <w:pPr>
              <w:spacing w:after="0"/>
              <w:rPr>
                <w:sz w:val="1"/>
                <w:szCs w:val="1"/>
                <w:color w:val="auto"/>
              </w:rPr>
            </w:pPr>
          </w:p>
        </w:tc>
      </w:tr>
      <w:tr>
        <w:trPr>
          <w:trHeight w:val="190"/>
        </w:trPr>
        <w:tc>
          <w:tcPr>
            <w:tcW w:w="9540" w:type="dxa"/>
            <w:vAlign w:val="bottom"/>
          </w:tcPr>
          <w:p>
            <w:pPr>
              <w:ind w:left="500"/>
              <w:spacing w:after="0" w:line="184" w:lineRule="exact"/>
              <w:rPr>
                <w:sz w:val="20"/>
                <w:szCs w:val="20"/>
                <w:color w:val="auto"/>
              </w:rPr>
            </w:pPr>
            <w:r>
              <w:rPr>
                <w:rFonts w:ascii="Arial" w:cs="Arial" w:eastAsia="Arial" w:hAnsi="Arial"/>
                <w:sz w:val="17"/>
                <w:szCs w:val="17"/>
                <w:color w:val="auto"/>
              </w:rPr>
              <w:t>Other assets and liabilities, net</w:t>
            </w:r>
          </w:p>
        </w:tc>
        <w:tc>
          <w:tcPr>
            <w:tcW w:w="100" w:type="dxa"/>
            <w:vAlign w:val="bottom"/>
          </w:tcPr>
          <w:p>
            <w:pPr>
              <w:spacing w:after="0"/>
              <w:rPr>
                <w:sz w:val="16"/>
                <w:szCs w:val="16"/>
                <w:color w:val="auto"/>
              </w:rPr>
            </w:pPr>
          </w:p>
        </w:tc>
        <w:tc>
          <w:tcPr>
            <w:tcW w:w="82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(2,191)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(4,255)</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19,982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26,271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540" w:type="dxa"/>
            <w:vAlign w:val="bottom"/>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Property and equipment expenditures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(5,693)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(2,665)</w:t>
            </w:r>
          </w:p>
        </w:tc>
        <w:tc>
          <w:tcPr>
            <w:tcW w:w="0" w:type="dxa"/>
            <w:vAlign w:val="bottom"/>
          </w:tcPr>
          <w:p>
            <w:pPr>
              <w:spacing w:after="0"/>
              <w:rPr>
                <w:sz w:val="1"/>
                <w:szCs w:val="1"/>
                <w:color w:val="auto"/>
              </w:rPr>
            </w:pPr>
          </w:p>
        </w:tc>
      </w:tr>
      <w:tr>
        <w:trPr>
          <w:trHeight w:val="190"/>
        </w:trPr>
        <w:tc>
          <w:tcPr>
            <w:tcW w:w="9540" w:type="dxa"/>
            <w:vAlign w:val="bottom"/>
          </w:tcPr>
          <w:p>
            <w:pPr>
              <w:ind w:left="260"/>
              <w:spacing w:after="0" w:line="184" w:lineRule="exact"/>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(5,653)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190"/>
        </w:trPr>
        <w:tc>
          <w:tcPr>
            <w:tcW w:w="9540" w:type="dxa"/>
            <w:vAlign w:val="bottom"/>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Proceeds from stock option exercises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102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9540" w:type="dxa"/>
            <w:vAlign w:val="bottom"/>
          </w:tcPr>
          <w:p>
            <w:pPr>
              <w:ind w:left="260"/>
              <w:spacing w:after="0" w:line="184" w:lineRule="exact"/>
              <w:rPr>
                <w:sz w:val="20"/>
                <w:szCs w:val="20"/>
                <w:color w:val="auto"/>
              </w:rPr>
            </w:pPr>
            <w:r>
              <w:rPr>
                <w:rFonts w:ascii="Arial" w:cs="Arial" w:eastAsia="Arial" w:hAnsi="Arial"/>
                <w:sz w:val="17"/>
                <w:szCs w:val="17"/>
                <w:color w:val="auto"/>
              </w:rPr>
              <w:t>Payment of debt</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w w:val="94"/>
              </w:rPr>
              <w:t>(15,036)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w w:val="97"/>
              </w:rPr>
              <w:t>(65,126)</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Payment of deemed landlord liability</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4" w:lineRule="exact"/>
              <w:rPr>
                <w:sz w:val="20"/>
                <w:szCs w:val="20"/>
                <w:color w:val="auto"/>
              </w:rPr>
            </w:pPr>
            <w:r>
              <w:rPr>
                <w:rFonts w:ascii="Arial" w:cs="Arial" w:eastAsia="Arial" w:hAnsi="Arial"/>
                <w:sz w:val="17"/>
                <w:szCs w:val="17"/>
                <w:color w:val="auto"/>
              </w:rPr>
              <w:t>(744)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0"/>
        </w:trPr>
        <w:tc>
          <w:tcPr>
            <w:tcW w:w="9540" w:type="dxa"/>
            <w:vAlign w:val="bottom"/>
            <w:vMerge w:val="restart"/>
          </w:tcPr>
          <w:p>
            <w:pPr>
              <w:ind w:left="740"/>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w w:val="94"/>
              </w:rPr>
              <w:t>(15,678)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w w:val="97"/>
              </w:rPr>
              <w:t>(65,702)</w:t>
            </w:r>
          </w:p>
        </w:tc>
        <w:tc>
          <w:tcPr>
            <w:tcW w:w="0" w:type="dxa"/>
            <w:vAlign w:val="bottom"/>
          </w:tcPr>
          <w:p>
            <w:pPr>
              <w:spacing w:after="0"/>
              <w:rPr>
                <w:sz w:val="1"/>
                <w:szCs w:val="1"/>
                <w:color w:val="auto"/>
              </w:rPr>
            </w:pPr>
          </w:p>
        </w:tc>
      </w:tr>
      <w:tr>
        <w:trPr>
          <w:trHeight w:val="26"/>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5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EFFECTS OF EXCHANGE RATES ON CASH AND CASH EQUIVALENTS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143</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3"/>
        </w:trPr>
        <w:tc>
          <w:tcPr>
            <w:tcW w:w="9540" w:type="dxa"/>
            <w:vAlign w:val="bottom"/>
          </w:tcPr>
          <w:p>
            <w:pPr>
              <w:spacing w:after="0" w:line="184" w:lineRule="exact"/>
              <w:rPr>
                <w:sz w:val="20"/>
                <w:szCs w:val="20"/>
                <w:color w:val="auto"/>
              </w:rPr>
            </w:pPr>
            <w:r>
              <w:rPr>
                <w:rFonts w:ascii="Arial" w:cs="Arial" w:eastAsia="Arial" w:hAnsi="Arial"/>
                <w:sz w:val="17"/>
                <w:szCs w:val="17"/>
                <w:color w:val="auto"/>
              </w:rPr>
              <w:t>DECREASE IN CASH AND CASH EQUIVALENTS</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line="184" w:lineRule="exact"/>
              <w:rPr>
                <w:sz w:val="20"/>
                <w:szCs w:val="20"/>
                <w:color w:val="auto"/>
              </w:rPr>
            </w:pPr>
            <w:r>
              <w:rPr>
                <w:rFonts w:ascii="Arial" w:cs="Arial" w:eastAsia="Arial" w:hAnsi="Arial"/>
                <w:sz w:val="17"/>
                <w:szCs w:val="17"/>
                <w:color w:val="auto"/>
              </w:rPr>
              <w:t>(1,206)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w w:val="97"/>
              </w:rPr>
              <w:t>(42,184)</w:t>
            </w:r>
          </w:p>
        </w:tc>
        <w:tc>
          <w:tcPr>
            <w:tcW w:w="0" w:type="dxa"/>
            <w:vAlign w:val="bottom"/>
          </w:tcPr>
          <w:p>
            <w:pPr>
              <w:spacing w:after="0"/>
              <w:rPr>
                <w:sz w:val="1"/>
                <w:szCs w:val="1"/>
                <w:color w:val="auto"/>
              </w:rPr>
            </w:pPr>
          </w:p>
        </w:tc>
      </w:tr>
      <w:tr>
        <w:trPr>
          <w:trHeight w:val="183"/>
        </w:trPr>
        <w:tc>
          <w:tcPr>
            <w:tcW w:w="95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CASH AND CASH EQUIVALENTS—Beginning of period</w:t>
            </w: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14,880</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54,285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540" w:type="dxa"/>
            <w:vAlign w:val="bottom"/>
          </w:tcPr>
          <w:p>
            <w:pPr>
              <w:spacing w:after="0" w:line="189" w:lineRule="exact"/>
              <w:rPr>
                <w:sz w:val="20"/>
                <w:szCs w:val="20"/>
                <w:color w:val="auto"/>
              </w:rPr>
            </w:pPr>
            <w:r>
              <w:rPr>
                <w:rFonts w:ascii="Arial" w:cs="Arial" w:eastAsia="Arial" w:hAnsi="Arial"/>
                <w:sz w:val="17"/>
                <w:szCs w:val="17"/>
                <w:color w:val="auto"/>
              </w:rPr>
              <w:t>CASH AND CASH EQUIVALENTS—End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13,674</w:t>
            </w:r>
          </w:p>
        </w:tc>
        <w:tc>
          <w:tcPr>
            <w:tcW w:w="260" w:type="dxa"/>
            <w:vAlign w:val="bottom"/>
          </w:tcPr>
          <w:p>
            <w:pPr>
              <w:spacing w:after="0"/>
              <w:rPr>
                <w:sz w:val="16"/>
                <w:szCs w:val="16"/>
                <w:color w:val="auto"/>
              </w:rPr>
            </w:pP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12,101</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449"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10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2016</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34"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Medpace Holdings, Inc. together with its subsidiaries (“Medpace” or the “Company”)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principally based in North America, Europe, and Asia.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3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accompanying interim condensed consolidated financial statements and related notes should be read in conjunction with the Company’s consolidated financial statements and related notes included in the Company’s audited financial statements for the year ended December 31, 2015.</w:t>
      </w:r>
    </w:p>
    <w:p>
      <w:pPr>
        <w:spacing w:after="0" w:line="14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34"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On July 25, 2016, the Board of Directors of the Company approved, and made legally effective, a 1-for-1.35 reverse stock split of the Company’s common stock. All share, stock option and per share information presented in the condensed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5"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2015-05, “</w:t>
      </w:r>
      <w:r>
        <w:rPr>
          <w:rFonts w:ascii="Arial" w:cs="Arial" w:eastAsia="Arial" w:hAnsi="Arial"/>
          <w:sz w:val="17"/>
          <w:szCs w:val="17"/>
          <w:i w:val="1"/>
          <w:iCs w:val="1"/>
          <w:color w:val="auto"/>
        </w:rPr>
        <w:t>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provides guidance for a customer’s accounting for cloud computing costs. Under ASU 2015-05, if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prospectively to all arrangements entered into or materially modified after the effective date, or retrospectively. The Company adopted ASU 2015-05 in the first quarter of 2016. There was no impact to the Company’s condensed consolidated statements of operations, comprehensive (loss) income, shareholders’ equity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5" w:lineRule="exact"/>
        <w:rPr>
          <w:sz w:val="20"/>
          <w:szCs w:val="20"/>
          <w:color w:val="auto"/>
        </w:rPr>
      </w:pPr>
    </w:p>
    <w:p>
      <w:pPr>
        <w:jc w:val="both"/>
        <w:ind w:right="180"/>
        <w:spacing w:after="0" w:line="23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new guidance adds Topic 326 to the Codification and removes the thresholds that companies apply to measure credit losses on financial instruments measured at amortized cost, such</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00"/>
          </w:cols>
          <w:pgMar w:left="240" w:top="449" w:right="25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as loans, receivables, and held-to-maturity debt securities. Under current U.S. GAAP, companies generally recognize credit losses when it is probable that the loss has been incurred. The revised guidance will remove all recognition thresholds and will require companies to recognize an allowance for credit losses for the difference between the amortized cost basis of a financial instrument and the amount of amortized cost that the company expects to collect over the instrument’s contractual life. ASU 2016-13 will be applied on a prospective basis for fiscal years and interim periods beginning after December 15, 2019, with early adoption permitted for fiscal years beginning and interim periods beginning after December 15, 2018. The Company is currently evaluating the effect this standard will have on its condensed consolidated financial statements.</w:t>
      </w:r>
    </w:p>
    <w:p>
      <w:pPr>
        <w:spacing w:after="0" w:line="125" w:lineRule="exact"/>
        <w:rPr>
          <w:sz w:val="20"/>
          <w:szCs w:val="20"/>
          <w:color w:val="auto"/>
        </w:rPr>
      </w:pPr>
    </w:p>
    <w:p>
      <w:pPr>
        <w:jc w:val="both"/>
        <w:ind w:right="380"/>
        <w:spacing w:after="0" w:line="246" w:lineRule="auto"/>
        <w:rPr>
          <w:sz w:val="20"/>
          <w:szCs w:val="20"/>
          <w:color w:val="auto"/>
        </w:rPr>
      </w:pPr>
      <w:r>
        <w:rPr>
          <w:rFonts w:ascii="Arial" w:cs="Arial" w:eastAsia="Arial" w:hAnsi="Arial"/>
          <w:sz w:val="16"/>
          <w:szCs w:val="16"/>
          <w:color w:val="auto"/>
        </w:rPr>
        <w:t xml:space="preserve">In May 2016, the FASB issued ASU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xml:space="preserve">. In March 2016, the FASB issued ASU 2016-08, </w:t>
      </w:r>
      <w:r>
        <w:rPr>
          <w:rFonts w:ascii="Arial" w:cs="Arial" w:eastAsia="Arial" w:hAnsi="Arial"/>
          <w:sz w:val="16"/>
          <w:szCs w:val="16"/>
          <w:i w:val="1"/>
          <w:iCs w:val="1"/>
          <w:color w:val="auto"/>
        </w:rPr>
        <w:t>Revenue from Contracts with Customers (Topic 606): Principal versus Agent Considerations (Reporting Revenue Gross versus Net)</w:t>
      </w:r>
      <w:r>
        <w:rPr>
          <w:rFonts w:ascii="Arial" w:cs="Arial" w:eastAsia="Arial" w:hAnsi="Arial"/>
          <w:sz w:val="16"/>
          <w:szCs w:val="16"/>
          <w:color w:val="auto"/>
        </w:rPr>
        <w:t>. In April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FASB issued ASU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ASUs’ 2016-12,</w:t>
      </w:r>
    </w:p>
    <w:p>
      <w:pPr>
        <w:spacing w:after="0" w:line="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2016-10 and 2016-08 all clarify the interpretation guidance in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 Deferral of the Effective Date</w:t>
      </w:r>
      <w:r>
        <w:rPr>
          <w:rFonts w:ascii="Arial" w:cs="Arial" w:eastAsia="Arial" w:hAnsi="Arial"/>
          <w:sz w:val="17"/>
          <w:szCs w:val="17"/>
          <w:color w:val="auto"/>
        </w:rPr>
        <w:t>, which defers the effective date of ASU 2014-09 by one year. The Company will adopt</w:t>
      </w:r>
      <w:r>
        <w:rPr>
          <w:rFonts w:ascii="Arial" w:cs="Arial" w:eastAsia="Arial" w:hAnsi="Arial"/>
          <w:sz w:val="17"/>
          <w:szCs w:val="17"/>
          <w:i w:val="1"/>
          <w:iCs w:val="1"/>
          <w:color w:val="auto"/>
        </w:rPr>
        <w:t xml:space="preserve"> </w:t>
      </w:r>
      <w:r>
        <w:rPr>
          <w:rFonts w:ascii="Arial" w:cs="Arial" w:eastAsia="Arial" w:hAnsi="Arial"/>
          <w:sz w:val="17"/>
          <w:szCs w:val="17"/>
          <w:color w:val="auto"/>
        </w:rPr>
        <w:t>the clarified guidance in ASUs’ 2016-12, 2016-10, 2016-08 by January 1, 2018, as required. The Company is currently evaluating the impact of this new standard on its condensed consolidated financial statements.</w:t>
      </w:r>
    </w:p>
    <w:p>
      <w:pPr>
        <w:spacing w:after="0" w:line="125"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 simplify certain aspects of accounting for share-based payments to 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condensed consolidated financial statements.</w:t>
      </w:r>
    </w:p>
    <w:p>
      <w:pPr>
        <w:spacing w:after="0" w:line="125"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NET INCOME (LOSS) PER SHARE</w:t>
      </w:r>
    </w:p>
    <w:p>
      <w:pPr>
        <w:spacing w:after="0" w:line="9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Basic and diluted earnings per share (“EPS”) are computed using the two-class method, which is an earnings allocation that determines EPS for each class of common stock and participating securities according to dividends declared and participation rights in undistributed earnings. Basic net income (loss) per share is calculated by dividing net income (loss) by the weighted average number of common shares outstanding, including outstanding participating securities. Diluted net income (loss) per share is similar to basic net income (loss) per share, but adjusts for the potential issuance of common shares. The Company’s restricted stock awards (“RSAs”) contain non-forfeitable rights or dividend equivalents and participate in periods of net income but are not contractually obligated to share in the Company’s losses. As a result, RSAs are included in the number of shares in our basic and diluted EPS in periods of net income but are excluded in the number of shares in our basic and diluted EPS in periods of net loss.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380"/>
          </w:cols>
          <w:pgMar w:left="240" w:top="449" w:right="27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basic to diluted weighted average shares outstanding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9"/>
        </w:trPr>
        <w:tc>
          <w:tcPr>
            <w:tcW w:w="980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50"/>
        </w:trPr>
        <w:tc>
          <w:tcPr>
            <w:tcW w:w="98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63"/>
              <w:spacing w:after="0" w:line="150"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0"/>
              <w:spacing w:after="0" w:line="150"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8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Basic weighted average common shares outstanding</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32,631</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31,527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800" w:type="dxa"/>
            <w:vAlign w:val="bottom"/>
          </w:tcPr>
          <w:p>
            <w:pPr>
              <w:spacing w:after="0" w:line="184" w:lineRule="exact"/>
              <w:rPr>
                <w:sz w:val="20"/>
                <w:szCs w:val="20"/>
                <w:color w:val="auto"/>
              </w:rPr>
            </w:pPr>
            <w:r>
              <w:rPr>
                <w:rFonts w:ascii="Arial" w:cs="Arial" w:eastAsia="Arial" w:hAnsi="Arial"/>
                <w:sz w:val="17"/>
                <w:szCs w:val="17"/>
                <w:color w:val="auto"/>
              </w:rPr>
              <w:t>Effect of dilutive securities</w:t>
            </w:r>
          </w:p>
        </w:tc>
        <w:tc>
          <w:tcPr>
            <w:tcW w:w="5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320" w:type="dxa"/>
            <w:vAlign w:val="bottom"/>
            <w:gridSpan w:val="2"/>
          </w:tcPr>
          <w:p>
            <w:pPr>
              <w:spacing w:after="0"/>
              <w:rPr>
                <w:sz w:val="16"/>
                <w:szCs w:val="16"/>
                <w:color w:val="auto"/>
              </w:rPr>
            </w:pPr>
          </w:p>
        </w:tc>
        <w:tc>
          <w:tcPr>
            <w:tcW w:w="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Diluted weighted average common shares outstanding</w:t>
            </w:r>
          </w:p>
        </w:tc>
        <w:tc>
          <w:tcPr>
            <w:tcW w:w="5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32,631</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31,591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7"/>
                <w:szCs w:val="17"/>
                <w:color w:val="auto"/>
              </w:rPr>
              <w:t>Anti-dilutive shares</w:t>
            </w: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0" w:type="dxa"/>
            <w:vAlign w:val="bottom"/>
            <w:vMerge w:val="continue"/>
          </w:tcPr>
          <w:p>
            <w:pPr>
              <w:spacing w:after="0"/>
              <w:rPr>
                <w:sz w:val="15"/>
                <w:szCs w:val="15"/>
                <w:color w:val="auto"/>
              </w:rPr>
            </w:pPr>
          </w:p>
        </w:tc>
        <w:tc>
          <w:tcPr>
            <w:tcW w:w="6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26</w:t>
            </w:r>
          </w:p>
        </w:tc>
        <w:tc>
          <w:tcPr>
            <w:tcW w:w="300" w:type="dxa"/>
            <w:vAlign w:val="bottom"/>
          </w:tcPr>
          <w:p>
            <w:pPr>
              <w:spacing w:after="0"/>
              <w:rPr>
                <w:sz w:val="15"/>
                <w:szCs w:val="15"/>
                <w:color w:val="auto"/>
              </w:rPr>
            </w:pP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120"/>
        <w:spacing w:after="0" w:line="231" w:lineRule="auto"/>
        <w:rPr>
          <w:sz w:val="20"/>
          <w:szCs w:val="20"/>
          <w:color w:val="auto"/>
        </w:rPr>
      </w:pPr>
      <w:r>
        <w:rPr>
          <w:rFonts w:ascii="Arial" w:cs="Arial" w:eastAsia="Arial" w:hAnsi="Arial"/>
          <w:sz w:val="17"/>
          <w:szCs w:val="17"/>
          <w:color w:val="auto"/>
        </w:rPr>
        <w:t>The anti-dilutive shares disclosed above were calculated using the treasury stock method. During the six months ended June 30, 2016 and June 30, 2015, the Company had stock options that were excluded due to the exercise price exceeding the average fair value of the Company’s common stock during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8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Valuations based on quoted prices in active markets for identical assets or liabilities.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2: Valuations based on directly observable inputs or unobservable inputs corroborated by market data.</w:t>
      </w:r>
    </w:p>
    <w:p>
      <w:pPr>
        <w:spacing w:after="0" w:line="145" w:lineRule="exact"/>
        <w:rPr>
          <w:sz w:val="20"/>
          <w:szCs w:val="20"/>
          <w:color w:val="auto"/>
        </w:rPr>
      </w:pPr>
    </w:p>
    <w:p>
      <w:pPr>
        <w:ind w:left="340" w:right="60"/>
        <w:spacing w:after="0" w:line="235" w:lineRule="auto"/>
        <w:rPr>
          <w:sz w:val="20"/>
          <w:szCs w:val="20"/>
          <w:color w:val="auto"/>
        </w:rPr>
      </w:pPr>
      <w:r>
        <w:rPr>
          <w:rFonts w:ascii="Arial" w:cs="Arial" w:eastAsia="Arial" w:hAnsi="Arial"/>
          <w:sz w:val="17"/>
          <w:szCs w:val="17"/>
          <w:color w:val="auto"/>
        </w:rPr>
        <w:t>Level 3: Valuations based on unobservable inputs supported by little or no market activity representing management’s determination of assumptions of how market participants would price the assets or liabilities.</w:t>
      </w:r>
    </w:p>
    <w:p>
      <w:pPr>
        <w:spacing w:after="0" w:line="1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41"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The Company does not have any recurring fair value measurements as of June 30, 2016. There were no transfers between Level 1, Level 2 or Level 3 during the three or six months ended June 30, 2016 or June 30, 2015.</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34"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Certain assets are measured on the accompanying interim condensed consolidated balance sheets at cost and are not remeasured to fair value on a recurring basis. These assets, which include indefinite-lived intangible assets and goodwill, are tested for impairment annually during the fourth quarter or when a triggering event occurs. Total assets carried on the balance sheet that are not remeasured to fair value on a recurring basis, identified as Level 3 measurements, as of June 30, 2016 are $692.6 million, comprised of $661.0 million of goodwill and $31.6 million of identified indefinite-lived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ACCOUNTS RECEIVABLE AND UNBILLED, NET</w:t>
      </w:r>
    </w:p>
    <w:p>
      <w:pPr>
        <w:spacing w:after="0" w:line="96"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Accounts receivable and unbilled, net includes service revenue and reimbursed out-of-pocket revenue. Accounts receivable and unbilled,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0" w:type="dxa"/>
            <w:vAlign w:val="bottom"/>
            <w:gridSpan w:val="2"/>
          </w:tcPr>
          <w:p>
            <w:pPr>
              <w:jc w:val="right"/>
              <w:ind w:right="180"/>
              <w:spacing w:after="0" w:line="139" w:lineRule="exact"/>
              <w:rPr>
                <w:sz w:val="20"/>
                <w:szCs w:val="20"/>
                <w:color w:val="auto"/>
              </w:rPr>
            </w:pPr>
            <w:r>
              <w:rPr>
                <w:rFonts w:ascii="Arial" w:cs="Arial" w:eastAsia="Arial" w:hAnsi="Arial"/>
                <w:sz w:val="14"/>
                <w:szCs w:val="14"/>
                <w:b w:val="1"/>
                <w:bCs w:val="1"/>
                <w:color w:val="auto"/>
                <w:w w:val="98"/>
              </w:rPr>
              <w:t>JUNE 30,</w:t>
            </w:r>
          </w:p>
        </w:tc>
        <w:tc>
          <w:tcPr>
            <w:tcW w:w="46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5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Accounts receivable</w:t>
            </w:r>
          </w:p>
        </w:tc>
        <w:tc>
          <w:tcPr>
            <w:tcW w:w="45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7"/>
              </w:rPr>
              <w:t>$67,701</w:t>
            </w: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40,721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7"/>
                <w:szCs w:val="17"/>
                <w:color w:val="auto"/>
              </w:rPr>
              <w:t>Unbilled</w:t>
            </w:r>
          </w:p>
        </w:tc>
        <w:tc>
          <w:tcPr>
            <w:tcW w:w="5360" w:type="dxa"/>
            <w:vAlign w:val="bottom"/>
            <w:gridSpan w:val="3"/>
          </w:tcPr>
          <w:p>
            <w:pPr>
              <w:jc w:val="right"/>
              <w:ind w:right="180"/>
              <w:spacing w:after="0"/>
              <w:rPr>
                <w:sz w:val="20"/>
                <w:szCs w:val="20"/>
                <w:color w:val="auto"/>
              </w:rPr>
            </w:pPr>
            <w:r>
              <w:rPr>
                <w:rFonts w:ascii="Arial" w:cs="Arial" w:eastAsia="Arial" w:hAnsi="Arial"/>
                <w:sz w:val="17"/>
                <w:szCs w:val="17"/>
                <w:color w:val="auto"/>
              </w:rPr>
              <w:t>24,763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26,091</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Less allowance for doubtful accounts</w:t>
            </w:r>
          </w:p>
        </w:tc>
        <w:tc>
          <w:tcPr>
            <w:tcW w:w="45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(2,416)</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60"/>
              <w:spacing w:after="0"/>
              <w:rPr>
                <w:sz w:val="20"/>
                <w:szCs w:val="20"/>
                <w:color w:val="auto"/>
              </w:rPr>
            </w:pPr>
            <w:r>
              <w:rPr>
                <w:rFonts w:ascii="Arial" w:cs="Arial" w:eastAsia="Arial" w:hAnsi="Arial"/>
                <w:sz w:val="17"/>
                <w:szCs w:val="17"/>
                <w:color w:val="auto"/>
              </w:rPr>
              <w:t>Total accounts receivable and unbilled, net</w:t>
            </w:r>
          </w:p>
        </w:tc>
        <w:tc>
          <w:tcPr>
            <w:tcW w:w="4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456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90,048</w:t>
            </w:r>
          </w:p>
        </w:tc>
        <w:tc>
          <w:tcPr>
            <w:tcW w:w="70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65,088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4460" w:type="dxa"/>
            <w:vAlign w:val="bottom"/>
          </w:tcPr>
          <w:p>
            <w:pPr>
              <w:spacing w:after="0"/>
              <w:rPr>
                <w:sz w:val="24"/>
                <w:szCs w:val="24"/>
                <w:color w:val="auto"/>
              </w:rPr>
            </w:pPr>
          </w:p>
        </w:tc>
        <w:tc>
          <w:tcPr>
            <w:tcW w:w="5360" w:type="dxa"/>
            <w:vAlign w:val="bottom"/>
            <w:gridSpan w:val="3"/>
          </w:tcPr>
          <w:p>
            <w:pPr>
              <w:jc w:val="right"/>
              <w:ind w:right="3940"/>
              <w:spacing w:after="0"/>
              <w:rPr>
                <w:sz w:val="20"/>
                <w:szCs w:val="20"/>
                <w:color w:val="auto"/>
              </w:rPr>
            </w:pPr>
            <w:r>
              <w:rPr>
                <w:rFonts w:ascii="Arial" w:cs="Arial" w:eastAsia="Arial" w:hAnsi="Arial"/>
                <w:sz w:val="16"/>
                <w:szCs w:val="16"/>
                <w:color w:val="auto"/>
              </w:rPr>
              <w:t>F-48</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INTANGIBLE ASSETS, NET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860" w:type="dxa"/>
            <w:vAlign w:val="bottom"/>
          </w:tcPr>
          <w:p>
            <w:pPr>
              <w:spacing w:after="0"/>
              <w:rPr>
                <w:sz w:val="12"/>
                <w:szCs w:val="12"/>
                <w:color w:val="auto"/>
              </w:rPr>
            </w:pPr>
          </w:p>
        </w:tc>
        <w:tc>
          <w:tcPr>
            <w:tcW w:w="92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86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Intangible assets: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60" w:type="dxa"/>
            <w:vAlign w:val="bottom"/>
          </w:tcPr>
          <w:p>
            <w:pPr>
              <w:ind w:left="260"/>
              <w:spacing w:after="0" w:line="184" w:lineRule="exact"/>
              <w:rPr>
                <w:sz w:val="20"/>
                <w:szCs w:val="20"/>
                <w:color w:val="auto"/>
              </w:rPr>
            </w:pPr>
            <w:r>
              <w:rPr>
                <w:rFonts w:ascii="Arial" w:cs="Arial" w:eastAsia="Arial" w:hAnsi="Arial"/>
                <w:sz w:val="17"/>
                <w:szCs w:val="17"/>
                <w:color w:val="auto"/>
              </w:rPr>
              <w:t>Finite-lived intangible assets: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Carrying amount: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60" w:type="dxa"/>
            <w:vAlign w:val="bottom"/>
          </w:tcPr>
          <w:p>
            <w:pPr>
              <w:ind w:left="740"/>
              <w:spacing w:after="0" w:line="184" w:lineRule="exact"/>
              <w:rPr>
                <w:sz w:val="20"/>
                <w:szCs w:val="20"/>
                <w:color w:val="auto"/>
              </w:rPr>
            </w:pPr>
            <w:r>
              <w:rPr>
                <w:rFonts w:ascii="Arial" w:cs="Arial" w:eastAsia="Arial" w:hAnsi="Arial"/>
                <w:sz w:val="17"/>
                <w:szCs w:val="17"/>
                <w:color w:val="auto"/>
              </w:rPr>
              <w:t>Backlog</w:t>
            </w:r>
          </w:p>
        </w:tc>
        <w:tc>
          <w:tcPr>
            <w:tcW w:w="10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72,630</w:t>
            </w:r>
          </w:p>
        </w:tc>
        <w:tc>
          <w:tcPr>
            <w:tcW w:w="740" w:type="dxa"/>
            <w:vAlign w:val="bottom"/>
            <w:gridSpan w:val="2"/>
          </w:tcPr>
          <w:p>
            <w:pPr>
              <w:ind w:left="500"/>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72,630</w:t>
            </w: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Customer relationships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145,051</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145,051</w:t>
            </w:r>
          </w:p>
        </w:tc>
        <w:tc>
          <w:tcPr>
            <w:tcW w:w="0" w:type="dxa"/>
            <w:vAlign w:val="bottom"/>
          </w:tcPr>
          <w:p>
            <w:pPr>
              <w:spacing w:after="0"/>
              <w:rPr>
                <w:sz w:val="1"/>
                <w:szCs w:val="1"/>
                <w:color w:val="auto"/>
              </w:rPr>
            </w:pPr>
          </w:p>
        </w:tc>
      </w:tr>
      <w:tr>
        <w:trPr>
          <w:trHeight w:val="183"/>
        </w:trPr>
        <w:tc>
          <w:tcPr>
            <w:tcW w:w="8860" w:type="dxa"/>
            <w:vAlign w:val="bottom"/>
          </w:tcPr>
          <w:p>
            <w:pPr>
              <w:ind w:left="740"/>
              <w:spacing w:after="0" w:line="184" w:lineRule="exact"/>
              <w:rPr>
                <w:sz w:val="20"/>
                <w:szCs w:val="20"/>
                <w:color w:val="auto"/>
              </w:rPr>
            </w:pPr>
            <w:r>
              <w:rPr>
                <w:rFonts w:ascii="Arial" w:cs="Arial" w:eastAsia="Arial" w:hAnsi="Arial"/>
                <w:sz w:val="17"/>
                <w:szCs w:val="17"/>
                <w:color w:val="auto"/>
              </w:rPr>
              <w:t>Developed technologies</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54,475</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54,475</w:t>
            </w: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2,505</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2,505</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740"/>
              <w:spacing w:after="0"/>
              <w:rPr>
                <w:sz w:val="20"/>
                <w:szCs w:val="20"/>
                <w:color w:val="auto"/>
              </w:rPr>
            </w:pPr>
            <w:r>
              <w:rPr>
                <w:rFonts w:ascii="Arial" w:cs="Arial" w:eastAsia="Arial" w:hAnsi="Arial"/>
                <w:sz w:val="17"/>
                <w:szCs w:val="17"/>
                <w:color w:val="auto"/>
              </w:rPr>
              <w:t>Total finite-lived intangible assets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274,661</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274,661</w:t>
            </w: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Accumulated amortization:</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60" w:type="dxa"/>
            <w:vAlign w:val="bottom"/>
          </w:tcPr>
          <w:p>
            <w:pPr>
              <w:ind w:left="740"/>
              <w:spacing w:after="0" w:line="184" w:lineRule="exact"/>
              <w:rPr>
                <w:sz w:val="20"/>
                <w:szCs w:val="20"/>
                <w:color w:val="auto"/>
              </w:rPr>
            </w:pPr>
            <w:r>
              <w:rPr>
                <w:rFonts w:ascii="Arial" w:cs="Arial" w:eastAsia="Arial" w:hAnsi="Arial"/>
                <w:sz w:val="17"/>
                <w:szCs w:val="17"/>
                <w:color w:val="auto"/>
              </w:rPr>
              <w:t>Backlog</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(72,630)</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(72,630)</w:t>
            </w: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Customer relationships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(46,629)</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(26,991)</w:t>
            </w:r>
          </w:p>
        </w:tc>
        <w:tc>
          <w:tcPr>
            <w:tcW w:w="0" w:type="dxa"/>
            <w:vAlign w:val="bottom"/>
          </w:tcPr>
          <w:p>
            <w:pPr>
              <w:spacing w:after="0"/>
              <w:rPr>
                <w:sz w:val="1"/>
                <w:szCs w:val="1"/>
                <w:color w:val="auto"/>
              </w:rPr>
            </w:pPr>
          </w:p>
        </w:tc>
      </w:tr>
      <w:tr>
        <w:trPr>
          <w:trHeight w:val="183"/>
        </w:trPr>
        <w:tc>
          <w:tcPr>
            <w:tcW w:w="8860" w:type="dxa"/>
            <w:vAlign w:val="bottom"/>
          </w:tcPr>
          <w:p>
            <w:pPr>
              <w:ind w:left="740"/>
              <w:spacing w:after="0" w:line="184" w:lineRule="exact"/>
              <w:rPr>
                <w:sz w:val="20"/>
                <w:szCs w:val="20"/>
                <w:color w:val="auto"/>
              </w:rPr>
            </w:pPr>
            <w:r>
              <w:rPr>
                <w:rFonts w:ascii="Arial" w:cs="Arial" w:eastAsia="Arial" w:hAnsi="Arial"/>
                <w:sz w:val="17"/>
                <w:szCs w:val="17"/>
                <w:color w:val="auto"/>
              </w:rPr>
              <w:t>Developed technologies</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(24,514)</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(19,066)</w:t>
            </w: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740"/>
              <w:spacing w:after="0" w:line="184"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(1,127)</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740"/>
              <w:spacing w:after="0"/>
              <w:rPr>
                <w:sz w:val="20"/>
                <w:szCs w:val="20"/>
                <w:color w:val="auto"/>
              </w:rPr>
            </w:pPr>
            <w:r>
              <w:rPr>
                <w:rFonts w:ascii="Arial" w:cs="Arial" w:eastAsia="Arial" w:hAnsi="Arial"/>
                <w:sz w:val="17"/>
                <w:szCs w:val="17"/>
                <w:color w:val="auto"/>
              </w:rPr>
              <w:t>Total accumulated amortization</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6"/>
              </w:rPr>
              <w:t>(144,900)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(119,564)</w:t>
            </w:r>
          </w:p>
        </w:tc>
        <w:tc>
          <w:tcPr>
            <w:tcW w:w="0" w:type="dxa"/>
            <w:vAlign w:val="bottom"/>
          </w:tcPr>
          <w:p>
            <w:pPr>
              <w:spacing w:after="0"/>
              <w:rPr>
                <w:sz w:val="1"/>
                <w:szCs w:val="1"/>
                <w:color w:val="auto"/>
              </w:rPr>
            </w:pPr>
          </w:p>
        </w:tc>
      </w:tr>
      <w:tr>
        <w:trPr>
          <w:trHeight w:val="26"/>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860" w:type="dxa"/>
            <w:vAlign w:val="bottom"/>
            <w:shd w:val="clear" w:color="auto" w:fill="CCEEFF"/>
          </w:tcPr>
          <w:p>
            <w:pPr>
              <w:ind w:left="500"/>
              <w:spacing w:after="0" w:line="184" w:lineRule="exact"/>
              <w:rPr>
                <w:sz w:val="20"/>
                <w:szCs w:val="20"/>
                <w:color w:val="auto"/>
              </w:rPr>
            </w:pPr>
            <w:r>
              <w:rPr>
                <w:rFonts w:ascii="Arial" w:cs="Arial" w:eastAsia="Arial" w:hAnsi="Arial"/>
                <w:sz w:val="17"/>
                <w:szCs w:val="17"/>
                <w:color w:val="auto"/>
              </w:rPr>
              <w:t>Total finite-lived intangible assets, net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129,761</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155,097</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00"/>
              <w:spacing w:after="0"/>
              <w:rPr>
                <w:sz w:val="20"/>
                <w:szCs w:val="20"/>
                <w:color w:val="auto"/>
              </w:rPr>
            </w:pPr>
            <w:r>
              <w:rPr>
                <w:rFonts w:ascii="Arial" w:cs="Arial" w:eastAsia="Arial" w:hAnsi="Arial"/>
                <w:sz w:val="17"/>
                <w:szCs w:val="17"/>
                <w:color w:val="auto"/>
              </w:rPr>
              <w:t>Trade name (indefinite-lived)</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31,646</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26"/>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8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intangible assets, net</w:t>
            </w:r>
          </w:p>
        </w:tc>
        <w:tc>
          <w:tcPr>
            <w:tcW w:w="10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7"/>
                <w:szCs w:val="17"/>
                <w:color w:val="auto"/>
              </w:rPr>
              <w:t>161,407</w:t>
            </w:r>
          </w:p>
        </w:tc>
        <w:tc>
          <w:tcPr>
            <w:tcW w:w="740" w:type="dxa"/>
            <w:vAlign w:val="bottom"/>
            <w:gridSpan w:val="2"/>
            <w:shd w:val="clear" w:color="auto" w:fill="CCEEFF"/>
          </w:tcPr>
          <w:p>
            <w:pPr>
              <w:ind w:left="500"/>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auto"/>
        </w:rPr>
        <w:t>As of June 30, 2016, estimated amortization expense of the Company’s intangible assets for each of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r>
      <w:tr>
        <w:trPr>
          <w:trHeight w:val="176"/>
        </w:trPr>
        <w:tc>
          <w:tcPr>
            <w:tcW w:w="58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Remainder of 2016</w:t>
            </w:r>
          </w:p>
        </w:tc>
        <w:tc>
          <w:tcPr>
            <w:tcW w:w="4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25,336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5840" w:type="dxa"/>
            <w:vAlign w:val="bottom"/>
          </w:tcPr>
          <w:p>
            <w:pPr>
              <w:spacing w:after="0" w:line="184" w:lineRule="exact"/>
              <w:rPr>
                <w:sz w:val="20"/>
                <w:szCs w:val="20"/>
                <w:color w:val="auto"/>
              </w:rPr>
            </w:pPr>
            <w:r>
              <w:rPr>
                <w:rFonts w:ascii="Arial" w:cs="Arial" w:eastAsia="Arial" w:hAnsi="Arial"/>
                <w:sz w:val="17"/>
                <w:szCs w:val="17"/>
                <w:color w:val="auto"/>
              </w:rPr>
              <w:t>2017</w:t>
            </w:r>
          </w:p>
        </w:tc>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37,790</w:t>
            </w:r>
          </w:p>
        </w:tc>
      </w:tr>
      <w:tr>
        <w:trPr>
          <w:trHeight w:val="183"/>
        </w:trPr>
        <w:tc>
          <w:tcPr>
            <w:tcW w:w="58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2018</w:t>
            </w:r>
          </w:p>
        </w:tc>
        <w:tc>
          <w:tcPr>
            <w:tcW w:w="4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29,371</w:t>
            </w:r>
          </w:p>
        </w:tc>
      </w:tr>
      <w:tr>
        <w:trPr>
          <w:trHeight w:val="183"/>
        </w:trPr>
        <w:tc>
          <w:tcPr>
            <w:tcW w:w="5840" w:type="dxa"/>
            <w:vAlign w:val="bottom"/>
          </w:tcPr>
          <w:p>
            <w:pPr>
              <w:spacing w:after="0" w:line="184" w:lineRule="exact"/>
              <w:rPr>
                <w:sz w:val="20"/>
                <w:szCs w:val="20"/>
                <w:color w:val="auto"/>
              </w:rPr>
            </w:pPr>
            <w:r>
              <w:rPr>
                <w:rFonts w:ascii="Arial" w:cs="Arial" w:eastAsia="Arial" w:hAnsi="Arial"/>
                <w:sz w:val="17"/>
                <w:szCs w:val="17"/>
                <w:color w:val="auto"/>
              </w:rPr>
              <w:t>2019</w:t>
            </w:r>
          </w:p>
        </w:tc>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14,639</w:t>
            </w:r>
          </w:p>
        </w:tc>
      </w:tr>
      <w:tr>
        <w:trPr>
          <w:trHeight w:val="183"/>
        </w:trPr>
        <w:tc>
          <w:tcPr>
            <w:tcW w:w="58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2020</w:t>
            </w:r>
          </w:p>
        </w:tc>
        <w:tc>
          <w:tcPr>
            <w:tcW w:w="4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7,797</w:t>
            </w:r>
          </w:p>
        </w:tc>
      </w:tr>
      <w:tr>
        <w:trPr>
          <w:trHeight w:val="190"/>
        </w:trPr>
        <w:tc>
          <w:tcPr>
            <w:tcW w:w="5840" w:type="dxa"/>
            <w:vAlign w:val="bottom"/>
          </w:tcPr>
          <w:p>
            <w:pPr>
              <w:spacing w:after="0" w:line="184" w:lineRule="exact"/>
              <w:rPr>
                <w:sz w:val="20"/>
                <w:szCs w:val="20"/>
                <w:color w:val="auto"/>
              </w:rPr>
            </w:pPr>
            <w:r>
              <w:rPr>
                <w:rFonts w:ascii="Arial" w:cs="Arial" w:eastAsia="Arial" w:hAnsi="Arial"/>
                <w:sz w:val="17"/>
                <w:szCs w:val="17"/>
                <w:color w:val="auto"/>
              </w:rPr>
              <w:t>Later years</w:t>
            </w:r>
          </w:p>
        </w:tc>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14,828</w:t>
            </w:r>
          </w:p>
        </w:tc>
        <w:tc>
          <w:tcPr>
            <w:tcW w:w="100" w:type="dxa"/>
            <w:vAlign w:val="bottom"/>
          </w:tcPr>
          <w:p>
            <w:pPr>
              <w:spacing w:after="0"/>
              <w:rPr>
                <w:sz w:val="16"/>
                <w:szCs w:val="16"/>
                <w:color w:val="auto"/>
              </w:rPr>
            </w:pPr>
          </w:p>
        </w:tc>
      </w:tr>
      <w:tr>
        <w:trPr>
          <w:trHeight w:val="183"/>
        </w:trPr>
        <w:tc>
          <w:tcPr>
            <w:tcW w:w="584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4420"/>
              <w:spacing w:after="0" w:line="18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129,761</w:t>
            </w:r>
          </w:p>
        </w:tc>
      </w:tr>
      <w:tr>
        <w:trPr>
          <w:trHeight w:val="20"/>
        </w:trPr>
        <w:tc>
          <w:tcPr>
            <w:tcW w:w="5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584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4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80" w:type="dxa"/>
            <w:vAlign w:val="bottom"/>
            <w:gridSpan w:val="2"/>
          </w:tcPr>
          <w:p>
            <w:pPr>
              <w:jc w:val="right"/>
              <w:ind w:right="180"/>
              <w:spacing w:after="0" w:line="139" w:lineRule="exact"/>
              <w:rPr>
                <w:sz w:val="20"/>
                <w:szCs w:val="20"/>
                <w:color w:val="auto"/>
              </w:rPr>
            </w:pPr>
            <w:r>
              <w:rPr>
                <w:rFonts w:ascii="Arial" w:cs="Arial" w:eastAsia="Arial" w:hAnsi="Arial"/>
                <w:sz w:val="14"/>
                <w:szCs w:val="14"/>
                <w:b w:val="1"/>
                <w:bCs w:val="1"/>
                <w:color w:val="auto"/>
                <w:w w:val="95"/>
              </w:rPr>
              <w:t>JUNE 30,</w:t>
            </w:r>
          </w:p>
        </w:tc>
        <w:tc>
          <w:tcPr>
            <w:tcW w:w="48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r>
      <w:tr>
        <w:trPr>
          <w:trHeight w:val="169"/>
        </w:trPr>
        <w:tc>
          <w:tcPr>
            <w:tcW w:w="4160" w:type="dxa"/>
            <w:vAlign w:val="bottom"/>
          </w:tcPr>
          <w:p>
            <w:pPr>
              <w:spacing w:after="0"/>
              <w:rPr>
                <w:sz w:val="14"/>
                <w:szCs w:val="14"/>
                <w:color w:val="auto"/>
              </w:rPr>
            </w:pPr>
          </w:p>
        </w:tc>
        <w:tc>
          <w:tcPr>
            <w:tcW w:w="5460" w:type="dxa"/>
            <w:vAlign w:val="bottom"/>
            <w:gridSpan w:val="2"/>
          </w:tcPr>
          <w:p>
            <w:pPr>
              <w:jc w:val="center"/>
              <w:ind w:left="478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76"/>
        </w:trPr>
        <w:tc>
          <w:tcPr>
            <w:tcW w:w="41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Employee compensation and benefits</w:t>
            </w:r>
          </w:p>
        </w:tc>
        <w:tc>
          <w:tcPr>
            <w:tcW w:w="48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97"/>
              </w:rPr>
              <w:t>$14,474</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4"/>
              <w:spacing w:after="0" w:line="17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17,195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4160" w:type="dxa"/>
            <w:vAlign w:val="bottom"/>
          </w:tcPr>
          <w:p>
            <w:pPr>
              <w:spacing w:after="0" w:line="184" w:lineRule="exact"/>
              <w:rPr>
                <w:sz w:val="20"/>
                <w:szCs w:val="20"/>
                <w:color w:val="auto"/>
              </w:rPr>
            </w:pPr>
            <w:r>
              <w:rPr>
                <w:rFonts w:ascii="Arial" w:cs="Arial" w:eastAsia="Arial" w:hAnsi="Arial"/>
                <w:sz w:val="17"/>
                <w:szCs w:val="17"/>
                <w:color w:val="auto"/>
              </w:rPr>
              <w:t>Other</w:t>
            </w:r>
          </w:p>
        </w:tc>
        <w:tc>
          <w:tcPr>
            <w:tcW w:w="4860" w:type="dxa"/>
            <w:vAlign w:val="bottom"/>
          </w:tcPr>
          <w:p>
            <w:pPr>
              <w:spacing w:after="0"/>
              <w:rPr>
                <w:sz w:val="15"/>
                <w:szCs w:val="15"/>
                <w:color w:val="auto"/>
              </w:rPr>
            </w:pPr>
          </w:p>
        </w:tc>
        <w:tc>
          <w:tcPr>
            <w:tcW w:w="780" w:type="dxa"/>
            <w:vAlign w:val="bottom"/>
            <w:gridSpan w:val="2"/>
          </w:tcPr>
          <w:p>
            <w:pPr>
              <w:jc w:val="right"/>
              <w:ind w:right="180"/>
              <w:spacing w:after="0" w:line="184" w:lineRule="exact"/>
              <w:rPr>
                <w:sz w:val="20"/>
                <w:szCs w:val="20"/>
                <w:color w:val="auto"/>
              </w:rPr>
            </w:pPr>
            <w:r>
              <w:rPr>
                <w:rFonts w:ascii="Arial" w:cs="Arial" w:eastAsia="Arial" w:hAnsi="Arial"/>
                <w:sz w:val="17"/>
                <w:szCs w:val="17"/>
                <w:color w:val="auto"/>
              </w:rPr>
              <w:t>4,209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2,916</w:t>
            </w:r>
          </w:p>
        </w:tc>
      </w:tr>
      <w:tr>
        <w:trPr>
          <w:trHeight w:val="26"/>
        </w:trPr>
        <w:tc>
          <w:tcPr>
            <w:tcW w:w="4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16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Total accrued expenses</w:t>
            </w:r>
          </w:p>
        </w:tc>
        <w:tc>
          <w:tcPr>
            <w:tcW w:w="5640" w:type="dxa"/>
            <w:vAlign w:val="bottom"/>
            <w:gridSpan w:val="3"/>
            <w:shd w:val="clear" w:color="auto" w:fill="CCEEFF"/>
          </w:tcPr>
          <w:p>
            <w:pPr>
              <w:jc w:val="center"/>
              <w:ind w:left="4603"/>
              <w:spacing w:after="0" w:line="18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18,683</w:t>
            </w:r>
          </w:p>
        </w:tc>
        <w:tc>
          <w:tcPr>
            <w:tcW w:w="720" w:type="dxa"/>
            <w:vAlign w:val="bottom"/>
            <w:gridSpan w:val="2"/>
            <w:shd w:val="clear" w:color="auto" w:fill="CCEEFF"/>
          </w:tcPr>
          <w:p>
            <w:pPr>
              <w:jc w:val="right"/>
              <w:ind w:right="64"/>
              <w:spacing w:after="0" w:line="18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20,111</w:t>
            </w:r>
          </w:p>
        </w:tc>
      </w:tr>
      <w:tr>
        <w:trPr>
          <w:trHeight w:val="20"/>
        </w:trPr>
        <w:tc>
          <w:tcPr>
            <w:tcW w:w="4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16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gridSpan w:val="3"/>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550"/>
        </w:trPr>
        <w:tc>
          <w:tcPr>
            <w:tcW w:w="4160" w:type="dxa"/>
            <w:vAlign w:val="bottom"/>
          </w:tcPr>
          <w:p>
            <w:pPr>
              <w:spacing w:after="0"/>
              <w:rPr>
                <w:sz w:val="24"/>
                <w:szCs w:val="24"/>
                <w:color w:val="auto"/>
              </w:rPr>
            </w:pPr>
          </w:p>
        </w:tc>
        <w:tc>
          <w:tcPr>
            <w:tcW w:w="5640" w:type="dxa"/>
            <w:vAlign w:val="bottom"/>
            <w:gridSpan w:val="3"/>
          </w:tcPr>
          <w:p>
            <w:pPr>
              <w:jc w:val="right"/>
              <w:ind w:right="3920"/>
              <w:spacing w:after="0"/>
              <w:rPr>
                <w:sz w:val="20"/>
                <w:szCs w:val="20"/>
                <w:color w:val="auto"/>
              </w:rPr>
            </w:pPr>
            <w:r>
              <w:rPr>
                <w:rFonts w:ascii="Arial" w:cs="Arial" w:eastAsia="Arial" w:hAnsi="Arial"/>
                <w:sz w:val="16"/>
                <w:szCs w:val="16"/>
                <w:color w:val="auto"/>
              </w:rPr>
              <w:t>F-49</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6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gridSpan w:val="2"/>
          </w:tcPr>
          <w:p>
            <w:pPr>
              <w:jc w:val="right"/>
              <w:ind w:right="180"/>
              <w:spacing w:after="0" w:line="139"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2"/>
                <w:szCs w:val="12"/>
                <w:color w:val="auto"/>
              </w:rPr>
            </w:pPr>
          </w:p>
        </w:tc>
        <w:tc>
          <w:tcPr>
            <w:tcW w:w="10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9"/>
        </w:trPr>
        <w:tc>
          <w:tcPr>
            <w:tcW w:w="6780" w:type="dxa"/>
            <w:vAlign w:val="bottom"/>
          </w:tcPr>
          <w:p>
            <w:pPr>
              <w:spacing w:after="0"/>
              <w:rPr>
                <w:sz w:val="14"/>
                <w:szCs w:val="14"/>
                <w:color w:val="auto"/>
              </w:rPr>
            </w:pPr>
          </w:p>
        </w:tc>
        <w:tc>
          <w:tcPr>
            <w:tcW w:w="29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4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6780" w:type="dxa"/>
            <w:vAlign w:val="bottom"/>
            <w:tcBorders>
              <w:top w:val="single" w:sz="8" w:color="CCEEFF"/>
            </w:tcBorders>
            <w:shd w:val="clear" w:color="auto" w:fill="CCEEFF"/>
          </w:tcPr>
          <w:p>
            <w:pPr>
              <w:ind w:left="260"/>
              <w:spacing w:after="0" w:line="176" w:lineRule="exact"/>
              <w:rPr>
                <w:sz w:val="20"/>
                <w:szCs w:val="20"/>
                <w:color w:val="auto"/>
              </w:rPr>
            </w:pPr>
            <w:r>
              <w:rPr>
                <w:rFonts w:ascii="Arial" w:cs="Arial" w:eastAsia="Arial" w:hAnsi="Arial"/>
                <w:sz w:val="17"/>
                <w:szCs w:val="17"/>
                <w:color w:val="auto"/>
              </w:rPr>
              <w:t>Term loan</w:t>
            </w:r>
          </w:p>
        </w:tc>
        <w:tc>
          <w:tcPr>
            <w:tcW w:w="2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5"/>
              </w:rPr>
              <w:t>$375,000</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94"/>
              </w:rPr>
              <w:t>390,000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3"/>
        </w:trPr>
        <w:tc>
          <w:tcPr>
            <w:tcW w:w="6780" w:type="dxa"/>
            <w:vAlign w:val="bottom"/>
          </w:tcPr>
          <w:p>
            <w:pPr>
              <w:ind w:left="260"/>
              <w:spacing w:after="0" w:line="184" w:lineRule="exact"/>
              <w:rPr>
                <w:sz w:val="20"/>
                <w:szCs w:val="20"/>
                <w:color w:val="auto"/>
              </w:rPr>
            </w:pPr>
            <w:r>
              <w:rPr>
                <w:rFonts w:ascii="Arial" w:cs="Arial" w:eastAsia="Arial" w:hAnsi="Arial"/>
                <w:sz w:val="17"/>
                <w:szCs w:val="17"/>
                <w:color w:val="auto"/>
              </w:rPr>
              <w:t>Capital lease</w:t>
            </w:r>
          </w:p>
        </w:tc>
        <w:tc>
          <w:tcPr>
            <w:tcW w:w="2260" w:type="dxa"/>
            <w:vAlign w:val="bottom"/>
          </w:tcPr>
          <w:p>
            <w:pPr>
              <w:spacing w:after="0"/>
              <w:rPr>
                <w:sz w:val="15"/>
                <w:szCs w:val="15"/>
                <w:color w:val="auto"/>
              </w:rPr>
            </w:pPr>
          </w:p>
        </w:tc>
        <w:tc>
          <w:tcPr>
            <w:tcW w:w="84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25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59</w:t>
            </w:r>
          </w:p>
        </w:tc>
        <w:tc>
          <w:tcPr>
            <w:tcW w:w="80" w:type="dxa"/>
            <w:vAlign w:val="bottom"/>
          </w:tcPr>
          <w:p>
            <w:pPr>
              <w:spacing w:after="0"/>
              <w:rPr>
                <w:sz w:val="15"/>
                <w:szCs w:val="15"/>
                <w:color w:val="auto"/>
              </w:rPr>
            </w:pPr>
          </w:p>
        </w:tc>
      </w:tr>
      <w:tr>
        <w:trPr>
          <w:trHeight w:val="26"/>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678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line="184" w:lineRule="exact"/>
              <w:rPr>
                <w:sz w:val="20"/>
                <w:szCs w:val="20"/>
                <w:color w:val="auto"/>
              </w:rPr>
            </w:pPr>
            <w:r>
              <w:rPr>
                <w:rFonts w:ascii="Arial" w:cs="Arial" w:eastAsia="Arial" w:hAnsi="Arial"/>
                <w:sz w:val="17"/>
                <w:szCs w:val="17"/>
                <w:color w:val="auto"/>
              </w:rPr>
              <w:t>375,025</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w w:val="94"/>
              </w:rPr>
              <w:t>390,059</w:t>
            </w:r>
          </w:p>
        </w:tc>
        <w:tc>
          <w:tcPr>
            <w:tcW w:w="80" w:type="dxa"/>
            <w:vAlign w:val="bottom"/>
            <w:shd w:val="clear" w:color="auto" w:fill="CCEEFF"/>
          </w:tcPr>
          <w:p>
            <w:pPr>
              <w:spacing w:after="0"/>
              <w:rPr>
                <w:sz w:val="15"/>
                <w:szCs w:val="15"/>
                <w:color w:val="auto"/>
              </w:rPr>
            </w:pPr>
          </w:p>
        </w:tc>
      </w:tr>
      <w:tr>
        <w:trPr>
          <w:trHeight w:val="183"/>
        </w:trPr>
        <w:tc>
          <w:tcPr>
            <w:tcW w:w="6780" w:type="dxa"/>
            <w:vAlign w:val="bottom"/>
          </w:tcPr>
          <w:p>
            <w:pPr>
              <w:ind w:left="260"/>
              <w:spacing w:after="0" w:line="184" w:lineRule="exact"/>
              <w:rPr>
                <w:sz w:val="20"/>
                <w:szCs w:val="20"/>
                <w:color w:val="auto"/>
              </w:rPr>
            </w:pPr>
            <w:r>
              <w:rPr>
                <w:rFonts w:ascii="Arial" w:cs="Arial" w:eastAsia="Arial" w:hAnsi="Arial"/>
                <w:sz w:val="17"/>
                <w:szCs w:val="17"/>
                <w:color w:val="auto"/>
              </w:rPr>
              <w:t>Less unamortized discount</w:t>
            </w:r>
          </w:p>
        </w:tc>
        <w:tc>
          <w:tcPr>
            <w:tcW w:w="3100" w:type="dxa"/>
            <w:vAlign w:val="bottom"/>
            <w:gridSpan w:val="3"/>
          </w:tcPr>
          <w:p>
            <w:pPr>
              <w:jc w:val="right"/>
              <w:ind w:right="80"/>
              <w:spacing w:after="0" w:line="184" w:lineRule="exact"/>
              <w:rPr>
                <w:sz w:val="20"/>
                <w:szCs w:val="20"/>
                <w:color w:val="auto"/>
              </w:rPr>
            </w:pPr>
            <w:r>
              <w:rPr>
                <w:rFonts w:ascii="Arial" w:cs="Arial" w:eastAsia="Arial" w:hAnsi="Arial"/>
                <w:sz w:val="17"/>
                <w:szCs w:val="17"/>
                <w:color w:val="auto"/>
              </w:rPr>
              <w:t>(1,795)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40"/>
              <w:spacing w:after="0" w:line="184" w:lineRule="exact"/>
              <w:rPr>
                <w:sz w:val="20"/>
                <w:szCs w:val="20"/>
                <w:color w:val="auto"/>
              </w:rPr>
            </w:pPr>
            <w:r>
              <w:rPr>
                <w:rFonts w:ascii="Arial" w:cs="Arial" w:eastAsia="Arial" w:hAnsi="Arial"/>
                <w:sz w:val="17"/>
                <w:szCs w:val="17"/>
                <w:color w:val="auto"/>
              </w:rPr>
              <w:t>(1,984)</w:t>
            </w:r>
          </w:p>
        </w:tc>
      </w:tr>
      <w:tr>
        <w:trPr>
          <w:trHeight w:val="183"/>
        </w:trPr>
        <w:tc>
          <w:tcPr>
            <w:tcW w:w="6780" w:type="dxa"/>
            <w:vAlign w:val="bottom"/>
            <w:shd w:val="clear" w:color="auto" w:fill="CCEEFF"/>
          </w:tcPr>
          <w:p>
            <w:pPr>
              <w:ind w:left="260"/>
              <w:spacing w:after="0" w:line="184" w:lineRule="exact"/>
              <w:rPr>
                <w:sz w:val="20"/>
                <w:szCs w:val="20"/>
                <w:color w:val="auto"/>
              </w:rPr>
            </w:pPr>
            <w:r>
              <w:rPr>
                <w:rFonts w:ascii="Arial" w:cs="Arial" w:eastAsia="Arial" w:hAnsi="Arial"/>
                <w:sz w:val="17"/>
                <w:szCs w:val="17"/>
                <w:color w:val="auto"/>
              </w:rPr>
              <w:t>Less unamortized term loan debt issuance costs</w:t>
            </w:r>
          </w:p>
        </w:tc>
        <w:tc>
          <w:tcPr>
            <w:tcW w:w="3100" w:type="dxa"/>
            <w:vAlign w:val="bottom"/>
            <w:gridSpan w:val="3"/>
            <w:shd w:val="clear" w:color="auto" w:fill="CCEEFF"/>
          </w:tcPr>
          <w:p>
            <w:pPr>
              <w:jc w:val="right"/>
              <w:ind w:right="80"/>
              <w:spacing w:after="0" w:line="184" w:lineRule="exact"/>
              <w:rPr>
                <w:sz w:val="20"/>
                <w:szCs w:val="20"/>
                <w:color w:val="auto"/>
              </w:rPr>
            </w:pPr>
            <w:r>
              <w:rPr>
                <w:rFonts w:ascii="Arial" w:cs="Arial" w:eastAsia="Arial" w:hAnsi="Arial"/>
                <w:sz w:val="17"/>
                <w:szCs w:val="17"/>
                <w:color w:val="auto"/>
              </w:rPr>
              <w:t>(9,172)</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40"/>
              <w:spacing w:after="0" w:line="184" w:lineRule="exact"/>
              <w:rPr>
                <w:sz w:val="20"/>
                <w:szCs w:val="20"/>
                <w:color w:val="auto"/>
              </w:rPr>
            </w:pPr>
            <w:r>
              <w:rPr>
                <w:rFonts w:ascii="Arial" w:cs="Arial" w:eastAsia="Arial" w:hAnsi="Arial"/>
                <w:sz w:val="17"/>
                <w:szCs w:val="17"/>
                <w:color w:val="auto"/>
              </w:rPr>
              <w:t>(10,134)</w:t>
            </w:r>
          </w:p>
        </w:tc>
      </w:tr>
      <w:tr>
        <w:trPr>
          <w:trHeight w:val="183"/>
        </w:trPr>
        <w:tc>
          <w:tcPr>
            <w:tcW w:w="6780" w:type="dxa"/>
            <w:vAlign w:val="bottom"/>
          </w:tcPr>
          <w:p>
            <w:pPr>
              <w:ind w:left="260"/>
              <w:spacing w:after="0" w:line="184" w:lineRule="exact"/>
              <w:rPr>
                <w:sz w:val="20"/>
                <w:szCs w:val="20"/>
                <w:color w:val="auto"/>
              </w:rPr>
            </w:pPr>
            <w:r>
              <w:rPr>
                <w:rFonts w:ascii="Arial" w:cs="Arial" w:eastAsia="Arial" w:hAnsi="Arial"/>
                <w:sz w:val="17"/>
                <w:szCs w:val="17"/>
                <w:color w:val="auto"/>
              </w:rPr>
              <w:t>Less current portion of long-term debt</w:t>
            </w:r>
          </w:p>
        </w:tc>
        <w:tc>
          <w:tcPr>
            <w:tcW w:w="2260" w:type="dxa"/>
            <w:vAlign w:val="bottom"/>
          </w:tcPr>
          <w:p>
            <w:pPr>
              <w:spacing w:after="0"/>
              <w:rPr>
                <w:sz w:val="15"/>
                <w:szCs w:val="15"/>
                <w:color w:val="auto"/>
              </w:rPr>
            </w:pPr>
          </w:p>
        </w:tc>
        <w:tc>
          <w:tcPr>
            <w:tcW w:w="84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(25)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40"/>
              <w:spacing w:after="0" w:line="184" w:lineRule="exact"/>
              <w:rPr>
                <w:sz w:val="20"/>
                <w:szCs w:val="20"/>
                <w:color w:val="auto"/>
              </w:rPr>
            </w:pPr>
            <w:r>
              <w:rPr>
                <w:rFonts w:ascii="Arial" w:cs="Arial" w:eastAsia="Arial" w:hAnsi="Arial"/>
                <w:sz w:val="17"/>
                <w:szCs w:val="17"/>
                <w:color w:val="auto"/>
              </w:rPr>
              <w:t>(59)</w:t>
            </w:r>
          </w:p>
        </w:tc>
      </w:tr>
      <w:tr>
        <w:trPr>
          <w:trHeight w:val="26"/>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67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Long-term debt, net, less current portion</w:t>
            </w:r>
          </w:p>
        </w:tc>
        <w:tc>
          <w:tcPr>
            <w:tcW w:w="2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line="184" w:lineRule="exact"/>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364,033</w:t>
            </w:r>
          </w:p>
        </w:tc>
        <w:tc>
          <w:tcPr>
            <w:tcW w:w="74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w w:val="94"/>
              </w:rPr>
              <w:t>377,882</w:t>
            </w:r>
          </w:p>
        </w:tc>
        <w:tc>
          <w:tcPr>
            <w:tcW w:w="80" w:type="dxa"/>
            <w:vAlign w:val="bottom"/>
            <w:shd w:val="clear" w:color="auto" w:fill="CCEEFF"/>
          </w:tcPr>
          <w:p>
            <w:pPr>
              <w:spacing w:after="0"/>
              <w:rPr>
                <w:sz w:val="15"/>
                <w:szCs w:val="15"/>
                <w:color w:val="auto"/>
              </w:rPr>
            </w:pPr>
          </w:p>
        </w:tc>
      </w:tr>
      <w:tr>
        <w:trPr>
          <w:trHeight w:val="20"/>
        </w:trPr>
        <w:tc>
          <w:tcPr>
            <w:tcW w:w="6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6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344"/>
        </w:trPr>
        <w:tc>
          <w:tcPr>
            <w:tcW w:w="6780" w:type="dxa"/>
            <w:vAlign w:val="bottom"/>
          </w:tcPr>
          <w:p>
            <w:pPr>
              <w:spacing w:after="0"/>
              <w:rPr>
                <w:sz w:val="20"/>
                <w:szCs w:val="20"/>
                <w:color w:val="auto"/>
              </w:rPr>
            </w:pPr>
            <w:r>
              <w:rPr>
                <w:rFonts w:ascii="Arial" w:cs="Arial" w:eastAsia="Arial" w:hAnsi="Arial"/>
                <w:sz w:val="17"/>
                <w:szCs w:val="17"/>
                <w:color w:val="auto"/>
              </w:rPr>
              <w:t>Principal payments on debt are due as follows (in thousands):</w:t>
            </w:r>
          </w:p>
        </w:tc>
        <w:tc>
          <w:tcPr>
            <w:tcW w:w="2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6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229"/>
        </w:trPr>
        <w:tc>
          <w:tcPr>
            <w:tcW w:w="6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r>
      <w:tr>
        <w:trPr>
          <w:trHeight w:val="183"/>
        </w:trPr>
        <w:tc>
          <w:tcPr>
            <w:tcW w:w="67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2016 (remaining)</w:t>
            </w:r>
          </w:p>
        </w:tc>
        <w:tc>
          <w:tcPr>
            <w:tcW w:w="2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5"/>
                <w:szCs w:val="15"/>
                <w:color w:val="auto"/>
              </w:rPr>
            </w:pPr>
          </w:p>
        </w:tc>
      </w:tr>
      <w:tr>
        <w:trPr>
          <w:trHeight w:val="183"/>
        </w:trPr>
        <w:tc>
          <w:tcPr>
            <w:tcW w:w="6780" w:type="dxa"/>
            <w:vAlign w:val="bottom"/>
          </w:tcPr>
          <w:p>
            <w:pPr>
              <w:spacing w:after="0" w:line="184" w:lineRule="exact"/>
              <w:rPr>
                <w:sz w:val="20"/>
                <w:szCs w:val="20"/>
                <w:color w:val="auto"/>
              </w:rPr>
            </w:pPr>
            <w:r>
              <w:rPr>
                <w:rFonts w:ascii="Arial" w:cs="Arial" w:eastAsia="Arial" w:hAnsi="Arial"/>
                <w:sz w:val="17"/>
                <w:szCs w:val="17"/>
                <w:color w:val="auto"/>
              </w:rPr>
              <w:t>2017</w:t>
            </w: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183"/>
        </w:trPr>
        <w:tc>
          <w:tcPr>
            <w:tcW w:w="67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2018</w:t>
            </w:r>
          </w:p>
        </w:tc>
        <w:tc>
          <w:tcPr>
            <w:tcW w:w="2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183"/>
        </w:trPr>
        <w:tc>
          <w:tcPr>
            <w:tcW w:w="6780" w:type="dxa"/>
            <w:vAlign w:val="bottom"/>
          </w:tcPr>
          <w:p>
            <w:pPr>
              <w:spacing w:after="0" w:line="184" w:lineRule="exact"/>
              <w:rPr>
                <w:sz w:val="20"/>
                <w:szCs w:val="20"/>
                <w:color w:val="auto"/>
              </w:rPr>
            </w:pPr>
            <w:r>
              <w:rPr>
                <w:rFonts w:ascii="Arial" w:cs="Arial" w:eastAsia="Arial" w:hAnsi="Arial"/>
                <w:sz w:val="17"/>
                <w:szCs w:val="17"/>
                <w:color w:val="auto"/>
              </w:rPr>
              <w:t>2019</w:t>
            </w: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00"/>
              <w:spacing w:after="0" w:line="184" w:lineRule="exact"/>
              <w:rPr>
                <w:sz w:val="20"/>
                <w:szCs w:val="20"/>
                <w:color w:val="auto"/>
              </w:rPr>
            </w:pPr>
            <w:r>
              <w:rPr>
                <w:rFonts w:ascii="Arial" w:cs="Arial" w:eastAsia="Arial" w:hAnsi="Arial"/>
                <w:sz w:val="17"/>
                <w:szCs w:val="17"/>
                <w:color w:val="auto"/>
              </w:rPr>
              <w:t>—</w:t>
            </w:r>
          </w:p>
        </w:tc>
      </w:tr>
      <w:tr>
        <w:trPr>
          <w:trHeight w:val="183"/>
        </w:trPr>
        <w:tc>
          <w:tcPr>
            <w:tcW w:w="67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2020 and thereafter</w:t>
            </w:r>
          </w:p>
        </w:tc>
        <w:tc>
          <w:tcPr>
            <w:tcW w:w="2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94"/>
              </w:rPr>
              <w:t>375,000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0"/>
        </w:trPr>
        <w:tc>
          <w:tcPr>
            <w:tcW w:w="6780" w:type="dxa"/>
            <w:vAlign w:val="bottom"/>
          </w:tcPr>
          <w:p>
            <w:pPr>
              <w:spacing w:after="0" w:line="189" w:lineRule="exact"/>
              <w:rPr>
                <w:sz w:val="20"/>
                <w:szCs w:val="20"/>
                <w:color w:val="auto"/>
              </w:rPr>
            </w:pPr>
            <w:r>
              <w:rPr>
                <w:rFonts w:ascii="Arial" w:cs="Arial" w:eastAsia="Arial" w:hAnsi="Arial"/>
                <w:sz w:val="17"/>
                <w:szCs w:val="17"/>
                <w:color w:val="auto"/>
              </w:rPr>
              <w:t>Total</w:t>
            </w: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4"/>
              </w:rPr>
              <w:t>375,025</w:t>
            </w:r>
          </w:p>
        </w:tc>
        <w:tc>
          <w:tcPr>
            <w:tcW w:w="80" w:type="dxa"/>
            <w:vAlign w:val="bottom"/>
          </w:tcPr>
          <w:p>
            <w:pPr>
              <w:spacing w:after="0"/>
              <w:rPr>
                <w:sz w:val="16"/>
                <w:szCs w:val="16"/>
                <w:color w:val="auto"/>
              </w:rPr>
            </w:pPr>
          </w:p>
        </w:tc>
      </w:tr>
      <w:tr>
        <w:trPr>
          <w:trHeight w:val="20"/>
        </w:trPr>
        <w:tc>
          <w:tcPr>
            <w:tcW w:w="6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6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The estimated fair value of the Company’s term loan based on Level 1 quoted market prices, approximates $372.7 million and $386.3 million as of June 30, 2016 and December 31, 2015, compared to the carrying value of $373.2 million and $388.0 million.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47"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On April 1, 2014 the Company entered into a new credit agreement (the “Credit Agreement”), consisting of a $530 million term loan and a $60 million revolving credit facility (“revolver”). The term loan portion of the Credit Agreement expires in April 2021 and the revolver portion expires in April 2019. The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w:t>
      </w:r>
    </w:p>
    <w:p>
      <w:pPr>
        <w:spacing w:after="0" w:line="14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Borrowings under the Credit Agreement bear interest at a rate equal to, at our option, either (a) a Eurocurency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 4.75:1.00, or 3.75% if our total net leverage ratio is less than or equal to 4.75:1.00; provided that the relevant Eurocurrency rate shall be deemed to be no less than</w:t>
      </w:r>
    </w:p>
    <w:p>
      <w:pPr>
        <w:ind w:right="100"/>
        <w:spacing w:after="0" w:line="239" w:lineRule="auto"/>
        <w:rPr>
          <w:sz w:val="20"/>
          <w:szCs w:val="20"/>
          <w:color w:val="auto"/>
        </w:rPr>
      </w:pPr>
      <w:r>
        <w:rPr>
          <w:rFonts w:ascii="Arial" w:cs="Arial" w:eastAsia="Arial" w:hAnsi="Arial"/>
          <w:sz w:val="16"/>
          <w:szCs w:val="16"/>
          <w:color w:val="auto"/>
        </w:rPr>
        <w:t xml:space="preserve">1.00% per annum; (b) a base rate, which is defined as the highest of (i) the Federal Funds Rate on such day plus </w:t>
      </w:r>
      <w:r>
        <w:rPr>
          <w:rFonts w:ascii="Arial" w:cs="Arial" w:eastAsia="Arial" w:hAnsi="Arial"/>
          <w:sz w:val="12"/>
          <w:szCs w:val="12"/>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1.00%, (ii) the Prime Lending Rate on such day, (iii) the Adjusted Eurocurrency Rate for loans denominated in U.S. dollars published on such day for an Interest Period of one month plus</w:t>
      </w:r>
    </w:p>
    <w:p>
      <w:pPr>
        <w:ind w:right="40"/>
        <w:spacing w:after="0" w:line="230" w:lineRule="auto"/>
        <w:rPr>
          <w:sz w:val="20"/>
          <w:szCs w:val="20"/>
          <w:color w:val="auto"/>
        </w:rPr>
      </w:pPr>
      <w:r>
        <w:rPr>
          <w:rFonts w:ascii="Arial" w:cs="Arial" w:eastAsia="Arial" w:hAnsi="Arial"/>
          <w:sz w:val="17"/>
          <w:szCs w:val="17"/>
          <w:color w:val="auto"/>
        </w:rPr>
        <w:t>1.00% and (iv) 2.00%, plus 3.00% per annum if our total net leverage ratio is greater than 4.75:1.00, or 2.75% if our total leverage ratio is less than or equal to 4.75:1.00; provided that the base rate shall be deemed to be no less than 2.00% per annum. We may voluntarily prepay outstanding loans under the Credit Agreement without premium or penalty. As of June 30, 2016, the interest applicable on the term loan was the Eurocurrency minimum floor interest rate of 4.75%.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449"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In addition, the Company is required to pay to the lenders a commitment fee of 0.5% quarterly for unused commitments on the revolver, subject to a step-down to 0.375% based upon achievement of a certain leverage ratio as defined within the Credit Agreement. At June 30, 2016 the Company had no outstanding borrowings under the revolver resulting in $60.0 million in undrawn capacity available under the Revolver. In addition, the Company did not have any outstanding letters of credit, which are secured by the revolving credit facilities at June 30, 2016.</w:t>
      </w:r>
    </w:p>
    <w:p>
      <w:pPr>
        <w:spacing w:after="0" w:line="14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Also within the Credit Agreement, if we have drawn greater than 30% of the commitments under the Credit Agreement as of the last date of any quarter, then we are required to report compliance with a financial covenant that is tested at the end of each quarter. This financial covenant requires us to maintain a net debt to consolidated EBITDA leverage ratio (as defined under the Credit Agreement) of less than or equal to 8.00:1.00 for any fiscal quarter ending on or prior to March 31, 2016 and 7.50:1.00, thereafter. As of June 30, 2016, we were in compliance with all covenants under our Credit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96"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The Company has a long-term incentive plan (the “Plan”) that provides for long-term equity incentive compensation for key employees, officers and directors. A variety of discretionary awards (collectively, the “Awards”) for employees and non-employee directors are authorized under the Plan, including vested shares, stock options, restricted share awards (“RSAs”), and restricted stock units (“RSUs”). No further grants will be made under the Plan after the consummation of this offering.</w:t>
      </w:r>
    </w:p>
    <w:p>
      <w:pPr>
        <w:spacing w:after="0" w:line="14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Company granted 34,812 stock options vesting equally over four years and 11,111 restricted awards which immediately vested upon issuance, during the six months ended June 30, 2016.</w:t>
      </w:r>
    </w:p>
    <w:p>
      <w:pPr>
        <w:spacing w:after="0" w:line="14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Stock-based compensation expense recognized in the condensed consolidated statements of operations related to the Awards are summarized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72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9700" w:type="dxa"/>
            <w:vAlign w:val="bottom"/>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97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64"/>
              <w:spacing w:after="0" w:line="150"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0"/>
              <w:spacing w:after="0" w:line="150"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r>
      <w:tr>
        <w:trPr>
          <w:trHeight w:val="176"/>
        </w:trPr>
        <w:tc>
          <w:tcPr>
            <w:tcW w:w="97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Direct costs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8"/>
              </w:rPr>
              <w:t>$ 2,474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3,181</w:t>
            </w:r>
          </w:p>
        </w:tc>
        <w:tc>
          <w:tcPr>
            <w:tcW w:w="100" w:type="dxa"/>
            <w:vAlign w:val="bottom"/>
            <w:shd w:val="clear" w:color="auto" w:fill="CCEEFF"/>
          </w:tcPr>
          <w:p>
            <w:pPr>
              <w:spacing w:after="0"/>
              <w:rPr>
                <w:sz w:val="15"/>
                <w:szCs w:val="15"/>
                <w:color w:val="auto"/>
              </w:rPr>
            </w:pPr>
          </w:p>
        </w:tc>
      </w:tr>
      <w:tr>
        <w:trPr>
          <w:trHeight w:val="190"/>
        </w:trPr>
        <w:tc>
          <w:tcPr>
            <w:tcW w:w="9700" w:type="dxa"/>
            <w:vAlign w:val="bottom"/>
          </w:tcPr>
          <w:p>
            <w:pPr>
              <w:spacing w:after="0" w:line="184" w:lineRule="exact"/>
              <w:rPr>
                <w:sz w:val="20"/>
                <w:szCs w:val="20"/>
                <w:color w:val="auto"/>
              </w:rPr>
            </w:pPr>
            <w:r>
              <w:rPr>
                <w:rFonts w:ascii="Arial" w:cs="Arial" w:eastAsia="Arial" w:hAnsi="Arial"/>
                <w:sz w:val="17"/>
                <w:szCs w:val="17"/>
                <w:color w:val="auto"/>
              </w:rPr>
              <w:t>Selling, general and administrative</w:t>
            </w:r>
          </w:p>
        </w:tc>
        <w:tc>
          <w:tcPr>
            <w:tcW w:w="5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1,801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1,724</w:t>
            </w:r>
          </w:p>
        </w:tc>
        <w:tc>
          <w:tcPr>
            <w:tcW w:w="100" w:type="dxa"/>
            <w:vAlign w:val="bottom"/>
          </w:tcPr>
          <w:p>
            <w:pPr>
              <w:spacing w:after="0"/>
              <w:rPr>
                <w:sz w:val="16"/>
                <w:szCs w:val="16"/>
                <w:color w:val="auto"/>
              </w:rPr>
            </w:pPr>
          </w:p>
        </w:tc>
      </w:tr>
      <w:tr>
        <w:trPr>
          <w:trHeight w:val="183"/>
        </w:trPr>
        <w:tc>
          <w:tcPr>
            <w:tcW w:w="970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Total stock-based compensation expense</w:t>
            </w:r>
          </w:p>
        </w:tc>
        <w:tc>
          <w:tcPr>
            <w:tcW w:w="800" w:type="dxa"/>
            <w:vAlign w:val="bottom"/>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w w:val="98"/>
              </w:rPr>
              <w:t>$ 4,275</w:t>
            </w:r>
          </w:p>
        </w:tc>
        <w:tc>
          <w:tcPr>
            <w:tcW w:w="3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4,905</w:t>
            </w:r>
          </w:p>
        </w:tc>
      </w:tr>
      <w:tr>
        <w:trPr>
          <w:trHeight w:val="20"/>
        </w:trPr>
        <w:tc>
          <w:tcPr>
            <w:tcW w:w="9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9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The majority of the Awards are classified as liability instruments due to a condition upon accepting the awards. Participants must execute a Contribution and Subscription Agreement that provides for the exchange of the shares issued for incentive units in the equity of a non-consolidated related party. The stock-based compensation liability was $7.2 million, of which $4.1 million is included in Other Current Liabilities and $3.1 million is included in Other Long-Term Liabilities in the condensed consolidated balance sheet at June 30, 2016. The stock-based compensation liability was $3.6 million, of which $1.7 million is included in Other Current Liabilities and $1.9 million is included in Other Long-Term Liabilities in the condensed consolidated balance sheet at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96"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The Company’s effective income tax rate was 40.6% and 105.2% for the six months ended June 30, 2016 and June 30, 2015, respectively. The Company’s effective income tax rate for the six months ended June 30, 2016 varied from the U.S. statutory rate of 35.0% primarily due to the impact of domestic and foreign uncertain tax positions.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449"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3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 June 30, 2016 and December 31, 2015. There is a reasonable possibility that a loss exceeding amounts already recognized may be incurred related to these actions; however, the Company believes that such potential losses were immaterial as of June 30, 2016.</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w:t>
      </w:r>
    </w:p>
    <w:p>
      <w:pPr>
        <w:spacing w:after="0" w:line="34" w:lineRule="exact"/>
        <w:rPr>
          <w:sz w:val="20"/>
          <w:szCs w:val="20"/>
          <w:color w:val="auto"/>
        </w:rPr>
      </w:pPr>
    </w:p>
    <w:p>
      <w:pPr>
        <w:ind w:right="320"/>
        <w:spacing w:after="0" w:line="231" w:lineRule="auto"/>
        <w:rPr>
          <w:sz w:val="20"/>
          <w:szCs w:val="20"/>
          <w:color w:val="auto"/>
        </w:rPr>
      </w:pPr>
      <w:r>
        <w:rPr>
          <w:rFonts w:ascii="Arial" w:cs="Arial" w:eastAsia="Arial" w:hAnsi="Arial"/>
          <w:sz w:val="17"/>
          <w:szCs w:val="17"/>
          <w:color w:val="auto"/>
        </w:rPr>
        <w:t>In May 2013, the Company committed to the aggregate purchase of $2.0 million of software services from a vendor during the period from June 1, 2013 through May 31, 2016. In return for the commitment, the Company receives preferential fixed rate pricing and a 5% discount on all purchases made pursuant to this agreement during its three-year term. During 2014, the Company met the aggregate purchase commitment.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Loans</w:t>
      </w:r>
    </w:p>
    <w:p>
      <w:pPr>
        <w:spacing w:after="0" w:line="3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Company periodically extends short term loans or advances to employees, typically upon commencement of employment. Total receivables as a result of these employee advances of $0.2 million existed at June 30, 2016 and December 31, 2015, respectively, and are included in the Prepaid expenses and other current assets and Other assets line item of the condensed consolidated balance sheets, respectively, depending on the contractual repayment date.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3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During the six months ended June 30, 2016, the Company incurred management fees to Cinven Limited of $0.2 million and related travel expenses of $0.1 million. During the six months ended June 30, 2015, the Company incurred management fees to Cinven Limited of $0.2 million and related travel expenses of $0.1 million. As of June 30, 2016 and December 31, 2015, the Company had outstanding accounts payable to Cinven Limited of $0.1 million and $0.1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34"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Medpace Investors, LLC, a noncontrolling shareholder owned and managed by employees of the Company, has a majority ownership interest in Symplmed Pharmaceuticals, LLC (“Symplmed”), a private pharmaceutical development company. In addition, the Chief Executive Officer and other executives of the Company are board members of Symplmed. The Company entered into a Master Services Agreement (“MSA”) with Symplmed to perform clinical trials. The MSA also provides for a financing arrangement which allows for Symplmed to defer payments of the services provided by the Company while incurring premium service charges as consideration for the deferred payment concessions. The Company has evaluated its relationship with Symplmed and concluded that Symplmed is not a variable interest entity because the Company has no direct ownership interest or relationship other than the MSA. During the six months ended June 30, 2016 and 2015, the Company recognized service revenue from Symplmed of $0.4 million and $0.5 million, respectively, in the Company’s condensed consolidated statements of operations.</w:t>
      </w:r>
    </w:p>
    <w:p>
      <w:pPr>
        <w:spacing w:after="0" w:line="145"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chief executive officer of the Company is a member of Coherus BioSciences, Inc.’s (“Coherus”) board of directors, making Coherus a related party. The Company has secured an agreement to perform Phase I through Phase III clinical trial work for certain Coherus “bio-similar” drug compounds. The agreement provides for a minimum fee commitment for clinical trial services and is cancelable without cause by either party upon 30 days prior notification. During the six months ended June 30, 2016 and 2015, the Company recognized service revenue from Coherus of $11.4 million and $10.9 million, respectively, in the Company’s condensed consolidated statements of operations. As of June 30, 2016 and December 31, 2015, respectively, the Company had accounts receivable from Coherus of $2.6 million and $2.0 million recorded in the condensed consolidated balance sheets, respectively. As of June 30, 2016 and December 31, 2015, respectively, the Company had from Coherus, $9.5 million and $8.4 million of Advanced billings and $4.1 million and $3.5 million of Pre-funded study costs, in the condensed consolidated balance sheets.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20"/>
          </w:cols>
          <w:pgMar w:left="240" w:top="449" w:right="2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 provide certain clinical development services. The Company recognized service revenue from Xenon of $0.4 million and $0.1 million during the six months ended June 30, 2016 and 2015, respectively, in the Company’s condensed consolidated statements of operations. As of June 30, 2016 and December 31, 2015, respectively, the Company had from Xenon, $1.9 million and $1.8 million of Advanced billings and $0.2 million and $0.2 million of Pre-funded study costs, in the condensed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Leased Real Estate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 Lease</w:t>
      </w:r>
    </w:p>
    <w:p>
      <w:pPr>
        <w:spacing w:after="0" w:line="37"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 Company has entered into operating leases for its corporate headquarters and a storage space facility with a related party which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leases. The lease for headquarters is for an initial term of twelve years through November 2022 with a renewal option for one 10-year term at prevailing market rates. The lease for storage space is through June 2016. The Company pays rent, taxes, insurance, and maintenance expenses that arise from the use of the properties. Annual base rent for the corporate headquarters allows for adjustments to the rental rate annually for increases in the consumer price index. Lease expense recognized for the six months ended June 30, 2016 and 2015 was $1.1 million and $1.1 million, respectively. The lease expense was allocated between Direct costs, excluding depreciation, amortization, and Selling, general and administrative in the 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Deemed Assets and Deemed Landlord Liabilities</w:t>
      </w:r>
    </w:p>
    <w:p>
      <w:pPr>
        <w:spacing w:after="0" w:line="45"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Company entered into two multi-year lease agreements with related parties governing the occupancy of space of two buildings in Cincinnati, Ohio. The related parties are wholly owned by the Company’s chief executive officer and certain of his immediate family. In accordance with the accounting guidance related to leases, the Company was deemed in substance to be the owner of the property during the construction phase and at completion. Accordingly, the Company reflected the buildings and related liabilities as deemed assets from landlord building construction in Property and equipment, net and Deemed landlord liabilities, respectively, on the condensed consolidated balance sheets. The Company assumed occupancy in 2012 and the leases expire in 2027 with the Company having one 10-year option to extend the lease term. The deemed assets are being fully depreciated, on a straight line basis, over the 15-year term of the lease. Deemed landlord liabilities are recorded at their net present value when the Company enters into qualifying leases and are reduced as the Company makes periodic lease payments on the properties. Accretion expense is being recorded over the term of the lease as a component of Interest expense, net in the Company’s condensed consolidated statements of operations. The Company paid $1.9 million and $1.6 million during the six months ended June 30, 2016 and 2015, respectively. The current and long-term portions of the Deemed landlord liability at June 30, 2016 were $1.7 million and $29.4 million, respectively. The current and long-term portions of the Deemed landlord liability at December 31, 2015 were $1.6 million and $30.3 million, respectively. The Company has recognized deemed assets, net of $18.9 million and $19.8 million at June 30, 2016 and December 31, 2015, respectively, in the condensed consolidated balance sheets.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Travel Services</w:t>
      </w:r>
    </w:p>
    <w:p>
      <w:pPr>
        <w:spacing w:after="0" w:line="47"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which is owned by the chief executive officer and another executive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$0.5 million and $0.5 million during the six months ended June 30, 2016 and 2015, respectively. These travel expenses are recorded in Selling, general and administrative in the Company’s condensed consolidated statements of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400"/>
          </w:cols>
          <w:pgMar w:left="240" w:top="449" w:right="2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9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 has evaluated subsequent events through July 25, 2016, the date on which the condensed consolidated financial statements were available to be issued.</w:t>
      </w:r>
    </w:p>
    <w:p>
      <w:pPr>
        <w:spacing w:after="0" w:line="19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disclosed in Note 1, on July 25, 2016, the Board of Directors of the Company approved, and made legally effective, a 1-for-1.35 reverse stock split of the Company’s common stock. All share, stock option and per share information presented in the condensed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400"/>
          </w:cols>
          <w:pgMar w:left="240" w:top="449" w:right="25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50430" cy="247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940"/>
          </w:cols>
          <w:pgMar w:left="240" w:top="44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28"/>
          <w:szCs w:val="2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780"/>
        <w:spacing w:after="0"/>
        <w:rPr>
          <w:sz w:val="20"/>
          <w:szCs w:val="20"/>
          <w:color w:val="auto"/>
        </w:rPr>
      </w:pPr>
      <w:r>
        <w:rPr>
          <w:rFonts w:ascii="Arial" w:cs="Arial" w:eastAsia="Arial" w:hAnsi="Arial"/>
          <w:sz w:val="35"/>
          <w:szCs w:val="35"/>
          <w:b w:val="1"/>
          <w:bCs w:val="1"/>
          <w:color w:val="auto"/>
        </w:rPr>
        <w:t>Medpace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00"/>
        <w:spacing w:after="0"/>
        <w:rPr>
          <w:sz w:val="20"/>
          <w:szCs w:val="20"/>
          <w:color w:val="auto"/>
        </w:rPr>
      </w:pPr>
      <w:r>
        <w:rPr>
          <w:rFonts w:ascii="Arial" w:cs="Arial" w:eastAsia="Arial" w:hAnsi="Arial"/>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850900</wp:posOffset>
            </wp:positionV>
            <wp:extent cx="22453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153035</wp:posOffset>
            </wp:positionV>
            <wp:extent cx="22453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40"/>
        <w:spacing w:after="0"/>
        <w:rPr>
          <w:sz w:val="20"/>
          <w:szCs w:val="20"/>
          <w:color w:val="auto"/>
        </w:rPr>
      </w:pPr>
      <w:r>
        <w:rPr>
          <w:rFonts w:ascii="Arial" w:cs="Arial" w:eastAsia="Arial" w:hAnsi="Arial"/>
          <w:sz w:val="17"/>
          <w:szCs w:val="17"/>
          <w:i w:val="1"/>
          <w:iCs w:val="1"/>
          <w:color w:val="auto"/>
        </w:rPr>
        <w:t>Joint Book-Running Managers</w:t>
      </w:r>
    </w:p>
    <w:p>
      <w:pPr>
        <w:spacing w:after="0" w:line="296" w:lineRule="exact"/>
        <w:rPr>
          <w:sz w:val="20"/>
          <w:szCs w:val="20"/>
          <w:color w:val="auto"/>
        </w:rPr>
      </w:pPr>
    </w:p>
    <w:p>
      <w:pPr>
        <w:jc w:val="center"/>
        <w:ind w:right="-479"/>
        <w:spacing w:after="0"/>
        <w:rPr>
          <w:sz w:val="20"/>
          <w:szCs w:val="20"/>
          <w:color w:val="auto"/>
        </w:rPr>
      </w:pPr>
      <w:r>
        <w:rPr>
          <w:rFonts w:ascii="Arial" w:cs="Arial" w:eastAsia="Arial" w:hAnsi="Arial"/>
          <w:sz w:val="28"/>
          <w:szCs w:val="28"/>
          <w:b w:val="1"/>
          <w:bCs w:val="1"/>
          <w:color w:val="auto"/>
        </w:rPr>
        <w:t>Jefferies</w:t>
      </w:r>
    </w:p>
    <w:p>
      <w:pPr>
        <w:spacing w:after="0" w:line="39" w:lineRule="exact"/>
        <w:rPr>
          <w:sz w:val="20"/>
          <w:szCs w:val="20"/>
          <w:color w:val="auto"/>
        </w:rPr>
      </w:pPr>
    </w:p>
    <w:p>
      <w:pPr>
        <w:jc w:val="center"/>
        <w:ind w:right="-479"/>
        <w:spacing w:after="0"/>
        <w:rPr>
          <w:sz w:val="20"/>
          <w:szCs w:val="20"/>
          <w:color w:val="auto"/>
        </w:rPr>
      </w:pPr>
      <w:r>
        <w:rPr>
          <w:rFonts w:ascii="Arial" w:cs="Arial" w:eastAsia="Arial" w:hAnsi="Arial"/>
          <w:sz w:val="28"/>
          <w:szCs w:val="28"/>
          <w:b w:val="1"/>
          <w:bCs w:val="1"/>
          <w:color w:val="auto"/>
        </w:rPr>
        <w:t>Credit Suisse</w:t>
      </w:r>
    </w:p>
    <w:p>
      <w:pPr>
        <w:spacing w:after="0" w:line="11" w:lineRule="exact"/>
        <w:rPr>
          <w:sz w:val="20"/>
          <w:szCs w:val="20"/>
          <w:color w:val="auto"/>
        </w:rPr>
      </w:pPr>
    </w:p>
    <w:p>
      <w:pPr>
        <w:ind w:left="4440"/>
        <w:spacing w:after="0"/>
        <w:rPr>
          <w:sz w:val="20"/>
          <w:szCs w:val="20"/>
          <w:color w:val="auto"/>
        </w:rPr>
      </w:pPr>
      <w:r>
        <w:rPr>
          <w:rFonts w:ascii="Arial" w:cs="Arial" w:eastAsia="Arial" w:hAnsi="Arial"/>
          <w:sz w:val="24"/>
          <w:szCs w:val="24"/>
          <w:b w:val="1"/>
          <w:bCs w:val="1"/>
          <w:color w:val="auto"/>
        </w:rPr>
        <w:t>UBS Investment Bank</w:t>
      </w:r>
    </w:p>
    <w:p>
      <w:pPr>
        <w:spacing w:after="0" w:line="12" w:lineRule="exact"/>
        <w:rPr>
          <w:sz w:val="20"/>
          <w:szCs w:val="20"/>
          <w:color w:val="auto"/>
        </w:rPr>
      </w:pPr>
    </w:p>
    <w:p>
      <w:pPr>
        <w:ind w:left="4400"/>
        <w:spacing w:after="0"/>
        <w:rPr>
          <w:sz w:val="20"/>
          <w:szCs w:val="20"/>
          <w:color w:val="auto"/>
        </w:rPr>
      </w:pPr>
      <w:r>
        <w:rPr>
          <w:rFonts w:ascii="Arial" w:cs="Arial" w:eastAsia="Arial" w:hAnsi="Arial"/>
          <w:sz w:val="24"/>
          <w:szCs w:val="24"/>
          <w:b w:val="1"/>
          <w:bCs w:val="1"/>
          <w:color w:val="auto"/>
        </w:rPr>
        <w:t>Wells Fargo Securities</w:t>
      </w:r>
    </w:p>
    <w:p>
      <w:pPr>
        <w:spacing w:after="0" w:line="200" w:lineRule="exact"/>
        <w:rPr>
          <w:sz w:val="20"/>
          <w:szCs w:val="20"/>
          <w:color w:val="auto"/>
        </w:rPr>
      </w:pPr>
    </w:p>
    <w:p>
      <w:pPr>
        <w:spacing w:after="0" w:line="316" w:lineRule="exact"/>
        <w:rPr>
          <w:sz w:val="20"/>
          <w:szCs w:val="20"/>
          <w:color w:val="auto"/>
        </w:rPr>
      </w:pPr>
    </w:p>
    <w:p>
      <w:pPr>
        <w:jc w:val="center"/>
        <w:ind w:right="-479"/>
        <w:spacing w:after="0"/>
        <w:rPr>
          <w:sz w:val="20"/>
          <w:szCs w:val="20"/>
          <w:color w:val="auto"/>
        </w:rPr>
      </w:pPr>
      <w:r>
        <w:rPr>
          <w:rFonts w:ascii="Arial" w:cs="Arial" w:eastAsia="Arial" w:hAnsi="Arial"/>
          <w:sz w:val="17"/>
          <w:szCs w:val="17"/>
          <w:i w:val="1"/>
          <w:iCs w:val="1"/>
          <w:color w:val="auto"/>
        </w:rPr>
        <w:t>Co-Managers</w:t>
      </w:r>
    </w:p>
    <w:p>
      <w:pPr>
        <w:spacing w:after="0" w:line="302"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auto"/>
        </w:rPr>
        <w:t>Baird</w:t>
      </w:r>
    </w:p>
    <w:p>
      <w:pPr>
        <w:spacing w:after="0" w:line="20"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auto"/>
        </w:rPr>
        <w:t>William Blair</w:t>
      </w:r>
    </w:p>
    <w:p>
      <w:pPr>
        <w:spacing w:after="0" w:line="200" w:lineRule="exact"/>
        <w:rPr>
          <w:sz w:val="20"/>
          <w:szCs w:val="20"/>
          <w:color w:val="auto"/>
        </w:rPr>
      </w:pPr>
    </w:p>
    <w:p>
      <w:pPr>
        <w:spacing w:after="0" w:line="3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2016</w:t>
      </w:r>
    </w:p>
    <w:p>
      <w:pPr>
        <w:spacing w:after="0" w:line="185"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b w:val="1"/>
          <w:bCs w:val="1"/>
          <w:color w:val="auto"/>
        </w:rPr>
        <w:t>Through and including</w:t>
      </w:r>
      <w:r>
        <w:rPr>
          <w:sz w:val="20"/>
          <w:szCs w:val="20"/>
          <w:color w:val="auto"/>
        </w:rPr>
        <w:tab/>
      </w:r>
      <w:r>
        <w:rPr>
          <w:rFonts w:ascii="Arial" w:cs="Arial" w:eastAsia="Arial" w:hAnsi="Arial"/>
          <w:sz w:val="16"/>
          <w:szCs w:val="16"/>
          <w:b w:val="1"/>
          <w:bCs w:val="1"/>
          <w:color w:val="auto"/>
        </w:rPr>
        <w:t>, 2016 (the 25th day after the date of this prospectus), all dealers effecting transactions in these securities,</w:t>
      </w:r>
    </w:p>
    <w:p>
      <w:pPr>
        <w:spacing w:after="0" w:line="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47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4765"/>
                    </a:xfrm>
                    <a:prstGeom prst="rect">
                      <a:avLst/>
                    </a:prstGeom>
                    <a:noFill/>
                  </pic:spPr>
                </pic:pic>
              </a:graphicData>
            </a:graphic>
          </wp:anchor>
        </w:drawing>
      </w:r>
    </w:p>
    <w:p>
      <w:pPr>
        <w:sectPr>
          <w:pgSz w:w="11900" w:h="16838" w:orient="portrait"/>
          <w:cols w:equalWidth="0" w:num="1">
            <w:col w:w="10940"/>
          </w:cols>
          <w:pgMar w:left="240" w:top="449" w:right="719" w:bottom="1440" w:gutter="0" w:footer="0" w:header="0"/>
          <w:type w:val="continuous"/>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INFORMATION NOT REQUIRED IN THE PROSPECTUS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96"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The following table sets forth all fees and expenses, other than the underwriting discounts and commissions payable solely by Medpace Holdings, Inc. in connection with the offer and sale of the securities being registered. All amounts shown are estimated except for the SEC registration fee, the Financial Industry Regulatory Authority, Inc., or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0430" cy="1244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12446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7"/>
          <w:szCs w:val="17"/>
          <w:color w:val="auto"/>
        </w:rPr>
        <w:t>FINRA filing fee</w:t>
      </w:r>
    </w:p>
    <w:p>
      <w:pPr>
        <w:spacing w:after="0" w:line="225" w:lineRule="auto"/>
        <w:rPr>
          <w:sz w:val="20"/>
          <w:szCs w:val="20"/>
          <w:color w:val="auto"/>
        </w:rPr>
      </w:pPr>
      <w:r>
        <w:rPr>
          <w:rFonts w:ascii="Arial" w:cs="Arial" w:eastAsia="Arial" w:hAnsi="Arial"/>
          <w:sz w:val="17"/>
          <w:szCs w:val="17"/>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1162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11620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color w:val="auto"/>
        </w:rPr>
        <w:t>Accounting fees and expenses</w:t>
      </w:r>
    </w:p>
    <w:p>
      <w:pPr>
        <w:spacing w:after="0" w:line="225" w:lineRule="auto"/>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1162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11620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color w:val="auto"/>
        </w:rPr>
        <w:t>Printing expenses</w:t>
      </w:r>
    </w:p>
    <w:p>
      <w:pPr>
        <w:spacing w:after="0"/>
        <w:rPr>
          <w:sz w:val="20"/>
          <w:szCs w:val="20"/>
          <w:color w:val="auto"/>
        </w:rPr>
      </w:pPr>
      <w:r>
        <w:rPr>
          <w:rFonts w:ascii="Arial" w:cs="Arial" w:eastAsia="Arial" w:hAnsi="Arial"/>
          <w:sz w:val="16"/>
          <w:szCs w:val="16"/>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1162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11620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color w:val="auto"/>
        </w:rPr>
        <w:t>Blue sky fees and expenses</w:t>
      </w:r>
    </w:p>
    <w:p>
      <w:pPr>
        <w:spacing w:after="0"/>
        <w:rPr>
          <w:sz w:val="20"/>
          <w:szCs w:val="20"/>
          <w:color w:val="auto"/>
        </w:rPr>
      </w:pPr>
      <w:r>
        <w:rPr>
          <w:rFonts w:ascii="Arial" w:cs="Arial" w:eastAsia="Arial" w:hAnsi="Arial"/>
          <w:sz w:val="17"/>
          <w:szCs w:val="17"/>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0430" cy="1162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1162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2504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AMOUNT TO BE</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PAID</w:t>
      </w:r>
    </w:p>
    <w:p>
      <w:pPr>
        <w:ind w:left="581" w:hanging="581"/>
        <w:spacing w:after="0" w:line="225" w:lineRule="auto"/>
        <w:tabs>
          <w:tab w:leader="none" w:pos="581" w:val="left"/>
        </w:tabs>
        <w:numPr>
          <w:ilvl w:val="0"/>
          <w:numId w:val="94"/>
        </w:numPr>
        <w:rPr>
          <w:rFonts w:ascii="Arial" w:cs="Arial" w:eastAsia="Arial" w:hAnsi="Arial"/>
          <w:sz w:val="17"/>
          <w:szCs w:val="17"/>
          <w:color w:val="auto"/>
        </w:rPr>
      </w:pPr>
      <w:r>
        <w:rPr>
          <w:rFonts w:ascii="Arial" w:cs="Arial" w:eastAsia="Arial" w:hAnsi="Arial"/>
          <w:sz w:val="17"/>
          <w:szCs w:val="17"/>
          <w:color w:val="auto"/>
        </w:rPr>
        <w:t>15,105</w:t>
      </w:r>
    </w:p>
    <w:p>
      <w:pPr>
        <w:ind w:left="581"/>
        <w:spacing w:after="0" w:line="225" w:lineRule="auto"/>
        <w:rPr>
          <w:rFonts w:ascii="Arial" w:cs="Arial" w:eastAsia="Arial" w:hAnsi="Arial"/>
          <w:sz w:val="17"/>
          <w:szCs w:val="17"/>
          <w:color w:val="auto"/>
        </w:rPr>
      </w:pPr>
      <w:r>
        <w:rPr>
          <w:rFonts w:ascii="Arial" w:cs="Arial" w:eastAsia="Arial" w:hAnsi="Arial"/>
          <w:sz w:val="17"/>
          <w:szCs w:val="17"/>
          <w:color w:val="auto"/>
        </w:rPr>
        <w:t>23,000</w:t>
      </w:r>
    </w:p>
    <w:p>
      <w:pPr>
        <w:jc w:val="right"/>
        <w:ind w:right="60"/>
        <w:spacing w:after="0" w:line="225" w:lineRule="auto"/>
        <w:rPr>
          <w:sz w:val="20"/>
          <w:szCs w:val="20"/>
          <w:color w:val="auto"/>
        </w:rPr>
      </w:pPr>
      <w:r>
        <w:rPr>
          <w:rFonts w:ascii="Arial" w:cs="Arial" w:eastAsia="Arial" w:hAnsi="Arial"/>
          <w:sz w:val="17"/>
          <w:szCs w:val="17"/>
          <w:color w:val="auto"/>
        </w:rPr>
        <w:t>*</w:t>
      </w:r>
    </w:p>
    <w:p>
      <w:pPr>
        <w:jc w:val="right"/>
        <w:ind w:right="60"/>
        <w:spacing w:after="0" w:line="225" w:lineRule="auto"/>
        <w:rPr>
          <w:sz w:val="20"/>
          <w:szCs w:val="20"/>
          <w:color w:val="auto"/>
        </w:rPr>
      </w:pPr>
      <w:r>
        <w:rPr>
          <w:rFonts w:ascii="Arial" w:cs="Arial" w:eastAsia="Arial" w:hAnsi="Arial"/>
          <w:sz w:val="17"/>
          <w:szCs w:val="17"/>
          <w:color w:val="auto"/>
        </w:rPr>
        <w:t>*</w:t>
      </w:r>
    </w:p>
    <w:p>
      <w:pPr>
        <w:jc w:val="right"/>
        <w:ind w:right="60"/>
        <w:spacing w:after="0" w:line="225" w:lineRule="auto"/>
        <w:rPr>
          <w:sz w:val="20"/>
          <w:szCs w:val="20"/>
          <w:color w:val="auto"/>
        </w:rPr>
      </w:pPr>
      <w:r>
        <w:rPr>
          <w:rFonts w:ascii="Arial" w:cs="Arial" w:eastAsia="Arial" w:hAnsi="Arial"/>
          <w:sz w:val="17"/>
          <w:szCs w:val="17"/>
          <w:color w:val="auto"/>
        </w:rPr>
        <w:t>*</w:t>
      </w:r>
    </w:p>
    <w:p>
      <w:pPr>
        <w:jc w:val="right"/>
        <w:ind w:right="60"/>
        <w:spacing w:after="0" w:line="225" w:lineRule="auto"/>
        <w:rPr>
          <w:sz w:val="20"/>
          <w:szCs w:val="20"/>
          <w:color w:val="auto"/>
        </w:rPr>
      </w:pPr>
      <w:r>
        <w:rPr>
          <w:rFonts w:ascii="Arial" w:cs="Arial" w:eastAsia="Arial" w:hAnsi="Arial"/>
          <w:sz w:val="17"/>
          <w:szCs w:val="17"/>
          <w:color w:val="auto"/>
        </w:rPr>
        <w:t>*</w:t>
      </w:r>
    </w:p>
    <w:p>
      <w:pPr>
        <w:jc w:val="right"/>
        <w:ind w:right="60"/>
        <w:spacing w:after="0" w:line="225" w:lineRule="auto"/>
        <w:rPr>
          <w:sz w:val="20"/>
          <w:szCs w:val="20"/>
          <w:color w:val="auto"/>
        </w:rPr>
      </w:pPr>
      <w:r>
        <w:rPr>
          <w:rFonts w:ascii="Arial" w:cs="Arial" w:eastAsia="Arial" w:hAnsi="Arial"/>
          <w:sz w:val="17"/>
          <w:szCs w:val="17"/>
          <w:color w:val="auto"/>
        </w:rPr>
        <w:t>*</w:t>
      </w:r>
    </w:p>
    <w:p>
      <w:pPr>
        <w:jc w:val="right"/>
        <w:ind w:right="60"/>
        <w:spacing w:after="0" w:line="225" w:lineRule="auto"/>
        <w:rPr>
          <w:sz w:val="20"/>
          <w:szCs w:val="20"/>
          <w:color w:val="auto"/>
        </w:rPr>
      </w:pPr>
      <w:r>
        <w:rPr>
          <w:rFonts w:ascii="Arial" w:cs="Arial" w:eastAsia="Arial" w:hAnsi="Arial"/>
          <w:sz w:val="17"/>
          <w:szCs w:val="17"/>
          <w:color w:val="auto"/>
        </w:rPr>
        <w:t>*</w:t>
      </w:r>
    </w:p>
    <w:p>
      <w:pPr>
        <w:jc w:val="right"/>
        <w:ind w:right="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902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ind w:left="1081" w:hanging="1081"/>
        <w:spacing w:after="0"/>
        <w:tabs>
          <w:tab w:leader="none" w:pos="1081" w:val="left"/>
        </w:tabs>
        <w:numPr>
          <w:ilvl w:val="0"/>
          <w:numId w:val="95"/>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902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02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6902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99" w:space="720"/>
            <w:col w:w="1201"/>
          </w:cols>
          <w:pgMar w:left="240" w:top="449" w:right="2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To be completed by amendment.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8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shareholders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of Medpace Holdings, Inc. shall be personally liable to it or its shareholders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42"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Upon consummation of this offering, our amended and restated certificate of incorporation and bylaws will provide indemnification for our directors and officers to the fullest extent permitted by the General Corporation Law of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449" w:right="239" w:bottom="1440" w:gutter="0" w:footer="0" w:header="0"/>
          <w:type w:val="continuous"/>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4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Prior to the consummation of this offering, we intend to enter into separate indemnification agreements with each of our directors and certain officers. Each indemnification agreement will provide, among other things, for indemnification to the fullest extent permitted by law and our amended and restated certificate of incorporation and bylaws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bylaws.</w:t>
      </w:r>
    </w:p>
    <w:p>
      <w:pPr>
        <w:spacing w:after="0" w:line="13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4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96"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Set forth below is information regarding shares of capital stock issued by us within the past three years. Also included is the consideration received by us for such shares and information relating to the section of the Securities Act, or rule of the SEC, under which exemption from registration was claimed.</w:t>
      </w:r>
    </w:p>
    <w:p>
      <w:pPr>
        <w:spacing w:after="0" w:line="125" w:lineRule="exact"/>
        <w:rPr>
          <w:sz w:val="20"/>
          <w:szCs w:val="20"/>
          <w:color w:val="auto"/>
        </w:rPr>
      </w:pPr>
    </w:p>
    <w:p>
      <w:pPr>
        <w:jc w:val="both"/>
        <w:ind w:right="220"/>
        <w:spacing w:after="0" w:line="231" w:lineRule="auto"/>
        <w:rPr>
          <w:sz w:val="20"/>
          <w:szCs w:val="20"/>
          <w:color w:val="auto"/>
        </w:rPr>
      </w:pPr>
      <w:r>
        <w:rPr>
          <w:rFonts w:ascii="Arial" w:cs="Arial" w:eastAsia="Arial" w:hAnsi="Arial"/>
          <w:sz w:val="17"/>
          <w:szCs w:val="17"/>
          <w:color w:val="auto"/>
        </w:rPr>
        <w:t>The amounts set forth below have been adjusted to reflect the 1-for-1.35 reverse stock split of the Company’s common stock approved by the Board and made legally effective on July 25, 2016. All of the grants described below, except for the grant of 351,851 fully vested shares of our common stock to our Chief Executive Officer on July 31, 2015, were made pursuant to our 2014 Equity Incentive Plan.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On June 10, 2014, we granted (i) stock options to purchase an aggregate of 831,165 shares of our common stock at a price of $14.40 per share,</w:t>
      </w:r>
    </w:p>
    <w:p>
      <w:pPr>
        <w:ind w:right="240" w:firstLine="5"/>
        <w:spacing w:after="0" w:line="235" w:lineRule="auto"/>
        <w:tabs>
          <w:tab w:leader="none" w:pos="230" w:val="left"/>
        </w:tabs>
        <w:numPr>
          <w:ilvl w:val="0"/>
          <w:numId w:val="96"/>
        </w:numPr>
        <w:rPr>
          <w:rFonts w:ascii="Arial" w:cs="Arial" w:eastAsia="Arial" w:hAnsi="Arial"/>
          <w:sz w:val="17"/>
          <w:szCs w:val="17"/>
          <w:color w:val="auto"/>
        </w:rPr>
      </w:pPr>
      <w:r>
        <w:rPr>
          <w:rFonts w:ascii="Arial" w:cs="Arial" w:eastAsia="Arial" w:hAnsi="Arial"/>
          <w:sz w:val="17"/>
          <w:szCs w:val="17"/>
          <w:color w:val="auto"/>
        </w:rPr>
        <w:t>207,346 fully vested shares of our common stock and (iii) 311,052 restricted shares of our common stock, in each case to certain of our employees in connection with services provided to us by such parties.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400"/>
          </w:cols>
          <w:pgMar w:left="240" w:top="449" w:right="25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120"/>
        <w:spacing w:after="0" w:line="231" w:lineRule="auto"/>
        <w:rPr>
          <w:sz w:val="20"/>
          <w:szCs w:val="20"/>
          <w:color w:val="auto"/>
        </w:rPr>
      </w:pPr>
      <w:r>
        <w:rPr>
          <w:rFonts w:ascii="Arial" w:cs="Arial" w:eastAsia="Arial" w:hAnsi="Arial"/>
          <w:sz w:val="17"/>
          <w:szCs w:val="17"/>
          <w:color w:val="auto"/>
        </w:rPr>
        <w:t>On July 7, 2014, we granted (i) stock options to purchase an aggregate of 274,805 shares of our common stock at a price of $14.40 per share, (ii) 71,252 fully vested shares of our common stock and (iii) 106,882 restricted shares of our common stock, in each case to certain of our executives and employees in connection with services provided to us by such parties.</w:t>
      </w:r>
    </w:p>
    <w:p>
      <w:pPr>
        <w:spacing w:after="0" w:line="143"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On September 1, 2014, we granted stock options to purchase an aggregate of 11,111 fully vested shares of our common stock at a price of $14.40 per share to an employee in connection with services provided to us by such party.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On September 9, 2014, we granted (i) stock options to purchase an aggregate of 14,814 shares of our common stock at a price of $14.40 per share,</w:t>
      </w:r>
    </w:p>
    <w:p>
      <w:pPr>
        <w:ind w:right="600" w:firstLine="5"/>
        <w:spacing w:after="0" w:line="235" w:lineRule="auto"/>
        <w:tabs>
          <w:tab w:leader="none" w:pos="230" w:val="left"/>
        </w:tabs>
        <w:numPr>
          <w:ilvl w:val="0"/>
          <w:numId w:val="97"/>
        </w:numPr>
        <w:rPr>
          <w:rFonts w:ascii="Arial" w:cs="Arial" w:eastAsia="Arial" w:hAnsi="Arial"/>
          <w:sz w:val="17"/>
          <w:szCs w:val="17"/>
          <w:color w:val="auto"/>
        </w:rPr>
      </w:pPr>
      <w:r>
        <w:rPr>
          <w:rFonts w:ascii="Arial" w:cs="Arial" w:eastAsia="Arial" w:hAnsi="Arial"/>
          <w:sz w:val="17"/>
          <w:szCs w:val="17"/>
          <w:color w:val="auto"/>
        </w:rPr>
        <w:t>4,444 fully vested shares of our common stock and (iii) 6,666 restricted shares of our common stock, in each case to certain of our employees in connection with services provided to us by such parties.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On March 23, 2015, we granted (i) stock options to purchase an aggregate of 583,566 shares of our common stock at a price of $16.20 per share,</w:t>
      </w:r>
    </w:p>
    <w:p>
      <w:pPr>
        <w:ind w:right="360" w:firstLine="5"/>
        <w:spacing w:after="0" w:line="235" w:lineRule="auto"/>
        <w:tabs>
          <w:tab w:leader="none" w:pos="230" w:val="left"/>
        </w:tabs>
        <w:numPr>
          <w:ilvl w:val="0"/>
          <w:numId w:val="98"/>
        </w:numPr>
        <w:rPr>
          <w:rFonts w:ascii="Arial" w:cs="Arial" w:eastAsia="Arial" w:hAnsi="Arial"/>
          <w:sz w:val="17"/>
          <w:szCs w:val="17"/>
          <w:color w:val="auto"/>
        </w:rPr>
      </w:pPr>
      <w:r>
        <w:rPr>
          <w:rFonts w:ascii="Arial" w:cs="Arial" w:eastAsia="Arial" w:hAnsi="Arial"/>
          <w:sz w:val="17"/>
          <w:szCs w:val="17"/>
          <w:color w:val="auto"/>
        </w:rPr>
        <w:t>188,949 fully vested shares of our common stock and (iii) 283,341 restricted shares of our common stock and restricted share units, in each case to certain of our employees and executives in connection with services provided to us by such parties.</w:t>
      </w: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On May 15, 2015, we granted (i) stock options to purchase an aggregate of 3,703 shares of our common stock at a price of $16.20 per share, (ii) 1,481 fully vested shares of our common stock and (iii) 2,222 restricted shares of our common stock, in each case to certain of our employees in connection with services provided to us by such parties.</w:t>
      </w:r>
    </w:p>
    <w:p>
      <w:pPr>
        <w:spacing w:after="0" w:line="143"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On July 31, 2015, we granted (i) stock options to purchase an aggregate of 69,252 shares of our common stock at a price of $16.88 per share to certain of our employees in connection with services provided to us by such parties, (ii) 351,851 fully vested shares of our common stock to our Chief Executive Officer in connection with services provided to us by him and (iii) 251,851 restricted shares of our common stock to our Chief Executive Officer in connection with services provided to us by him.</w:t>
      </w:r>
    </w:p>
    <w:p>
      <w:pPr>
        <w:spacing w:after="0" w:line="141"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On August 31, 2015, we issued and sold 37,037 shares of common stock at a price of $16.42 per share for an aggregate consideration of $608,000, and granted (i) stock options to purchase an aggregate of 74,074 shares of our common stock at a price of $16.88 per share, (ii) 29,639 fully vested shares of our common stock and (iii) 44,444 restricted shares of our common stock, in each case to an employee in connection with services provided to us by him.</w:t>
      </w:r>
    </w:p>
    <w:p>
      <w:pPr>
        <w:spacing w:after="0" w:line="134"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Additionally, from September 22, 2015 to November 10, 2015, certain of our officers and employees exercised stock options granted under our 2014 Equity Incentive Plan to purchase a total of 17,404 shares of our common stock at a price of $14.40 per share for an aggregate purchase price of approximately $250,745.</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On December 22, 2015, we granted (i) stock options to purchase an aggregate of 159,254 shares of our common stock at a price of $18.23 per share,</w:t>
      </w:r>
    </w:p>
    <w:p>
      <w:pPr>
        <w:ind w:right="420" w:firstLine="5"/>
        <w:spacing w:after="0" w:line="235" w:lineRule="auto"/>
        <w:tabs>
          <w:tab w:leader="none" w:pos="230" w:val="left"/>
        </w:tabs>
        <w:numPr>
          <w:ilvl w:val="0"/>
          <w:numId w:val="99"/>
        </w:numPr>
        <w:rPr>
          <w:rFonts w:ascii="Arial" w:cs="Arial" w:eastAsia="Arial" w:hAnsi="Arial"/>
          <w:sz w:val="17"/>
          <w:szCs w:val="17"/>
          <w:color w:val="auto"/>
        </w:rPr>
      </w:pPr>
      <w:r>
        <w:rPr>
          <w:rFonts w:ascii="Arial" w:cs="Arial" w:eastAsia="Arial" w:hAnsi="Arial"/>
          <w:sz w:val="17"/>
          <w:szCs w:val="17"/>
          <w:color w:val="auto"/>
        </w:rPr>
        <w:t>11,111 fully vested shares of our common stock and (iii) 88,888 restricted shares of our common stock, in each case to certain of our employees in connection with services provided to us by such parties.</w:t>
      </w:r>
    </w:p>
    <w:p>
      <w:pPr>
        <w:spacing w:after="0" w:line="1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On January 14, 2016, an employee exercised stock options granted under the 2014 Equity Incentive Plan to purchase a total of 462 shares of our common stock at a price of $14.40 per share for an aggregate purchase price of approximately $6,700.</w:t>
      </w:r>
    </w:p>
    <w:p>
      <w:pPr>
        <w:spacing w:after="0" w:line="14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On March 23, 2016, we granted (i) stock options to purchase an aggregate of 34,812 shares of our common stock at a price of $18.23 per share and (ii) 11,111 fully vested shares of our common stock, in each case to certain of our employees in connection with services provided to us by such parties.</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May 2, 2016, an employee exercised stock options granted under the 2014 Equity Incentive Plan to purchase a total of 133 shares of our common stock at a price of $14.40 per share for an aggregate purchase price of approximately $1,900.</w:t>
      </w:r>
    </w:p>
    <w:p>
      <w:pPr>
        <w:spacing w:after="0" w:line="141"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On June 10, 2016, an employee exercised stock options granted under the 2014 Equity Incentive Plan to purchase a total of 462 shares of our common stock at a price of $14.40 per share for an aggregate purchase price of approximately $6,700.</w:t>
      </w:r>
    </w:p>
    <w:p>
      <w:pPr>
        <w:spacing w:after="0" w:line="14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On June 23, 2016, an employee exercised stock options granted under the 2014 Equity Incentive Plan to purchase a total of 5,555 shares of our common stock at a price of $14.40 per share for an aggregate purchase price of approximately $80,000.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00"/>
          </w:cols>
          <w:pgMar w:left="240" w:top="449" w:right="25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On June 27, 2016, an employee exercised stock options granted under the 2014 Equity Incentive Plan to purchase a total of 370 shares of our common stock at a price of $16.20 per share for an aggregate purchase price of approximately $6,000.</w:t>
      </w:r>
    </w:p>
    <w:p>
      <w:pPr>
        <w:spacing w:after="0" w:line="14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On July 1, 2016, an employee exercised stock options granted under the 2014 Equity Incentive Plan to purchase a total of 7,407 shares of our common stock at a price of $14.40 per share for an aggregate purchase price of approximately $106,700.</w:t>
      </w:r>
    </w:p>
    <w:p>
      <w:pPr>
        <w:spacing w:after="0" w:line="14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On July 8, 2016, an employee exercised stock options granted under the 2014 Equity Incentive Plan to purchase a total of 1,333 shares of our common stock at a price of $14.40 per share for an aggregate purchase price of approximately $19,200.</w:t>
      </w:r>
    </w:p>
    <w:p>
      <w:pPr>
        <w:spacing w:after="0" w:line="14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in reliance upon Section 4(a)(2)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 Exhibits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exhibit index attached hereto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(b) Financial Statement Schedules</w:t>
      </w:r>
    </w:p>
    <w:p>
      <w:pPr>
        <w:spacing w:after="0" w:line="145" w:lineRule="exact"/>
        <w:rPr>
          <w:sz w:val="20"/>
          <w:szCs w:val="20"/>
          <w:color w:val="auto"/>
        </w:rPr>
      </w:pPr>
    </w:p>
    <w:p>
      <w:pPr>
        <w:ind w:right="560"/>
        <w:spacing w:after="0" w:line="235" w:lineRule="auto"/>
        <w:rPr>
          <w:sz w:val="20"/>
          <w:szCs w:val="20"/>
          <w:color w:val="auto"/>
        </w:rPr>
      </w:pPr>
      <w:r>
        <w:rPr>
          <w:rFonts w:ascii="Arial" w:cs="Arial" w:eastAsia="Arial" w:hAnsi="Arial"/>
          <w:sz w:val="17"/>
          <w:szCs w:val="17"/>
          <w:color w:val="auto"/>
        </w:rPr>
        <w:t>All schedules have been omitted because the information required to be set forth in the schedules is either not applicable or is shown in the financial statements or notes thereto.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83" w:lineRule="exact"/>
        <w:rPr>
          <w:sz w:val="20"/>
          <w:szCs w:val="20"/>
          <w:color w:val="auto"/>
        </w:rPr>
      </w:pPr>
    </w:p>
    <w:p>
      <w:pPr>
        <w:ind w:right="180" w:firstLine="5"/>
        <w:spacing w:after="0" w:line="235" w:lineRule="auto"/>
        <w:tabs>
          <w:tab w:leader="none" w:pos="24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0" w:lineRule="exact"/>
        <w:rPr>
          <w:rFonts w:ascii="Arial" w:cs="Arial" w:eastAsia="Arial" w:hAnsi="Arial"/>
          <w:sz w:val="17"/>
          <w:szCs w:val="17"/>
          <w:color w:val="auto"/>
        </w:rPr>
      </w:pPr>
    </w:p>
    <w:p>
      <w:pPr>
        <w:ind w:right="140" w:firstLine="5"/>
        <w:spacing w:after="0" w:line="227" w:lineRule="auto"/>
        <w:tabs>
          <w:tab w:leader="none" w:pos="24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Medpace Holdings, Inc. pursuant to the foregoing provisions, or otherwise, Medpace Holdings, Inc. has been advised that in the opinion of the SEC such indemnification is against public policy as expressed in the Securities Act and is, therefore, unenforceable. In the event that a claim for indemnification against such liabilities (other than the payment by Medpace Holdings, Inc. of expenses incurred or paid by a director, officer or controlling person of Medpace Holdings, Inc. in the successful defense of any action, suit or proceeding) is asserted by such director, officer or controlling person in connection with the securities being registered, Medpace Holdings,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4" w:lineRule="exact"/>
        <w:rPr>
          <w:rFonts w:ascii="Arial" w:cs="Arial" w:eastAsia="Arial" w:hAnsi="Arial"/>
          <w:sz w:val="17"/>
          <w:szCs w:val="17"/>
          <w:color w:val="auto"/>
        </w:rPr>
      </w:pPr>
    </w:p>
    <w:p>
      <w:pPr>
        <w:ind w:left="240" w:hanging="235"/>
        <w:spacing w:after="0"/>
        <w:tabs>
          <w:tab w:leader="none" w:pos="2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undersigned hereby further undertakes that:</w:t>
      </w:r>
    </w:p>
    <w:p>
      <w:pPr>
        <w:spacing w:after="0" w:line="144" w:lineRule="exact"/>
        <w:rPr>
          <w:rFonts w:ascii="Arial" w:cs="Arial" w:eastAsia="Arial" w:hAnsi="Arial"/>
          <w:sz w:val="17"/>
          <w:szCs w:val="17"/>
          <w:color w:val="auto"/>
        </w:rPr>
      </w:pPr>
    </w:p>
    <w:p>
      <w:pPr>
        <w:ind w:left="340" w:firstLine="7"/>
        <w:spacing w:after="0" w:line="231" w:lineRule="auto"/>
        <w:tabs>
          <w:tab w:leader="none" w:pos="58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Medpace Holdings, Inc. pursuant to Rule 424(b)(1) or (4) or 497(h) under the Securities Act shall be deemed to be part of this registration statement as of the time it was declared effective.</w:t>
      </w:r>
    </w:p>
    <w:p>
      <w:pPr>
        <w:spacing w:after="0" w:line="130" w:lineRule="exact"/>
        <w:rPr>
          <w:rFonts w:ascii="Arial" w:cs="Arial" w:eastAsia="Arial" w:hAnsi="Arial"/>
          <w:sz w:val="17"/>
          <w:szCs w:val="17"/>
          <w:color w:val="auto"/>
        </w:rPr>
      </w:pPr>
    </w:p>
    <w:p>
      <w:pPr>
        <w:ind w:left="600" w:hanging="253"/>
        <w:spacing w:after="0"/>
        <w:tabs>
          <w:tab w:leader="none" w:pos="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w:t>
      </w:r>
    </w:p>
    <w:p>
      <w:pPr>
        <w:ind w:left="340" w:right="120"/>
        <w:spacing w:after="0" w:line="235" w:lineRule="auto"/>
        <w:rPr>
          <w:rFonts w:ascii="Arial" w:cs="Arial" w:eastAsia="Arial" w:hAnsi="Arial"/>
          <w:sz w:val="17"/>
          <w:szCs w:val="17"/>
          <w:color w:val="auto"/>
        </w:rPr>
      </w:pPr>
      <w:r>
        <w:rPr>
          <w:rFonts w:ascii="Arial" w:cs="Arial" w:eastAsia="Arial" w:hAnsi="Arial"/>
          <w:sz w:val="17"/>
          <w:szCs w:val="17"/>
          <w:color w:val="auto"/>
        </w:rPr>
        <w:t xml:space="preserve">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400"/>
          </w:cols>
          <w:pgMar w:left="240" w:top="449" w:right="25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332"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Pursuant to the requirements of the Securities Act of 1933, as amended, Medpace Holdings, Inc. has duly caused this registration statement to be signed on its behalf by the undersigned, thereunto duly authorized, in the City of Cincinnati, State of Ohio on July 26, 2016.</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Medpace Holdings, Inc.</w:t>
      </w:r>
    </w:p>
    <w:p>
      <w:pPr>
        <w:spacing w:after="0" w:line="197" w:lineRule="exact"/>
        <w:rPr>
          <w:sz w:val="20"/>
          <w:szCs w:val="20"/>
          <w:color w:val="auto"/>
        </w:rPr>
      </w:pPr>
    </w:p>
    <w:p>
      <w:pPr>
        <w:ind w:left="6860"/>
        <w:spacing w:after="0"/>
        <w:tabs>
          <w:tab w:leader="none" w:pos="8000" w:val="left"/>
          <w:tab w:leader="none" w:pos="8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D</w:t>
      </w:r>
      <w:r>
        <w:rPr>
          <w:rFonts w:ascii="Arial" w:cs="Arial" w:eastAsia="Arial" w:hAnsi="Arial"/>
          <w:sz w:val="13"/>
          <w:szCs w:val="13"/>
          <w:color w:val="auto"/>
        </w:rPr>
        <w:t>R</w:t>
      </w:r>
      <w:r>
        <w:rPr>
          <w:rFonts w:ascii="Arial" w:cs="Arial" w:eastAsia="Arial" w:hAnsi="Arial"/>
          <w:sz w:val="17"/>
          <w:szCs w:val="17"/>
          <w:color w:val="auto"/>
        </w:rPr>
        <w:t>. A</w:t>
      </w:r>
      <w:r>
        <w:rPr>
          <w:rFonts w:ascii="Arial" w:cs="Arial" w:eastAsia="Arial" w:hAnsi="Arial"/>
          <w:sz w:val="13"/>
          <w:szCs w:val="13"/>
          <w:color w:val="auto"/>
        </w:rPr>
        <w:t>UGUST</w:t>
      </w:r>
      <w:r>
        <w:rPr>
          <w:rFonts w:ascii="Arial" w:cs="Arial" w:eastAsia="Arial" w:hAnsi="Arial"/>
          <w:sz w:val="17"/>
          <w:szCs w:val="17"/>
          <w:color w:val="auto"/>
        </w:rPr>
        <w:t xml:space="preserve"> J. T</w:t>
      </w:r>
      <w:r>
        <w:rPr>
          <w:rFonts w:ascii="Arial" w:cs="Arial" w:eastAsia="Arial" w:hAnsi="Arial"/>
          <w:sz w:val="13"/>
          <w:szCs w:val="13"/>
          <w:color w:val="auto"/>
        </w:rPr>
        <w: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4445</wp:posOffset>
            </wp:positionV>
            <wp:extent cx="27190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7"/>
          <w:szCs w:val="17"/>
          <w:color w:val="auto"/>
        </w:rPr>
        <w:t>Dr. August J. Troendle</w:t>
      </w:r>
    </w:p>
    <w:p>
      <w:pPr>
        <w:jc w:val="center"/>
        <w:ind w:left="720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5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right="1358"/>
              <w:spacing w:after="0"/>
              <w:rPr>
                <w:sz w:val="20"/>
                <w:szCs w:val="20"/>
                <w:color w:val="auto"/>
              </w:rPr>
            </w:pPr>
            <w:r>
              <w:rPr>
                <w:rFonts w:ascii="Arial" w:cs="Arial" w:eastAsia="Arial" w:hAnsi="Arial"/>
                <w:sz w:val="14"/>
                <w:szCs w:val="14"/>
                <w:b w:val="1"/>
                <w:bCs w:val="1"/>
                <w:color w:val="auto"/>
                <w:w w:val="96"/>
              </w:rPr>
              <w:t>SIGNATURE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62"/>
        </w:trPr>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1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R</w:t>
            </w:r>
            <w:r>
              <w:rPr>
                <w:rFonts w:ascii="Arial" w:cs="Arial" w:eastAsia="Arial" w:hAnsi="Arial"/>
                <w:sz w:val="17"/>
                <w:szCs w:val="17"/>
                <w:color w:val="auto"/>
              </w:rPr>
              <w:t>. A</w:t>
            </w:r>
            <w:r>
              <w:rPr>
                <w:rFonts w:ascii="Arial" w:cs="Arial" w:eastAsia="Arial" w:hAnsi="Arial"/>
                <w:sz w:val="13"/>
                <w:szCs w:val="13"/>
                <w:color w:val="auto"/>
              </w:rPr>
              <w:t>UGUST</w:t>
            </w:r>
            <w:r>
              <w:rPr>
                <w:rFonts w:ascii="Arial" w:cs="Arial" w:eastAsia="Arial" w:hAnsi="Arial"/>
                <w:sz w:val="17"/>
                <w:szCs w:val="17"/>
                <w:color w:val="auto"/>
              </w:rPr>
              <w:t xml:space="preserve"> J. T</w:t>
            </w:r>
            <w:r>
              <w:rPr>
                <w:rFonts w:ascii="Arial" w:cs="Arial" w:eastAsia="Arial" w:hAnsi="Arial"/>
                <w:sz w:val="13"/>
                <w:szCs w:val="13"/>
                <w:color w:val="auto"/>
              </w:rPr>
              <w:t>ROENDLE</w:t>
            </w:r>
          </w:p>
        </w:tc>
        <w:tc>
          <w:tcPr>
            <w:tcW w:w="10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President, Chief Executive Officer and Chairman of the Board of</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63"/>
        </w:trPr>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80" w:type="dxa"/>
            <w:vAlign w:val="bottom"/>
            <w:gridSpan w:val="2"/>
          </w:tcPr>
          <w:p>
            <w:pPr>
              <w:jc w:val="center"/>
              <w:ind w:right="1018"/>
              <w:spacing w:after="0" w:line="163" w:lineRule="exact"/>
              <w:rPr>
                <w:sz w:val="20"/>
                <w:szCs w:val="20"/>
                <w:color w:val="auto"/>
              </w:rPr>
            </w:pPr>
            <w:r>
              <w:rPr>
                <w:rFonts w:ascii="Arial" w:cs="Arial" w:eastAsia="Arial" w:hAnsi="Arial"/>
                <w:sz w:val="17"/>
                <w:szCs w:val="17"/>
                <w:color w:val="auto"/>
                <w:w w:val="96"/>
              </w:rPr>
              <w:t>Dr. August J. Troendle</w:t>
            </w:r>
          </w:p>
        </w:tc>
        <w:tc>
          <w:tcPr>
            <w:tcW w:w="100" w:type="dxa"/>
            <w:vAlign w:val="bottom"/>
          </w:tcPr>
          <w:p>
            <w:pPr>
              <w:spacing w:after="0"/>
              <w:rPr>
                <w:sz w:val="14"/>
                <w:szCs w:val="14"/>
                <w:color w:val="auto"/>
              </w:rPr>
            </w:pPr>
          </w:p>
        </w:tc>
        <w:tc>
          <w:tcPr>
            <w:tcW w:w="5060" w:type="dxa"/>
            <w:vAlign w:val="bottom"/>
            <w:gridSpan w:val="3"/>
          </w:tcPr>
          <w:p>
            <w:pPr>
              <w:spacing w:after="0" w:line="163" w:lineRule="exact"/>
              <w:rPr>
                <w:sz w:val="20"/>
                <w:szCs w:val="20"/>
                <w:color w:val="auto"/>
              </w:rPr>
            </w:pPr>
            <w:r>
              <w:rPr>
                <w:rFonts w:ascii="Arial" w:cs="Arial" w:eastAsia="Arial" w:hAnsi="Arial"/>
                <w:sz w:val="17"/>
                <w:szCs w:val="17"/>
                <w:color w:val="auto"/>
              </w:rPr>
              <w:t>Directors</w:t>
            </w:r>
          </w:p>
        </w:tc>
        <w:tc>
          <w:tcPr>
            <w:tcW w:w="1980" w:type="dxa"/>
            <w:vAlign w:val="bottom"/>
          </w:tcPr>
          <w:p>
            <w:pPr>
              <w:spacing w:after="0"/>
              <w:rPr>
                <w:sz w:val="14"/>
                <w:szCs w:val="14"/>
                <w:color w:val="auto"/>
              </w:rPr>
            </w:pPr>
          </w:p>
        </w:tc>
      </w:tr>
      <w:tr>
        <w:trPr>
          <w:trHeight w:val="200"/>
        </w:trPr>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c>
          <w:tcPr>
            <w:tcW w:w="1980" w:type="dxa"/>
            <w:vAlign w:val="bottom"/>
          </w:tcPr>
          <w:p>
            <w:pPr>
              <w:spacing w:after="0"/>
              <w:rPr>
                <w:sz w:val="17"/>
                <w:szCs w:val="17"/>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J</w:t>
            </w:r>
            <w:r>
              <w:rPr>
                <w:rFonts w:ascii="Arial" w:cs="Arial" w:eastAsia="Arial" w:hAnsi="Arial"/>
                <w:sz w:val="13"/>
                <w:szCs w:val="13"/>
                <w:color w:val="auto"/>
              </w:rPr>
              <w:t>ESSE</w:t>
            </w:r>
            <w:r>
              <w:rPr>
                <w:rFonts w:ascii="Arial" w:cs="Arial" w:eastAsia="Arial" w:hAnsi="Arial"/>
                <w:sz w:val="17"/>
                <w:szCs w:val="17"/>
                <w:color w:val="auto"/>
              </w:rPr>
              <w:t xml:space="preserve"> J. G</w:t>
            </w:r>
            <w:r>
              <w:rPr>
                <w:rFonts w:ascii="Arial" w:cs="Arial" w:eastAsia="Arial" w:hAnsi="Arial"/>
                <w:sz w:val="13"/>
                <w:szCs w:val="13"/>
                <w:color w:val="auto"/>
              </w:rPr>
              <w:t>EIGER</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Chief Financial Officer and Chief Operating Officer, Laboratory</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63"/>
        </w:trPr>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tcPr>
          <w:p>
            <w:pPr>
              <w:jc w:val="center"/>
              <w:ind w:right="1358"/>
              <w:spacing w:after="0" w:line="163" w:lineRule="exact"/>
              <w:rPr>
                <w:sz w:val="20"/>
                <w:szCs w:val="20"/>
                <w:color w:val="auto"/>
              </w:rPr>
            </w:pPr>
            <w:r>
              <w:rPr>
                <w:rFonts w:ascii="Arial" w:cs="Arial" w:eastAsia="Arial" w:hAnsi="Arial"/>
                <w:sz w:val="17"/>
                <w:szCs w:val="17"/>
                <w:color w:val="auto"/>
                <w:w w:val="98"/>
              </w:rPr>
              <w:t>Jesse J. Geiger</w:t>
            </w:r>
          </w:p>
        </w:tc>
        <w:tc>
          <w:tcPr>
            <w:tcW w:w="100" w:type="dxa"/>
            <w:vAlign w:val="bottom"/>
          </w:tcPr>
          <w:p>
            <w:pPr>
              <w:spacing w:after="0"/>
              <w:rPr>
                <w:sz w:val="14"/>
                <w:szCs w:val="14"/>
                <w:color w:val="auto"/>
              </w:rPr>
            </w:pPr>
          </w:p>
        </w:tc>
        <w:tc>
          <w:tcPr>
            <w:tcW w:w="5060" w:type="dxa"/>
            <w:vAlign w:val="bottom"/>
            <w:gridSpan w:val="3"/>
          </w:tcPr>
          <w:p>
            <w:pPr>
              <w:spacing w:after="0" w:line="163" w:lineRule="exact"/>
              <w:rPr>
                <w:sz w:val="20"/>
                <w:szCs w:val="20"/>
                <w:color w:val="auto"/>
              </w:rPr>
            </w:pPr>
            <w:r>
              <w:rPr>
                <w:rFonts w:ascii="Arial" w:cs="Arial" w:eastAsia="Arial" w:hAnsi="Arial"/>
                <w:sz w:val="17"/>
                <w:szCs w:val="17"/>
                <w:color w:val="auto"/>
              </w:rPr>
              <w:t>Operations (Principal Financial Officer and Principal Accounting</w:t>
            </w:r>
          </w:p>
        </w:tc>
        <w:tc>
          <w:tcPr>
            <w:tcW w:w="1980" w:type="dxa"/>
            <w:vAlign w:val="bottom"/>
          </w:tcPr>
          <w:p>
            <w:pPr>
              <w:spacing w:after="0"/>
              <w:rPr>
                <w:sz w:val="14"/>
                <w:szCs w:val="14"/>
                <w:color w:val="auto"/>
              </w:rPr>
            </w:pPr>
          </w:p>
        </w:tc>
      </w:tr>
      <w:tr>
        <w:trPr>
          <w:trHeight w:val="200"/>
        </w:trPr>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Officer)</w:t>
            </w:r>
          </w:p>
        </w:tc>
        <w:tc>
          <w:tcPr>
            <w:tcW w:w="1980" w:type="dxa"/>
            <w:vAlign w:val="bottom"/>
          </w:tcPr>
          <w:p>
            <w:pPr>
              <w:spacing w:after="0"/>
              <w:rPr>
                <w:sz w:val="17"/>
                <w:szCs w:val="17"/>
                <w:color w:val="auto"/>
              </w:rPr>
            </w:pPr>
          </w:p>
        </w:tc>
      </w:tr>
      <w:tr>
        <w:trPr>
          <w:trHeight w:val="330"/>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3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93"/>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80" w:type="dxa"/>
            <w:vAlign w:val="bottom"/>
            <w:gridSpan w:val="2"/>
          </w:tcPr>
          <w:p>
            <w:pPr>
              <w:jc w:val="center"/>
              <w:ind w:right="1018"/>
              <w:spacing w:after="0" w:line="194" w:lineRule="exact"/>
              <w:rPr>
                <w:sz w:val="20"/>
                <w:szCs w:val="20"/>
                <w:color w:val="auto"/>
              </w:rPr>
            </w:pPr>
            <w:r>
              <w:rPr>
                <w:rFonts w:ascii="Arial" w:cs="Arial" w:eastAsia="Arial" w:hAnsi="Arial"/>
                <w:sz w:val="17"/>
                <w:szCs w:val="17"/>
                <w:color w:val="auto"/>
                <w:w w:val="96"/>
              </w:rPr>
              <w:t>Dr. Supraj R. Rajagopalan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37"/>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3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93"/>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80" w:type="dxa"/>
            <w:vAlign w:val="bottom"/>
            <w:gridSpan w:val="2"/>
          </w:tcPr>
          <w:p>
            <w:pPr>
              <w:jc w:val="center"/>
              <w:ind w:right="1018"/>
              <w:spacing w:after="0" w:line="194" w:lineRule="exact"/>
              <w:rPr>
                <w:sz w:val="20"/>
                <w:szCs w:val="20"/>
                <w:color w:val="auto"/>
              </w:rPr>
            </w:pPr>
            <w:r>
              <w:rPr>
                <w:rFonts w:ascii="Arial" w:cs="Arial" w:eastAsia="Arial" w:hAnsi="Arial"/>
                <w:sz w:val="17"/>
                <w:szCs w:val="17"/>
                <w:color w:val="auto"/>
                <w:w w:val="96"/>
              </w:rPr>
              <w:t>Alexander F.S. Leslie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37"/>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3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93"/>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tcPr>
          <w:p>
            <w:pPr>
              <w:jc w:val="center"/>
              <w:ind w:right="1358"/>
              <w:spacing w:after="0" w:line="194" w:lineRule="exact"/>
              <w:rPr>
                <w:sz w:val="20"/>
                <w:szCs w:val="20"/>
                <w:color w:val="auto"/>
              </w:rPr>
            </w:pPr>
            <w:r>
              <w:rPr>
                <w:rFonts w:ascii="Arial" w:cs="Arial" w:eastAsia="Arial" w:hAnsi="Arial"/>
                <w:sz w:val="17"/>
                <w:szCs w:val="17"/>
                <w:color w:val="auto"/>
                <w:w w:val="98"/>
              </w:rPr>
              <w:t>Matthew R. Norton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88"/>
        </w:trPr>
        <w:tc>
          <w:tcPr>
            <w:tcW w:w="1100" w:type="dxa"/>
            <w:vAlign w:val="bottom"/>
            <w:gridSpan w:val="2"/>
          </w:tcPr>
          <w:p>
            <w:pPr>
              <w:spacing w:after="0"/>
              <w:rPr>
                <w:sz w:val="20"/>
                <w:szCs w:val="20"/>
                <w:color w:val="auto"/>
              </w:rPr>
            </w:pPr>
            <w:r>
              <w:rPr>
                <w:rFonts w:ascii="Arial" w:cs="Arial" w:eastAsia="Arial" w:hAnsi="Arial"/>
                <w:sz w:val="17"/>
                <w:szCs w:val="17"/>
                <w:color w:val="auto"/>
              </w:rPr>
              <w:t>*By:</w:t>
            </w:r>
          </w:p>
        </w:tc>
        <w:tc>
          <w:tcPr>
            <w:tcW w:w="340" w:type="dxa"/>
            <w:vAlign w:val="bottom"/>
          </w:tcPr>
          <w:p>
            <w:pPr>
              <w:ind w:left="14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2840" w:type="dxa"/>
            <w:vAlign w:val="bottom"/>
          </w:tcPr>
          <w:p>
            <w:pPr>
              <w:ind w:left="16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R</w:t>
            </w:r>
            <w:r>
              <w:rPr>
                <w:rFonts w:ascii="Arial" w:cs="Arial" w:eastAsia="Arial" w:hAnsi="Arial"/>
                <w:sz w:val="17"/>
                <w:szCs w:val="17"/>
                <w:color w:val="auto"/>
              </w:rPr>
              <w:t>. A</w:t>
            </w:r>
            <w:r>
              <w:rPr>
                <w:rFonts w:ascii="Arial" w:cs="Arial" w:eastAsia="Arial" w:hAnsi="Arial"/>
                <w:sz w:val="13"/>
                <w:szCs w:val="13"/>
                <w:color w:val="auto"/>
              </w:rPr>
              <w:t>UGUST</w:t>
            </w:r>
            <w:r>
              <w:rPr>
                <w:rFonts w:ascii="Arial" w:cs="Arial" w:eastAsia="Arial" w:hAnsi="Arial"/>
                <w:sz w:val="17"/>
                <w:szCs w:val="17"/>
                <w:color w:val="auto"/>
              </w:rPr>
              <w:t xml:space="preserve"> J. T</w:t>
            </w:r>
            <w:r>
              <w:rPr>
                <w:rFonts w:ascii="Arial" w:cs="Arial" w:eastAsia="Arial" w:hAnsi="Arial"/>
                <w:sz w:val="13"/>
                <w:szCs w:val="13"/>
                <w:color w:val="auto"/>
              </w:rPr>
              <w:t>ROENDLE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54"/>
        </w:trPr>
        <w:tc>
          <w:tcPr>
            <w:tcW w:w="3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tcPr>
          <w:p>
            <w:pPr>
              <w:jc w:val="center"/>
              <w:ind w:right="598"/>
              <w:spacing w:after="0" w:line="154" w:lineRule="exact"/>
              <w:rPr>
                <w:sz w:val="20"/>
                <w:szCs w:val="20"/>
                <w:color w:val="auto"/>
              </w:rPr>
            </w:pPr>
            <w:r>
              <w:rPr>
                <w:rFonts w:ascii="Arial" w:cs="Arial" w:eastAsia="Arial" w:hAnsi="Arial"/>
                <w:sz w:val="17"/>
                <w:szCs w:val="17"/>
                <w:color w:val="auto"/>
                <w:w w:val="96"/>
              </w:rPr>
              <w:t>Dr. August J. Troendle</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18"/>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ind w:right="598"/>
              <w:spacing w:after="0"/>
              <w:rPr>
                <w:sz w:val="20"/>
                <w:szCs w:val="20"/>
                <w:color w:val="auto"/>
              </w:rPr>
            </w:pPr>
            <w:r>
              <w:rPr>
                <w:rFonts w:ascii="Arial" w:cs="Arial" w:eastAsia="Arial" w:hAnsi="Arial"/>
                <w:sz w:val="17"/>
                <w:szCs w:val="17"/>
                <w:i w:val="1"/>
                <w:iCs w:val="1"/>
                <w:color w:val="auto"/>
                <w:w w:val="97"/>
              </w:rPr>
              <w:t>Attorney-in-fact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2"/>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332"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Each of the undersigned directors of Medpace Holdings, Inc. hereby constitutes and appoints, Dr. August J. Troendle and Jesse J. Geiger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Medpace Holdings,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420"/>
          </w:cols>
          <w:pgMar w:left="240" w:top="449" w:right="2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right="1360"/>
              <w:spacing w:after="0"/>
              <w:rPr>
                <w:sz w:val="20"/>
                <w:szCs w:val="20"/>
                <w:color w:val="auto"/>
              </w:rPr>
            </w:pPr>
            <w:r>
              <w:rPr>
                <w:rFonts w:ascii="Arial" w:cs="Arial" w:eastAsia="Arial" w:hAnsi="Arial"/>
                <w:sz w:val="14"/>
                <w:szCs w:val="14"/>
                <w:b w:val="1"/>
                <w:bCs w:val="1"/>
                <w:color w:val="auto"/>
                <w:w w:val="96"/>
              </w:rPr>
              <w:t>SIGNATURE</w:t>
            </w:r>
          </w:p>
        </w:tc>
        <w:tc>
          <w:tcPr>
            <w:tcW w:w="100" w:type="dxa"/>
            <w:vAlign w:val="bottom"/>
          </w:tcPr>
          <w:p>
            <w:pPr>
              <w:spacing w:after="0"/>
              <w:rPr>
                <w:sz w:val="15"/>
                <w:szCs w:val="15"/>
                <w:color w:val="auto"/>
              </w:rPr>
            </w:pPr>
          </w:p>
        </w:tc>
        <w:tc>
          <w:tcPr>
            <w:tcW w:w="48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68"/>
        </w:trPr>
        <w:tc>
          <w:tcPr>
            <w:tcW w:w="144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40" w:type="dxa"/>
            <w:vAlign w:val="bottom"/>
            <w:tcBorders>
              <w:bottom w:val="single" w:sz="8" w:color="auto"/>
            </w:tcBorders>
          </w:tcPr>
          <w:p>
            <w:pPr>
              <w:jc w:val="center"/>
              <w:ind w:right="1300"/>
              <w:spacing w:after="0"/>
              <w:rPr>
                <w:sz w:val="20"/>
                <w:szCs w:val="20"/>
                <w:color w:val="auto"/>
              </w:rPr>
            </w:pPr>
            <w:r>
              <w:rPr>
                <w:rFonts w:ascii="Arial" w:cs="Arial" w:eastAsia="Arial" w:hAnsi="Arial"/>
                <w:sz w:val="17"/>
                <w:szCs w:val="17"/>
                <w:color w:val="auto"/>
              </w:rPr>
              <w:t>R</w:t>
            </w:r>
            <w:r>
              <w:rPr>
                <w:rFonts w:ascii="Arial" w:cs="Arial" w:eastAsia="Arial" w:hAnsi="Arial"/>
                <w:sz w:val="13"/>
                <w:szCs w:val="13"/>
                <w:color w:val="auto"/>
              </w:rPr>
              <w:t>OBERT</w:t>
            </w:r>
            <w:r>
              <w:rPr>
                <w:rFonts w:ascii="Arial" w:cs="Arial" w:eastAsia="Arial" w:hAnsi="Arial"/>
                <w:sz w:val="17"/>
                <w:szCs w:val="17"/>
                <w:color w:val="auto"/>
              </w:rPr>
              <w:t xml:space="preserve"> O. K</w:t>
            </w:r>
            <w:r>
              <w:rPr>
                <w:rFonts w:ascii="Arial" w:cs="Arial" w:eastAsia="Arial" w:hAnsi="Arial"/>
                <w:sz w:val="13"/>
                <w:szCs w:val="13"/>
                <w:color w:val="auto"/>
              </w:rPr>
              <w:t>RAFT</w:t>
            </w:r>
          </w:p>
        </w:tc>
        <w:tc>
          <w:tcPr>
            <w:tcW w:w="10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93"/>
        </w:trPr>
        <w:tc>
          <w:tcPr>
            <w:tcW w:w="1440" w:type="dxa"/>
            <w:vAlign w:val="bottom"/>
          </w:tcPr>
          <w:p>
            <w:pPr>
              <w:spacing w:after="0"/>
              <w:rPr>
                <w:sz w:val="16"/>
                <w:szCs w:val="16"/>
                <w:color w:val="auto"/>
              </w:rPr>
            </w:pPr>
          </w:p>
        </w:tc>
        <w:tc>
          <w:tcPr>
            <w:tcW w:w="2840" w:type="dxa"/>
            <w:vAlign w:val="bottom"/>
          </w:tcPr>
          <w:p>
            <w:pPr>
              <w:jc w:val="center"/>
              <w:ind w:right="1360"/>
              <w:spacing w:after="0" w:line="194" w:lineRule="exact"/>
              <w:rPr>
                <w:sz w:val="20"/>
                <w:szCs w:val="20"/>
                <w:color w:val="auto"/>
              </w:rPr>
            </w:pPr>
            <w:r>
              <w:rPr>
                <w:rFonts w:ascii="Arial" w:cs="Arial" w:eastAsia="Arial" w:hAnsi="Arial"/>
                <w:sz w:val="17"/>
                <w:szCs w:val="17"/>
                <w:color w:val="auto"/>
                <w:w w:val="97"/>
              </w:rPr>
              <w:t>Robert O. Kraft</w:t>
            </w:r>
          </w:p>
        </w:tc>
        <w:tc>
          <w:tcPr>
            <w:tcW w:w="1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37"/>
        </w:trPr>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40" w:type="dxa"/>
            <w:vAlign w:val="bottom"/>
            <w:tcBorders>
              <w:bottom w:val="single" w:sz="8" w:color="auto"/>
            </w:tcBorders>
          </w:tcPr>
          <w:p>
            <w:pPr>
              <w:jc w:val="center"/>
              <w:ind w:right="1300"/>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RIAN</w:t>
            </w:r>
            <w:r>
              <w:rPr>
                <w:rFonts w:ascii="Arial" w:cs="Arial" w:eastAsia="Arial" w:hAnsi="Arial"/>
                <w:sz w:val="17"/>
                <w:szCs w:val="17"/>
                <w:color w:val="auto"/>
              </w:rPr>
              <w:t xml:space="preserve"> T. C</w:t>
            </w:r>
            <w:r>
              <w:rPr>
                <w:rFonts w:ascii="Arial" w:cs="Arial" w:eastAsia="Arial" w:hAnsi="Arial"/>
                <w:sz w:val="13"/>
                <w:szCs w:val="13"/>
                <w:color w:val="auto"/>
              </w:rPr>
              <w:t>ARLEY</w:t>
            </w: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w w:val="96"/>
              </w:rPr>
              <w:t>July 26, 2016</w:t>
            </w:r>
          </w:p>
        </w:tc>
      </w:tr>
      <w:tr>
        <w:trPr>
          <w:trHeight w:val="193"/>
        </w:trPr>
        <w:tc>
          <w:tcPr>
            <w:tcW w:w="1440" w:type="dxa"/>
            <w:vAlign w:val="bottom"/>
          </w:tcPr>
          <w:p>
            <w:pPr>
              <w:spacing w:after="0"/>
              <w:rPr>
                <w:sz w:val="16"/>
                <w:szCs w:val="16"/>
                <w:color w:val="auto"/>
              </w:rPr>
            </w:pPr>
          </w:p>
        </w:tc>
        <w:tc>
          <w:tcPr>
            <w:tcW w:w="2840" w:type="dxa"/>
            <w:vAlign w:val="bottom"/>
          </w:tcPr>
          <w:p>
            <w:pPr>
              <w:jc w:val="center"/>
              <w:ind w:right="1360"/>
              <w:spacing w:after="0" w:line="194" w:lineRule="exact"/>
              <w:rPr>
                <w:sz w:val="20"/>
                <w:szCs w:val="20"/>
                <w:color w:val="auto"/>
              </w:rPr>
            </w:pPr>
            <w:r>
              <w:rPr>
                <w:rFonts w:ascii="Arial" w:cs="Arial" w:eastAsia="Arial" w:hAnsi="Arial"/>
                <w:sz w:val="17"/>
                <w:szCs w:val="17"/>
                <w:color w:val="auto"/>
                <w:w w:val="95"/>
              </w:rPr>
              <w:t>Brian T. Carley</w:t>
            </w:r>
          </w:p>
        </w:tc>
        <w:tc>
          <w:tcPr>
            <w:tcW w:w="1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30"/>
        </w:trPr>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2"/>
          </w:tcPr>
          <w:p>
            <w:pPr>
              <w:ind w:left="1220"/>
              <w:spacing w:after="0"/>
              <w:rPr>
                <w:sz w:val="20"/>
                <w:szCs w:val="20"/>
                <w:color w:val="auto"/>
              </w:rPr>
            </w:pPr>
            <w:r>
              <w:rPr>
                <w:rFonts w:ascii="Arial" w:cs="Arial" w:eastAsia="Arial" w:hAnsi="Arial"/>
                <w:sz w:val="16"/>
                <w:szCs w:val="16"/>
                <w:color w:val="auto"/>
              </w:rPr>
              <w:t>II-6</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00" w:type="dxa"/>
            <w:vAlign w:val="bottom"/>
          </w:tcPr>
          <w:p>
            <w:pPr>
              <w:ind w:left="396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197"/>
        </w:trPr>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60" w:type="dxa"/>
            <w:vAlign w:val="bottom"/>
          </w:tcPr>
          <w:p>
            <w:pPr>
              <w:spacing w:after="0"/>
              <w:rPr>
                <w:sz w:val="24"/>
                <w:szCs w:val="2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NO.</w:t>
            </w:r>
          </w:p>
        </w:tc>
        <w:tc>
          <w:tcPr>
            <w:tcW w:w="10500" w:type="dxa"/>
            <w:vAlign w:val="bottom"/>
            <w:vMerge w:val="restart"/>
          </w:tcPr>
          <w:p>
            <w:pPr>
              <w:ind w:left="280"/>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1.1**</w:t>
            </w:r>
          </w:p>
        </w:tc>
        <w:tc>
          <w:tcPr>
            <w:tcW w:w="320" w:type="dxa"/>
            <w:vAlign w:val="bottom"/>
          </w:tcPr>
          <w:p>
            <w:pPr>
              <w:spacing w:after="0"/>
              <w:rPr>
                <w:sz w:val="17"/>
                <w:szCs w:val="17"/>
                <w:color w:val="auto"/>
              </w:rPr>
            </w:pPr>
          </w:p>
        </w:tc>
        <w:tc>
          <w:tcPr>
            <w:tcW w:w="10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00" w:type="dxa"/>
            <w:vAlign w:val="bottom"/>
            <w:gridSpan w:val="2"/>
          </w:tcPr>
          <w:p>
            <w:pPr>
              <w:ind w:left="100"/>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23"/>
                <w:szCs w:val="23"/>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Form of Amended and Restated Certificate of Incorporation of Medpace Holdings, Inc., to be in effect upon the consummation of this</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303"/>
        </w:trPr>
        <w:tc>
          <w:tcPr>
            <w:tcW w:w="600" w:type="dxa"/>
            <w:vAlign w:val="bottom"/>
            <w:gridSpan w:val="2"/>
          </w:tcPr>
          <w:p>
            <w:pPr>
              <w:ind w:left="100"/>
              <w:spacing w:after="0"/>
              <w:rPr>
                <w:sz w:val="20"/>
                <w:szCs w:val="20"/>
                <w:color w:val="auto"/>
              </w:rPr>
            </w:pPr>
            <w:r>
              <w:rPr>
                <w:rFonts w:ascii="Arial" w:cs="Arial" w:eastAsia="Arial" w:hAnsi="Arial"/>
                <w:sz w:val="17"/>
                <w:szCs w:val="17"/>
                <w:color w:val="auto"/>
              </w:rPr>
              <w:t>3.2**</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Form of Amended and Restated Bylaws of Medpace Holdings, Inc. to be in effect upon the consummation of this offering.</w:t>
            </w:r>
          </w:p>
        </w:tc>
        <w:tc>
          <w:tcPr>
            <w:tcW w:w="0" w:type="dxa"/>
            <w:vAlign w:val="bottom"/>
          </w:tcPr>
          <w:p>
            <w:pPr>
              <w:spacing w:after="0"/>
              <w:rPr>
                <w:sz w:val="1"/>
                <w:szCs w:val="1"/>
                <w:color w:val="auto"/>
              </w:rPr>
            </w:pPr>
          </w:p>
        </w:tc>
      </w:tr>
      <w:tr>
        <w:trPr>
          <w:trHeight w:val="301"/>
        </w:trPr>
        <w:tc>
          <w:tcPr>
            <w:tcW w:w="60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Specimen Stock Certificate evidencing shares of common stock.</w:t>
            </w:r>
          </w:p>
        </w:tc>
        <w:tc>
          <w:tcPr>
            <w:tcW w:w="0" w:type="dxa"/>
            <w:vAlign w:val="bottom"/>
          </w:tcPr>
          <w:p>
            <w:pPr>
              <w:spacing w:after="0"/>
              <w:rPr>
                <w:sz w:val="1"/>
                <w:szCs w:val="1"/>
                <w:color w:val="auto"/>
              </w:rPr>
            </w:pPr>
          </w:p>
        </w:tc>
      </w:tr>
      <w:tr>
        <w:trPr>
          <w:trHeight w:val="301"/>
        </w:trPr>
        <w:tc>
          <w:tcPr>
            <w:tcW w:w="60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Form of Voting Agreement, to be in effect upon the consummation of this offering.</w:t>
            </w:r>
          </w:p>
        </w:tc>
        <w:tc>
          <w:tcPr>
            <w:tcW w:w="0" w:type="dxa"/>
            <w:vAlign w:val="bottom"/>
          </w:tcPr>
          <w:p>
            <w:pPr>
              <w:spacing w:after="0"/>
              <w:rPr>
                <w:sz w:val="1"/>
                <w:szCs w:val="1"/>
                <w:color w:val="auto"/>
              </w:rPr>
            </w:pPr>
          </w:p>
        </w:tc>
      </w:tr>
      <w:tr>
        <w:trPr>
          <w:trHeight w:val="301"/>
        </w:trPr>
        <w:tc>
          <w:tcPr>
            <w:tcW w:w="60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Opinion of Latham &amp; Watkins LLP.</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23"/>
                <w:szCs w:val="23"/>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w w:val="97"/>
              </w:rPr>
              <w:t>Credit Agreement, dated as of April 1, 2014, by and among Scioto Acquisition, Inc., Scioto Merger Sub, Inc., Medpace IntermediateCo, Inc.,</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Jefferies Finance LLC, as administrative agent and swingline lender, and other agents and lenders party thereto.</w:t>
            </w:r>
          </w:p>
        </w:tc>
        <w:tc>
          <w:tcPr>
            <w:tcW w:w="0" w:type="dxa"/>
            <w:vAlign w:val="bottom"/>
          </w:tcPr>
          <w:p>
            <w:pPr>
              <w:spacing w:after="0"/>
              <w:rPr>
                <w:sz w:val="1"/>
                <w:szCs w:val="1"/>
                <w:color w:val="auto"/>
              </w:rPr>
            </w:pPr>
          </w:p>
        </w:tc>
      </w:tr>
      <w:tr>
        <w:trPr>
          <w:trHeight w:val="271"/>
        </w:trPr>
        <w:tc>
          <w:tcPr>
            <w:tcW w:w="600" w:type="dxa"/>
            <w:vAlign w:val="bottom"/>
            <w:gridSpan w:val="2"/>
          </w:tcPr>
          <w:p>
            <w:pPr>
              <w:spacing w:after="0"/>
              <w:rPr>
                <w:sz w:val="20"/>
                <w:szCs w:val="20"/>
                <w:color w:val="auto"/>
              </w:rPr>
            </w:pPr>
            <w:r>
              <w:rPr>
                <w:rFonts w:ascii="Arial" w:cs="Arial" w:eastAsia="Arial" w:hAnsi="Arial"/>
                <w:sz w:val="17"/>
                <w:szCs w:val="17"/>
                <w:color w:val="auto"/>
              </w:rPr>
              <w:t>10.2**</w:t>
            </w:r>
          </w:p>
        </w:tc>
        <w:tc>
          <w:tcPr>
            <w:tcW w:w="320" w:type="dxa"/>
            <w:vAlign w:val="bottom"/>
          </w:tcPr>
          <w:p>
            <w:pPr>
              <w:spacing w:after="0"/>
              <w:rPr>
                <w:sz w:val="23"/>
                <w:szCs w:val="23"/>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w w:val="98"/>
              </w:rPr>
              <w:t>Guaranty Agreement, dated as of April 1, 2014, by and among Scioto Acquisition, Inc., Scioto Merger Sub, Inc., Medpace IntermediateCo,</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00" w:type="dxa"/>
            <w:vAlign w:val="bottom"/>
          </w:tcPr>
          <w:p>
            <w:pPr>
              <w:ind w:left="280"/>
              <w:spacing w:after="0" w:line="184" w:lineRule="exact"/>
              <w:rPr>
                <w:sz w:val="20"/>
                <w:szCs w:val="20"/>
                <w:color w:val="auto"/>
              </w:rPr>
            </w:pPr>
            <w:r>
              <w:rPr>
                <w:rFonts w:ascii="Arial" w:cs="Arial" w:eastAsia="Arial" w:hAnsi="Arial"/>
                <w:sz w:val="17"/>
                <w:szCs w:val="17"/>
                <w:color w:val="auto"/>
              </w:rPr>
              <w:t>Inc., each other direct or indirect subsidiary of Medpace Holdings, Inc. party to the Guaranty Agreement and Jefferies Finance LLC, as</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administrative agent.</w:t>
            </w:r>
          </w:p>
        </w:tc>
        <w:tc>
          <w:tcPr>
            <w:tcW w:w="0" w:type="dxa"/>
            <w:vAlign w:val="bottom"/>
          </w:tcPr>
          <w:p>
            <w:pPr>
              <w:spacing w:after="0"/>
              <w:rPr>
                <w:sz w:val="1"/>
                <w:szCs w:val="1"/>
                <w:color w:val="auto"/>
              </w:rPr>
            </w:pPr>
          </w:p>
        </w:tc>
      </w:tr>
      <w:tr>
        <w:trPr>
          <w:trHeight w:val="271"/>
        </w:trPr>
        <w:tc>
          <w:tcPr>
            <w:tcW w:w="600" w:type="dxa"/>
            <w:vAlign w:val="bottom"/>
            <w:gridSpan w:val="2"/>
          </w:tcPr>
          <w:p>
            <w:pPr>
              <w:spacing w:after="0"/>
              <w:rPr>
                <w:sz w:val="20"/>
                <w:szCs w:val="20"/>
                <w:color w:val="auto"/>
              </w:rPr>
            </w:pPr>
            <w:r>
              <w:rPr>
                <w:rFonts w:ascii="Arial" w:cs="Arial" w:eastAsia="Arial" w:hAnsi="Arial"/>
                <w:sz w:val="17"/>
                <w:szCs w:val="17"/>
                <w:color w:val="auto"/>
              </w:rPr>
              <w:t>10.3**</w:t>
            </w:r>
          </w:p>
        </w:tc>
        <w:tc>
          <w:tcPr>
            <w:tcW w:w="320" w:type="dxa"/>
            <w:vAlign w:val="bottom"/>
          </w:tcPr>
          <w:p>
            <w:pPr>
              <w:spacing w:after="0"/>
              <w:rPr>
                <w:sz w:val="23"/>
                <w:szCs w:val="23"/>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w w:val="99"/>
              </w:rPr>
              <w:t>Security Agreement, dated as of April 1, 2014, by and among Scioto Acquisition, Inc., Scioto Merger Sub, Inc., Medpace IntermediateCo,</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00" w:type="dxa"/>
            <w:vAlign w:val="bottom"/>
          </w:tcPr>
          <w:p>
            <w:pPr>
              <w:ind w:left="280"/>
              <w:spacing w:after="0" w:line="184" w:lineRule="exact"/>
              <w:rPr>
                <w:sz w:val="20"/>
                <w:szCs w:val="20"/>
                <w:color w:val="auto"/>
              </w:rPr>
            </w:pPr>
            <w:r>
              <w:rPr>
                <w:rFonts w:ascii="Arial" w:cs="Arial" w:eastAsia="Arial" w:hAnsi="Arial"/>
                <w:sz w:val="17"/>
                <w:szCs w:val="17"/>
                <w:color w:val="auto"/>
              </w:rPr>
              <w:t>Inc., each other direct or indirect subsidiary of Medpace Holdings, Inc. party to the Security Agreement and Jefferies Finance LLC, as</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administrative agent.</w:t>
            </w:r>
          </w:p>
        </w:tc>
        <w:tc>
          <w:tcPr>
            <w:tcW w:w="0" w:type="dxa"/>
            <w:vAlign w:val="bottom"/>
          </w:tcPr>
          <w:p>
            <w:pPr>
              <w:spacing w:after="0"/>
              <w:rPr>
                <w:sz w:val="1"/>
                <w:szCs w:val="1"/>
                <w:color w:val="auto"/>
              </w:rPr>
            </w:pPr>
          </w:p>
        </w:tc>
      </w:tr>
      <w:tr>
        <w:trPr>
          <w:trHeight w:val="271"/>
        </w:trPr>
        <w:tc>
          <w:tcPr>
            <w:tcW w:w="600" w:type="dxa"/>
            <w:vAlign w:val="bottom"/>
            <w:gridSpan w:val="2"/>
          </w:tcPr>
          <w:p>
            <w:pPr>
              <w:spacing w:after="0"/>
              <w:rPr>
                <w:sz w:val="20"/>
                <w:szCs w:val="20"/>
                <w:color w:val="auto"/>
              </w:rPr>
            </w:pPr>
            <w:r>
              <w:rPr>
                <w:rFonts w:ascii="Arial" w:cs="Arial" w:eastAsia="Arial" w:hAnsi="Arial"/>
                <w:sz w:val="17"/>
                <w:szCs w:val="17"/>
                <w:color w:val="auto"/>
              </w:rPr>
              <w:t>10.4**</w:t>
            </w:r>
          </w:p>
        </w:tc>
        <w:tc>
          <w:tcPr>
            <w:tcW w:w="320" w:type="dxa"/>
            <w:vAlign w:val="bottom"/>
          </w:tcPr>
          <w:p>
            <w:pPr>
              <w:spacing w:after="0"/>
              <w:rPr>
                <w:sz w:val="23"/>
                <w:szCs w:val="23"/>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Pledge Agreement, dated as of April 1, 2014, by and among Scioto Acquisition, Inc., Scioto Merger Sub, Inc., Medpace IntermediateCo,</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00" w:type="dxa"/>
            <w:vAlign w:val="bottom"/>
          </w:tcPr>
          <w:p>
            <w:pPr>
              <w:ind w:left="280"/>
              <w:spacing w:after="0" w:line="184" w:lineRule="exact"/>
              <w:rPr>
                <w:sz w:val="20"/>
                <w:szCs w:val="20"/>
                <w:color w:val="auto"/>
              </w:rPr>
            </w:pPr>
            <w:r>
              <w:rPr>
                <w:rFonts w:ascii="Arial" w:cs="Arial" w:eastAsia="Arial" w:hAnsi="Arial"/>
                <w:sz w:val="17"/>
                <w:szCs w:val="17"/>
                <w:color w:val="auto"/>
              </w:rPr>
              <w:t>Inc., each other direct or indirect subsidiary of Medpace Holdings, Inc. party to the Pledge Agreement and Jefferies Finance LLC, as</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administrative agent.</w:t>
            </w:r>
          </w:p>
        </w:tc>
        <w:tc>
          <w:tcPr>
            <w:tcW w:w="0" w:type="dxa"/>
            <w:vAlign w:val="bottom"/>
          </w:tcPr>
          <w:p>
            <w:pPr>
              <w:spacing w:after="0"/>
              <w:rPr>
                <w:sz w:val="1"/>
                <w:szCs w:val="1"/>
                <w:color w:val="auto"/>
              </w:rPr>
            </w:pPr>
          </w:p>
        </w:tc>
      </w:tr>
      <w:tr>
        <w:trPr>
          <w:trHeight w:val="303"/>
        </w:trPr>
        <w:tc>
          <w:tcPr>
            <w:tcW w:w="920" w:type="dxa"/>
            <w:vAlign w:val="bottom"/>
            <w:gridSpan w:val="3"/>
          </w:tcPr>
          <w:p>
            <w:pPr>
              <w:spacing w:after="0"/>
              <w:rPr>
                <w:sz w:val="20"/>
                <w:szCs w:val="20"/>
                <w:color w:val="auto"/>
              </w:rPr>
            </w:pPr>
            <w:r>
              <w:rPr>
                <w:rFonts w:ascii="Arial" w:cs="Arial" w:eastAsia="Arial" w:hAnsi="Arial"/>
                <w:sz w:val="17"/>
                <w:szCs w:val="17"/>
                <w:color w:val="auto"/>
              </w:rPr>
              <w:t>10.5†**</w:t>
            </w:r>
          </w:p>
        </w:tc>
        <w:tc>
          <w:tcPr>
            <w:tcW w:w="10500" w:type="dxa"/>
            <w:vAlign w:val="bottom"/>
          </w:tcPr>
          <w:p>
            <w:pPr>
              <w:ind w:left="280"/>
              <w:spacing w:after="0"/>
              <w:rPr>
                <w:sz w:val="20"/>
                <w:szCs w:val="20"/>
                <w:color w:val="auto"/>
              </w:rPr>
            </w:pPr>
            <w:r>
              <w:rPr>
                <w:rFonts w:ascii="Arial" w:cs="Arial" w:eastAsia="Arial" w:hAnsi="Arial"/>
                <w:sz w:val="17"/>
                <w:szCs w:val="17"/>
                <w:color w:val="auto"/>
              </w:rPr>
              <w:t>Employment Agreement, dated as of June 17, 2011, by and between Medpace, Inc. and Dr. August J. Troendle.</w:t>
            </w:r>
          </w:p>
        </w:tc>
        <w:tc>
          <w:tcPr>
            <w:tcW w:w="0" w:type="dxa"/>
            <w:vAlign w:val="bottom"/>
          </w:tcPr>
          <w:p>
            <w:pPr>
              <w:spacing w:after="0"/>
              <w:rPr>
                <w:sz w:val="1"/>
                <w:szCs w:val="1"/>
                <w:color w:val="auto"/>
              </w:rPr>
            </w:pPr>
          </w:p>
        </w:tc>
      </w:tr>
      <w:tr>
        <w:trPr>
          <w:trHeight w:val="301"/>
        </w:trPr>
        <w:tc>
          <w:tcPr>
            <w:tcW w:w="920" w:type="dxa"/>
            <w:vAlign w:val="bottom"/>
            <w:gridSpan w:val="3"/>
          </w:tcPr>
          <w:p>
            <w:pPr>
              <w:spacing w:after="0"/>
              <w:rPr>
                <w:sz w:val="20"/>
                <w:szCs w:val="20"/>
                <w:color w:val="auto"/>
              </w:rPr>
            </w:pPr>
            <w:r>
              <w:rPr>
                <w:rFonts w:ascii="Arial" w:cs="Arial" w:eastAsia="Arial" w:hAnsi="Arial"/>
                <w:sz w:val="17"/>
                <w:szCs w:val="17"/>
                <w:color w:val="auto"/>
              </w:rPr>
              <w:t>10.6†**</w:t>
            </w:r>
          </w:p>
        </w:tc>
        <w:tc>
          <w:tcPr>
            <w:tcW w:w="10500" w:type="dxa"/>
            <w:vAlign w:val="bottom"/>
          </w:tcPr>
          <w:p>
            <w:pPr>
              <w:ind w:left="280"/>
              <w:spacing w:after="0"/>
              <w:rPr>
                <w:sz w:val="20"/>
                <w:szCs w:val="20"/>
                <w:color w:val="auto"/>
              </w:rPr>
            </w:pPr>
            <w:r>
              <w:rPr>
                <w:rFonts w:ascii="Arial" w:cs="Arial" w:eastAsia="Arial" w:hAnsi="Arial"/>
                <w:sz w:val="17"/>
                <w:szCs w:val="17"/>
                <w:color w:val="auto"/>
              </w:rPr>
              <w:t>Scioto Holdings, Inc. 2014 Equity Incentive Plan.</w:t>
            </w:r>
          </w:p>
        </w:tc>
        <w:tc>
          <w:tcPr>
            <w:tcW w:w="0" w:type="dxa"/>
            <w:vAlign w:val="bottom"/>
          </w:tcPr>
          <w:p>
            <w:pPr>
              <w:spacing w:after="0"/>
              <w:rPr>
                <w:sz w:val="1"/>
                <w:szCs w:val="1"/>
                <w:color w:val="auto"/>
              </w:rPr>
            </w:pPr>
          </w:p>
        </w:tc>
      </w:tr>
      <w:tr>
        <w:trPr>
          <w:trHeight w:val="301"/>
        </w:trPr>
        <w:tc>
          <w:tcPr>
            <w:tcW w:w="920" w:type="dxa"/>
            <w:vAlign w:val="bottom"/>
            <w:gridSpan w:val="3"/>
          </w:tcPr>
          <w:p>
            <w:pPr>
              <w:spacing w:after="0"/>
              <w:rPr>
                <w:sz w:val="20"/>
                <w:szCs w:val="20"/>
                <w:color w:val="auto"/>
              </w:rPr>
            </w:pPr>
            <w:r>
              <w:rPr>
                <w:rFonts w:ascii="Arial" w:cs="Arial" w:eastAsia="Arial" w:hAnsi="Arial"/>
                <w:sz w:val="17"/>
                <w:szCs w:val="17"/>
                <w:color w:val="auto"/>
              </w:rPr>
              <w:t>10.7†</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w:t>
            </w:r>
          </w:p>
        </w:tc>
        <w:tc>
          <w:tcPr>
            <w:tcW w:w="0" w:type="dxa"/>
            <w:vAlign w:val="bottom"/>
          </w:tcPr>
          <w:p>
            <w:pPr>
              <w:spacing w:after="0"/>
              <w:rPr>
                <w:sz w:val="1"/>
                <w:szCs w:val="1"/>
                <w:color w:val="auto"/>
              </w:rPr>
            </w:pPr>
          </w:p>
        </w:tc>
      </w:tr>
      <w:tr>
        <w:trPr>
          <w:trHeight w:val="301"/>
        </w:trPr>
        <w:tc>
          <w:tcPr>
            <w:tcW w:w="920" w:type="dxa"/>
            <w:vAlign w:val="bottom"/>
            <w:gridSpan w:val="3"/>
          </w:tcPr>
          <w:p>
            <w:pPr>
              <w:spacing w:after="0"/>
              <w:rPr>
                <w:sz w:val="20"/>
                <w:szCs w:val="20"/>
                <w:color w:val="auto"/>
              </w:rPr>
            </w:pPr>
            <w:r>
              <w:rPr>
                <w:rFonts w:ascii="Arial" w:cs="Arial" w:eastAsia="Arial" w:hAnsi="Arial"/>
                <w:sz w:val="17"/>
                <w:szCs w:val="17"/>
                <w:color w:val="auto"/>
              </w:rPr>
              <w:t>10.8†**</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Senior Executive Incentive Bonus Plan.</w:t>
            </w: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Arial" w:cs="Arial" w:eastAsia="Arial" w:hAnsi="Arial"/>
                <w:sz w:val="17"/>
                <w:szCs w:val="17"/>
                <w:color w:val="auto"/>
              </w:rPr>
              <w:t>10.9</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Form of Registration Rights Agreement, to be in effect upon the consummation of this offering.</w:t>
            </w: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Arial" w:cs="Arial" w:eastAsia="Arial" w:hAnsi="Arial"/>
                <w:sz w:val="17"/>
                <w:szCs w:val="17"/>
                <w:color w:val="auto"/>
              </w:rPr>
              <w:t>10.10**</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Lease, dated as of October 7, 2010, by and between Medpace, Inc. and 100 Medpace Way, LLC.</w:t>
            </w: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Arial" w:cs="Arial" w:eastAsia="Arial" w:hAnsi="Arial"/>
                <w:sz w:val="17"/>
                <w:szCs w:val="17"/>
                <w:color w:val="auto"/>
              </w:rPr>
              <w:t>10.11**</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Lease, dated as of June 3, 2011, by and between Medpace, Inc. and 200 Medpace Way, LLC.</w:t>
            </w: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Arial" w:cs="Arial" w:eastAsia="Arial" w:hAnsi="Arial"/>
                <w:sz w:val="17"/>
                <w:szCs w:val="17"/>
                <w:color w:val="auto"/>
              </w:rPr>
              <w:t>10.12**</w:t>
            </w:r>
          </w:p>
        </w:tc>
        <w:tc>
          <w:tcPr>
            <w:tcW w:w="320" w:type="dxa"/>
            <w:vAlign w:val="bottom"/>
          </w:tcPr>
          <w:p>
            <w:pPr>
              <w:spacing w:after="0"/>
              <w:rPr>
                <w:sz w:val="24"/>
                <w:szCs w:val="24"/>
                <w:color w:val="auto"/>
              </w:rPr>
            </w:pPr>
          </w:p>
        </w:tc>
        <w:tc>
          <w:tcPr>
            <w:tcW w:w="10500" w:type="dxa"/>
            <w:vAlign w:val="bottom"/>
          </w:tcPr>
          <w:p>
            <w:pPr>
              <w:ind w:left="280"/>
              <w:spacing w:after="0"/>
              <w:rPr>
                <w:sz w:val="20"/>
                <w:szCs w:val="20"/>
                <w:color w:val="auto"/>
              </w:rPr>
            </w:pPr>
            <w:r>
              <w:rPr>
                <w:rFonts w:ascii="Arial" w:cs="Arial" w:eastAsia="Arial" w:hAnsi="Arial"/>
                <w:sz w:val="17"/>
                <w:szCs w:val="17"/>
                <w:color w:val="auto"/>
              </w:rPr>
              <w:t>Lease, dated as of June 3, 2011, by and between Medpace, Inc. and 300 Medpace Way, LLC.</w:t>
            </w:r>
          </w:p>
        </w:tc>
        <w:tc>
          <w:tcPr>
            <w:tcW w:w="0" w:type="dxa"/>
            <w:vAlign w:val="bottom"/>
          </w:tcPr>
          <w:p>
            <w:pPr>
              <w:spacing w:after="0"/>
              <w:rPr>
                <w:sz w:val="1"/>
                <w:szCs w:val="1"/>
                <w:color w:val="auto"/>
              </w:rPr>
            </w:pPr>
          </w:p>
        </w:tc>
      </w:tr>
      <w:tr>
        <w:trPr>
          <w:trHeight w:val="286"/>
        </w:trPr>
        <w:tc>
          <w:tcPr>
            <w:tcW w:w="920" w:type="dxa"/>
            <w:vAlign w:val="bottom"/>
            <w:gridSpan w:val="3"/>
          </w:tcPr>
          <w:p>
            <w:pPr>
              <w:spacing w:after="0"/>
              <w:rPr>
                <w:sz w:val="20"/>
                <w:szCs w:val="20"/>
                <w:color w:val="auto"/>
              </w:rPr>
            </w:pPr>
            <w:r>
              <w:rPr>
                <w:rFonts w:ascii="Arial" w:cs="Arial" w:eastAsia="Arial" w:hAnsi="Arial"/>
                <w:sz w:val="17"/>
                <w:szCs w:val="17"/>
                <w:color w:val="auto"/>
              </w:rPr>
              <w:t>10.13†*</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Restricted Stock Award Grant Notice.</w:t>
            </w:r>
          </w:p>
        </w:tc>
        <w:tc>
          <w:tcPr>
            <w:tcW w:w="0" w:type="dxa"/>
            <w:vAlign w:val="bottom"/>
          </w:tcPr>
          <w:p>
            <w:pPr>
              <w:spacing w:after="0"/>
              <w:rPr>
                <w:sz w:val="1"/>
                <w:szCs w:val="1"/>
                <w:color w:val="auto"/>
              </w:rPr>
            </w:pPr>
          </w:p>
        </w:tc>
      </w:tr>
      <w:tr>
        <w:trPr>
          <w:trHeight w:val="288"/>
        </w:trPr>
        <w:tc>
          <w:tcPr>
            <w:tcW w:w="920" w:type="dxa"/>
            <w:vAlign w:val="bottom"/>
            <w:gridSpan w:val="3"/>
          </w:tcPr>
          <w:p>
            <w:pPr>
              <w:spacing w:after="0"/>
              <w:rPr>
                <w:sz w:val="20"/>
                <w:szCs w:val="20"/>
                <w:color w:val="auto"/>
              </w:rPr>
            </w:pPr>
            <w:r>
              <w:rPr>
                <w:rFonts w:ascii="Arial" w:cs="Arial" w:eastAsia="Arial" w:hAnsi="Arial"/>
                <w:sz w:val="17"/>
                <w:szCs w:val="17"/>
                <w:color w:val="auto"/>
              </w:rPr>
              <w:t>10.14†*</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Stock Option Grant Notice and Stock Option Agreement.</w:t>
            </w:r>
          </w:p>
        </w:tc>
        <w:tc>
          <w:tcPr>
            <w:tcW w:w="0" w:type="dxa"/>
            <w:vAlign w:val="bottom"/>
          </w:tcPr>
          <w:p>
            <w:pPr>
              <w:spacing w:after="0"/>
              <w:rPr>
                <w:sz w:val="1"/>
                <w:szCs w:val="1"/>
                <w:color w:val="auto"/>
              </w:rPr>
            </w:pPr>
          </w:p>
        </w:tc>
      </w:tr>
      <w:tr>
        <w:trPr>
          <w:trHeight w:val="419"/>
        </w:trPr>
        <w:tc>
          <w:tcPr>
            <w:tcW w:w="920" w:type="dxa"/>
            <w:vAlign w:val="bottom"/>
            <w:gridSpan w:val="3"/>
          </w:tcPr>
          <w:p>
            <w:pPr>
              <w:spacing w:after="0"/>
              <w:rPr>
                <w:sz w:val="20"/>
                <w:szCs w:val="20"/>
                <w:color w:val="auto"/>
              </w:rPr>
            </w:pPr>
            <w:r>
              <w:rPr>
                <w:rFonts w:ascii="Arial" w:cs="Arial" w:eastAsia="Arial" w:hAnsi="Arial"/>
                <w:sz w:val="17"/>
                <w:szCs w:val="17"/>
                <w:color w:val="auto"/>
              </w:rPr>
              <w:t>10.15†*</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Restricted Unit Award Notice.</w:t>
            </w:r>
          </w:p>
        </w:tc>
        <w:tc>
          <w:tcPr>
            <w:tcW w:w="0" w:type="dxa"/>
            <w:vAlign w:val="bottom"/>
          </w:tcPr>
          <w:p>
            <w:pPr>
              <w:spacing w:after="0"/>
              <w:rPr>
                <w:sz w:val="1"/>
                <w:szCs w:val="1"/>
                <w:color w:val="auto"/>
              </w:rPr>
            </w:pPr>
          </w:p>
        </w:tc>
      </w:tr>
      <w:tr>
        <w:trPr>
          <w:trHeight w:val="288"/>
        </w:trPr>
        <w:tc>
          <w:tcPr>
            <w:tcW w:w="920" w:type="dxa"/>
            <w:vAlign w:val="bottom"/>
            <w:gridSpan w:val="3"/>
          </w:tcPr>
          <w:p>
            <w:pPr>
              <w:spacing w:after="0"/>
              <w:rPr>
                <w:sz w:val="20"/>
                <w:szCs w:val="20"/>
                <w:color w:val="auto"/>
              </w:rPr>
            </w:pPr>
            <w:r>
              <w:rPr>
                <w:rFonts w:ascii="Arial" w:cs="Arial" w:eastAsia="Arial" w:hAnsi="Arial"/>
                <w:sz w:val="17"/>
                <w:szCs w:val="17"/>
                <w:color w:val="auto"/>
              </w:rPr>
              <w:t>10.16†*</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Sub-Plan for UK Participants.</w:t>
            </w:r>
          </w:p>
        </w:tc>
        <w:tc>
          <w:tcPr>
            <w:tcW w:w="0" w:type="dxa"/>
            <w:vAlign w:val="bottom"/>
          </w:tcPr>
          <w:p>
            <w:pPr>
              <w:spacing w:after="0"/>
              <w:rPr>
                <w:sz w:val="1"/>
                <w:szCs w:val="1"/>
                <w:color w:val="auto"/>
              </w:rPr>
            </w:pPr>
          </w:p>
        </w:tc>
      </w:tr>
      <w:tr>
        <w:trPr>
          <w:trHeight w:val="288"/>
        </w:trPr>
        <w:tc>
          <w:tcPr>
            <w:tcW w:w="920" w:type="dxa"/>
            <w:vAlign w:val="bottom"/>
            <w:gridSpan w:val="3"/>
          </w:tcPr>
          <w:p>
            <w:pPr>
              <w:spacing w:after="0"/>
              <w:rPr>
                <w:sz w:val="20"/>
                <w:szCs w:val="20"/>
                <w:color w:val="auto"/>
              </w:rPr>
            </w:pPr>
            <w:r>
              <w:rPr>
                <w:rFonts w:ascii="Arial" w:cs="Arial" w:eastAsia="Arial" w:hAnsi="Arial"/>
                <w:sz w:val="17"/>
                <w:szCs w:val="17"/>
                <w:color w:val="auto"/>
              </w:rPr>
              <w:t>10.17†**</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Non-Employee Director Compensation Policy.</w:t>
            </w:r>
          </w:p>
        </w:tc>
        <w:tc>
          <w:tcPr>
            <w:tcW w:w="0" w:type="dxa"/>
            <w:vAlign w:val="bottom"/>
          </w:tcPr>
          <w:p>
            <w:pPr>
              <w:spacing w:after="0"/>
              <w:rPr>
                <w:sz w:val="1"/>
                <w:szCs w:val="1"/>
                <w:color w:val="auto"/>
              </w:rPr>
            </w:pPr>
          </w:p>
        </w:tc>
      </w:tr>
      <w:tr>
        <w:trPr>
          <w:trHeight w:val="288"/>
        </w:trPr>
        <w:tc>
          <w:tcPr>
            <w:tcW w:w="920" w:type="dxa"/>
            <w:vAlign w:val="bottom"/>
            <w:gridSpan w:val="3"/>
          </w:tcPr>
          <w:p>
            <w:pPr>
              <w:spacing w:after="0"/>
              <w:rPr>
                <w:sz w:val="20"/>
                <w:szCs w:val="20"/>
                <w:color w:val="auto"/>
              </w:rPr>
            </w:pPr>
            <w:r>
              <w:rPr>
                <w:rFonts w:ascii="Arial" w:cs="Arial" w:eastAsia="Arial" w:hAnsi="Arial"/>
                <w:sz w:val="17"/>
                <w:szCs w:val="17"/>
                <w:color w:val="auto"/>
              </w:rPr>
              <w:t>10.18†</w:t>
            </w:r>
          </w:p>
        </w:tc>
        <w:tc>
          <w:tcPr>
            <w:tcW w:w="10500" w:type="dxa"/>
            <w:vAlign w:val="bottom"/>
          </w:tcPr>
          <w:p>
            <w:pPr>
              <w:ind w:left="280"/>
              <w:spacing w:after="0"/>
              <w:rPr>
                <w:sz w:val="20"/>
                <w:szCs w:val="20"/>
                <w:color w:val="auto"/>
              </w:rPr>
            </w:pPr>
            <w:r>
              <w:rPr>
                <w:rFonts w:ascii="Arial" w:cs="Arial" w:eastAsia="Arial" w:hAnsi="Arial"/>
                <w:sz w:val="17"/>
                <w:szCs w:val="17"/>
                <w:color w:val="auto"/>
              </w:rPr>
              <w:t>Amended and Restated Employment Agreement, by and between Medpace Holdings, Inc. and Dr. August J. Troendle.</w:t>
            </w:r>
          </w:p>
        </w:tc>
        <w:tc>
          <w:tcPr>
            <w:tcW w:w="0" w:type="dxa"/>
            <w:vAlign w:val="bottom"/>
          </w:tcPr>
          <w:p>
            <w:pPr>
              <w:spacing w:after="0"/>
              <w:rPr>
                <w:sz w:val="1"/>
                <w:szCs w:val="1"/>
                <w:color w:val="auto"/>
              </w:rPr>
            </w:pPr>
          </w:p>
        </w:tc>
      </w:tr>
      <w:tr>
        <w:trPr>
          <w:trHeight w:val="288"/>
        </w:trPr>
        <w:tc>
          <w:tcPr>
            <w:tcW w:w="920" w:type="dxa"/>
            <w:vAlign w:val="bottom"/>
            <w:gridSpan w:val="3"/>
          </w:tcPr>
          <w:p>
            <w:pPr>
              <w:spacing w:after="0"/>
              <w:rPr>
                <w:sz w:val="20"/>
                <w:szCs w:val="20"/>
                <w:color w:val="auto"/>
              </w:rPr>
            </w:pPr>
            <w:r>
              <w:rPr>
                <w:rFonts w:ascii="Arial" w:cs="Arial" w:eastAsia="Arial" w:hAnsi="Arial"/>
                <w:sz w:val="17"/>
                <w:szCs w:val="17"/>
                <w:color w:val="auto"/>
              </w:rPr>
              <w:t>10.19†*</w:t>
            </w:r>
          </w:p>
        </w:tc>
        <w:tc>
          <w:tcPr>
            <w:tcW w:w="10500" w:type="dxa"/>
            <w:vAlign w:val="bottom"/>
          </w:tcPr>
          <w:p>
            <w:pPr>
              <w:ind w:left="280"/>
              <w:spacing w:after="0"/>
              <w:rPr>
                <w:sz w:val="20"/>
                <w:szCs w:val="20"/>
                <w:color w:val="auto"/>
              </w:rPr>
            </w:pPr>
            <w:r>
              <w:rPr>
                <w:rFonts w:ascii="Arial" w:cs="Arial" w:eastAsia="Arial" w:hAnsi="Arial"/>
                <w:sz w:val="17"/>
                <w:szCs w:val="17"/>
                <w:color w:val="auto"/>
              </w:rPr>
              <w:t>Form of Medpace Holdings, Inc. 2016 Incentive Award Plan UK Company Share Option Plan (CSOP) Sub-Plan.</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1420"/>
          </w:cols>
          <w:pgMar w:left="240" w:top="449" w:right="239" w:bottom="1440" w:gutter="0" w:footer="0" w:header="0"/>
        </w:sectPr>
      </w:pPr>
    </w:p>
    <w:bookmarkStart w:id="213" w:name="page214"/>
    <w:bookmarkEnd w:id="213"/>
    <w:p>
      <w:pPr>
        <w:ind w:firstLine="54"/>
        <w:spacing w:after="0" w:line="211" w:lineRule="auto"/>
        <w:framePr w:w="1920" w:h="283" w:wrap="auto" w:vAnchor="page" w:hAnchor="page" w:x="320" w:y="2764"/>
        <w:rPr>
          <w:rFonts w:ascii="Arial" w:cs="Arial" w:eastAsia="Arial" w:hAnsi="Arial"/>
          <w:sz w:val="14"/>
          <w:szCs w:val="14"/>
          <w:color w:val="auto"/>
        </w:rPr>
      </w:pPr>
      <w:r>
        <w:rPr>
          <w:rFonts w:ascii="Arial" w:cs="Arial" w:eastAsia="Arial" w:hAnsi="Arial"/>
          <w:sz w:val="14"/>
          <w:szCs w:val="14"/>
          <w:color w:val="auto"/>
        </w:rPr>
        <w:t>* To be filed by amendment. ** Previously filed.</w:t>
      </w:r>
    </w:p>
    <w:p>
      <w:pPr>
        <w:ind w:firstLine="54"/>
        <w:spacing w:after="0" w:line="188" w:lineRule="auto"/>
        <w:framePr w:w="4740" w:h="126" w:wrap="auto" w:vAnchor="page" w:hAnchor="page" w:x="340" w:y="3117"/>
        <w:rPr>
          <w:rFonts w:ascii="Arial" w:cs="Arial" w:eastAsia="Arial" w:hAnsi="Arial"/>
          <w:sz w:val="14"/>
          <w:szCs w:val="14"/>
          <w:color w:val="auto"/>
        </w:rPr>
      </w:pPr>
      <w:r>
        <w:rPr>
          <w:rFonts w:ascii="Arial" w:cs="Arial" w:eastAsia="Arial" w:hAnsi="Arial"/>
          <w:sz w:val="14"/>
          <w:szCs w:val="14"/>
          <w:color w:val="auto"/>
        </w:rPr>
        <w:t>†  Indicates a management contract or compensatory plan or arrangement.</w:t>
      </w:r>
    </w:p>
    <w:p>
      <w:pPr>
        <w:ind w:firstLine="54"/>
        <w:spacing w:after="0" w:line="193" w:lineRule="auto"/>
        <w:framePr w:w="420" w:h="158" w:wrap="auto" w:vAnchor="page" w:hAnchor="page" w:x="200" w:y="2300"/>
        <w:rPr>
          <w:rFonts w:ascii="Arial" w:cs="Arial" w:eastAsia="Arial" w:hAnsi="Arial"/>
          <w:sz w:val="17"/>
          <w:szCs w:val="17"/>
          <w:color w:val="auto"/>
        </w:rPr>
      </w:pPr>
      <w:r>
        <w:rPr>
          <w:rFonts w:ascii="Arial" w:cs="Arial" w:eastAsia="Arial" w:hAnsi="Arial"/>
          <w:sz w:val="17"/>
          <w:szCs w:val="17"/>
          <w:color w:val="auto"/>
        </w:rPr>
        <w:t>24.1</w:t>
      </w:r>
    </w:p>
    <w:p>
      <w:pPr>
        <w:ind w:firstLine="54"/>
        <w:spacing w:after="0" w:line="193" w:lineRule="auto"/>
        <w:framePr w:w="500" w:h="158" w:wrap="auto" w:vAnchor="page" w:hAnchor="page" w:x="200" w:y="1999"/>
        <w:rPr>
          <w:rFonts w:ascii="Arial" w:cs="Arial" w:eastAsia="Arial" w:hAnsi="Arial"/>
          <w:sz w:val="17"/>
          <w:szCs w:val="17"/>
          <w:color w:val="auto"/>
        </w:rPr>
      </w:pPr>
      <w:r>
        <w:rPr>
          <w:rFonts w:ascii="Arial" w:cs="Arial" w:eastAsia="Arial" w:hAnsi="Arial"/>
          <w:sz w:val="17"/>
          <w:szCs w:val="17"/>
          <w:color w:val="auto"/>
        </w:rPr>
        <w:t>23.2*</w:t>
      </w:r>
    </w:p>
    <w:p>
      <w:pPr>
        <w:ind w:firstLine="54"/>
        <w:spacing w:after="0" w:line="193" w:lineRule="auto"/>
        <w:framePr w:w="560" w:h="158" w:wrap="auto" w:vAnchor="page" w:hAnchor="page" w:x="200" w:y="1396"/>
        <w:rPr>
          <w:rFonts w:ascii="Arial" w:cs="Arial" w:eastAsia="Arial" w:hAnsi="Arial"/>
          <w:sz w:val="17"/>
          <w:szCs w:val="17"/>
          <w:color w:val="auto"/>
        </w:rPr>
      </w:pPr>
      <w:r>
        <w:rPr>
          <w:rFonts w:ascii="Arial" w:cs="Arial" w:eastAsia="Arial" w:hAnsi="Arial"/>
          <w:sz w:val="17"/>
          <w:szCs w:val="17"/>
          <w:color w:val="auto"/>
        </w:rPr>
        <w:t>21.1**</w:t>
      </w:r>
    </w:p>
    <w:p>
      <w:pPr>
        <w:ind w:firstLine="54"/>
        <w:spacing w:after="0" w:line="195" w:lineRule="auto"/>
        <w:framePr w:w="3440" w:h="150" w:wrap="auto" w:vAnchor="page" w:hAnchor="page" w:x="1520" w:y="1391"/>
        <w:rPr>
          <w:rFonts w:ascii="Arial" w:cs="Arial" w:eastAsia="Arial" w:hAnsi="Arial"/>
          <w:sz w:val="16"/>
          <w:szCs w:val="16"/>
          <w:color w:val="auto"/>
        </w:rPr>
      </w:pPr>
      <w:r>
        <w:rPr>
          <w:rFonts w:ascii="Arial" w:cs="Arial" w:eastAsia="Arial" w:hAnsi="Arial"/>
          <w:sz w:val="16"/>
          <w:szCs w:val="16"/>
          <w:color w:val="auto"/>
        </w:rPr>
        <w:t>List of Subsidiaries of Medpace Holdings, Inc.</w:t>
      </w:r>
    </w:p>
    <w:p>
      <w:pPr>
        <w:ind w:firstLine="54"/>
        <w:spacing w:after="0" w:line="307" w:lineRule="auto"/>
        <w:framePr w:w="420" w:h="158" w:wrap="auto" w:vAnchor="page" w:hAnchor="page" w:x="200" w:y="1698"/>
        <w:rPr>
          <w:rFonts w:ascii="Arial" w:cs="Arial" w:eastAsia="Arial" w:hAnsi="Arial"/>
          <w:sz w:val="17"/>
          <w:szCs w:val="17"/>
          <w:color w:val="auto"/>
        </w:rPr>
      </w:pPr>
      <w:r>
        <w:rPr>
          <w:rFonts w:ascii="Arial" w:cs="Arial" w:eastAsia="Arial" w:hAnsi="Arial"/>
          <w:sz w:val="17"/>
          <w:szCs w:val="17"/>
          <w:color w:val="auto"/>
        </w:rPr>
        <w:t>23.1</w:t>
      </w:r>
    </w:p>
    <w:p>
      <w:pPr>
        <w:ind w:firstLine="54"/>
        <w:spacing w:after="0" w:line="307" w:lineRule="auto"/>
        <w:framePr w:w="4760" w:h="752" w:wrap="auto" w:vAnchor="page" w:hAnchor="page" w:x="1520" w:y="1692"/>
        <w:rPr>
          <w:rFonts w:ascii="Arial" w:cs="Arial" w:eastAsia="Arial" w:hAnsi="Arial"/>
          <w:sz w:val="17"/>
          <w:szCs w:val="17"/>
          <w:color w:val="auto"/>
        </w:rPr>
      </w:pPr>
      <w:r>
        <w:rPr>
          <w:rFonts w:ascii="Arial" w:cs="Arial" w:eastAsia="Arial" w:hAnsi="Arial"/>
          <w:sz w:val="17"/>
          <w:szCs w:val="17"/>
          <w:color w:val="auto"/>
        </w:rPr>
        <w:t>Consent of Deloitte &amp; Touche LLP as to Medpace Holdings, Inc. Consent of Latham &amp; Watkins LLP (included in Exhibit 5.1). Power of Attorney (included on signature page).</w:t>
      </w:r>
    </w:p>
    <w:p>
      <w:pPr>
        <w:ind w:firstLine="54"/>
        <w:spacing w:after="0" w:line="215" w:lineRule="auto"/>
        <w:framePr w:w="1400" w:h="155" w:wrap="auto" w:vAnchor="page" w:hAnchor="page" w:x="200" w:y="47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ind w:firstLine="54"/>
        <w:spacing w:after="0" w:line="188" w:lineRule="auto"/>
        <w:framePr w:w="640" w:h="126" w:wrap="auto" w:vAnchor="page" w:hAnchor="page" w:x="200" w:y="97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EXHIBIT</w:t>
      </w:r>
    </w:p>
    <w:p>
      <w:pPr>
        <w:ind w:firstLine="54"/>
        <w:spacing w:after="0" w:line="188" w:lineRule="auto"/>
        <w:framePr w:w="340" w:h="126" w:wrap="auto" w:vAnchor="page" w:hAnchor="page" w:x="340" w:y="1127"/>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NO.</w:t>
      </w:r>
    </w:p>
    <w:p>
      <w:pPr>
        <w:spacing w:after="0" w:line="200" w:lineRule="exact"/>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812165</wp:posOffset>
            </wp:positionV>
            <wp:extent cx="3409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099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1718945</wp:posOffset>
            </wp:positionV>
            <wp:extent cx="72504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51"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200" w:lineRule="exact"/>
        <w:rPr>
          <w:rFonts w:ascii="Arial" w:cs="Arial" w:eastAsia="Arial" w:hAnsi="Arial"/>
          <w:sz w:val="14"/>
          <w:szCs w:val="14"/>
          <w:b w:val="1"/>
          <w:bCs w:val="1"/>
          <w:u w:val="single" w:color="auto"/>
          <w:color w:val="0000EE"/>
        </w:rPr>
      </w:pPr>
    </w:p>
    <w:p>
      <w:pPr>
        <w:spacing w:after="0" w:line="371" w:lineRule="exact"/>
        <w:rPr>
          <w:rFonts w:ascii="Arial" w:cs="Arial" w:eastAsia="Arial" w:hAnsi="Arial"/>
          <w:sz w:val="14"/>
          <w:szCs w:val="14"/>
          <w:b w:val="1"/>
          <w:bCs w:val="1"/>
          <w:u w:val="single" w:color="auto"/>
          <w:color w:val="0000EE"/>
        </w:rPr>
      </w:pPr>
    </w:p>
    <w:p>
      <w:pPr>
        <w:jc w:val="center"/>
        <w:spacing w:after="0"/>
        <w:rPr>
          <w:sz w:val="20"/>
          <w:szCs w:val="20"/>
          <w:color w:val="auto"/>
        </w:rPr>
      </w:pPr>
      <w:r>
        <w:rPr>
          <w:rFonts w:ascii="Arial" w:cs="Arial" w:eastAsia="Arial" w:hAnsi="Arial"/>
          <w:sz w:val="15"/>
          <w:szCs w:val="15"/>
          <w:color w:val="auto"/>
        </w:rPr>
        <w:t>II-8</w:t>
      </w:r>
    </w:p>
    <w:p>
      <w:pPr>
        <w:sectPr>
          <w:pgSz w:w="11900" w:h="16838" w:orient="portrait"/>
          <w:cols w:equalWidth="0" w:num="1">
            <w:col w:w="9019"/>
          </w:cols>
          <w:pgMar w:left="1440" w:top="1440"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312025" cy="4881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12025" cy="488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0"/>
        <w:spacing w:after="0" w:line="190" w:lineRule="auto"/>
        <w:rPr>
          <w:sz w:val="20"/>
          <w:szCs w:val="20"/>
          <w:color w:val="auto"/>
        </w:rPr>
      </w:pPr>
      <w:r>
        <w:rPr>
          <w:rFonts w:ascii="Arial" w:cs="Arial" w:eastAsia="Arial" w:hAnsi="Arial"/>
          <w:sz w:val="7"/>
          <w:szCs w:val="7"/>
          <w:color w:val="FFFFFF"/>
        </w:rPr>
        <w:t>AMERICANMEDPACEHOLDINGS,COUNTERSIGNEDINC.INCORPORAFULLYAIDTEDANDUNDERNONASSESSABLETHELAWSOF SHARESTHESTATEOF OFCOMMONDELAWARESTOCK,CUSIP$0.01SEEPARREVERSEALUE PERFOR SHARE,CERTAINOFANDDEFINITIONSTHISMEDPACEHOLDINGS,CERTIFIESINC.THASTBY:OCKistransferabletheownerofon the books of the Corporation in person or by its duly authorized attorney upon surrender of this Certificate properly endorsed. This Certificate is not valid unless countersigned byTRUSTtheransfer Agent and registered by the</w:t>
      </w:r>
    </w:p>
    <w:p>
      <w:pPr>
        <w:spacing w:after="0" w:line="184" w:lineRule="auto"/>
        <w:rPr>
          <w:sz w:val="20"/>
          <w:szCs w:val="20"/>
          <w:color w:val="auto"/>
        </w:rPr>
      </w:pPr>
      <w:r>
        <w:rPr>
          <w:rFonts w:ascii="Arial" w:cs="Arial" w:eastAsia="Arial" w:hAnsi="Arial"/>
          <w:sz w:val="11"/>
          <w:szCs w:val="11"/>
          <w:color w:val="FFFFFF"/>
        </w:rPr>
        <w:t>AUTHORIZEDRegistrar.REGISTERED:REGISTRARAGENTANDOOWitnessDCItheTRANSFERfacsimilesealCOMPANY,oftheCorporationESEALNandM the2014facsimile.CLLCsignaturesGENERALof itsCOUNSELdulyauthorizedANDCORPORATEofficers.(Brooklyn,SECRETARYTRANSFERPRESIDENTNY)&amp;DATEDANDCHIEF EXECUTIVEHOLDINCOFFICERORAGA P TI SP R , SIGNATURE LAW</w:t>
      </w:r>
    </w:p>
    <w:p>
      <w:pPr>
        <w:sectPr>
          <w:pgSz w:w="11900" w:h="16838" w:orient="portrait"/>
          <w:cols w:equalWidth="0" w:num="1">
            <w:col w:w="11420"/>
          </w:cols>
          <w:pgMar w:left="240" w:top="127" w:right="23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2965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2975" cy="529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spacing w:after="0" w:line="184" w:lineRule="auto"/>
        <w:rPr>
          <w:sz w:val="20"/>
          <w:szCs w:val="20"/>
          <w:color w:val="auto"/>
        </w:rPr>
      </w:pPr>
      <w:r>
        <w:rPr>
          <w:rFonts w:ascii="Arial" w:cs="Arial" w:eastAsia="Arial" w:hAnsi="Arial"/>
          <w:sz w:val="10"/>
          <w:szCs w:val="10"/>
          <w:color w:val="FFFFFF"/>
        </w:rPr>
        <w:t xml:space="preserve">written The out following in full according abbreviations, to applicable when used laws in or the regulations: inscription on the face of this certificate, shall be construed as though they were TEN COM – as tenants in </w:t>
      </w:r>
      <w:r>
        <w:rPr>
          <w:rFonts w:ascii="Arial" w:cs="Arial" w:eastAsia="Arial" w:hAnsi="Arial"/>
          <w:sz w:val="18"/>
          <w:szCs w:val="18"/>
          <w:color w:val="FFFFFF"/>
          <w:vertAlign w:val="subscript"/>
        </w:rPr>
        <w:t>common</w:t>
      </w:r>
      <w:r>
        <w:rPr>
          <w:rFonts w:ascii="Arial" w:cs="Arial" w:eastAsia="Arial" w:hAnsi="Arial"/>
          <w:sz w:val="10"/>
          <w:szCs w:val="10"/>
          <w:color w:val="FFFFFF"/>
        </w:rPr>
        <w:t xml:space="preserve"> UNIF GIFT MIN ACT– (Cust) Custodian (Minor) TEN ENT – as tenants by the entireties JT TEN – as joint tenants with right of under Uniform Gifts to Minors survivorship and not as tenants Act in</w:t>
      </w:r>
    </w:p>
    <w:p>
      <w:pPr>
        <w:ind w:right="80" w:firstLine="491"/>
        <w:spacing w:after="0"/>
        <w:rPr>
          <w:sz w:val="20"/>
          <w:szCs w:val="20"/>
          <w:color w:val="auto"/>
        </w:rPr>
      </w:pPr>
      <w:r>
        <w:rPr>
          <w:rFonts w:ascii="Arial" w:cs="Arial" w:eastAsia="Arial" w:hAnsi="Arial"/>
          <w:sz w:val="3"/>
          <w:szCs w:val="3"/>
          <w:color w:val="FFFFFF"/>
        </w:rPr>
        <w:t xml:space="preserve">(State) Additional abbreviations may also be used though not in the above list. FOR VALUE RECEIVED, HEREBY SELLS, ASSIGNS AND TRANSFERS UNTO PLEASE IDENTIFYING INSERT SOCIAL NUMBER SECURITY OF ASSIGNEE OR OTHER (PLEASE PRINT OR TYPEWRITE NAME AND ADDRESS, INCLUDING ZIP CODE, OF ASSIGNEE) shares of Common Stock of the Corporation represented by this Certificate and does hereby irrevocably constitute and appoint to transfer the said shares of Common Stock on the books of the Corporation, with full power of substitution in the premises. attorney Dated X X NOTICE: THE SIGNATURE(S) </w:t>
      </w:r>
      <w:r>
        <w:rPr>
          <w:rFonts w:ascii="Arial" w:cs="Arial" w:eastAsia="Arial" w:hAnsi="Arial"/>
          <w:sz w:val="6"/>
          <w:szCs w:val="6"/>
          <w:color w:val="FFFFFF"/>
          <w:vertAlign w:val="subscript"/>
        </w:rPr>
        <w:t>OR</w:t>
      </w:r>
      <w:r>
        <w:rPr>
          <w:rFonts w:ascii="Arial" w:cs="Arial" w:eastAsia="Arial" w:hAnsi="Arial"/>
          <w:sz w:val="3"/>
          <w:szCs w:val="3"/>
          <w:color w:val="FFFFFF"/>
        </w:rPr>
        <w:t xml:space="preserve">T THIS ASSIGNMENT MUST CORRESPOND EVERY </w:t>
      </w:r>
      <w:r>
        <w:rPr>
          <w:rFonts w:ascii="Arial" w:cs="Arial" w:eastAsia="Arial" w:hAnsi="Arial"/>
          <w:sz w:val="6"/>
          <w:szCs w:val="6"/>
          <w:color w:val="FFFFFF"/>
          <w:vertAlign w:val="subscript"/>
        </w:rPr>
        <w:t>GUARANTEED:</w:t>
      </w:r>
      <w:r>
        <w:rPr>
          <w:rFonts w:ascii="Arial" w:cs="Arial" w:eastAsia="Arial" w:hAnsi="Arial"/>
          <w:sz w:val="3"/>
          <w:szCs w:val="3"/>
          <w:color w:val="FFFFFF"/>
        </w:rPr>
        <w:t>WITHTHEPTICULAR, NAME(S) AS WI</w:t>
      </w:r>
      <w:r>
        <w:rPr>
          <w:rFonts w:ascii="Arial" w:cs="Arial" w:eastAsia="Arial" w:hAnsi="Arial"/>
          <w:sz w:val="6"/>
          <w:szCs w:val="6"/>
          <w:color w:val="FFFFFF"/>
          <w:vertAlign w:val="subscript"/>
        </w:rPr>
        <w:t>TURE(S)</w:t>
      </w:r>
      <w:r>
        <w:rPr>
          <w:rFonts w:ascii="Arial" w:cs="Arial" w:eastAsia="Arial" w:hAnsi="Arial"/>
          <w:sz w:val="3"/>
          <w:szCs w:val="3"/>
          <w:color w:val="FFFFFF"/>
        </w:rPr>
        <w:t>HOUTWRITTEN ALTERATION UPON THE FACE OR</w:t>
      </w:r>
    </w:p>
    <w:p>
      <w:pPr>
        <w:spacing w:after="0" w:line="54" w:lineRule="exact"/>
        <w:rPr>
          <w:sz w:val="20"/>
          <w:szCs w:val="20"/>
          <w:color w:val="auto"/>
        </w:rPr>
      </w:pPr>
    </w:p>
    <w:p>
      <w:pPr>
        <w:spacing w:after="0" w:line="202" w:lineRule="auto"/>
        <w:rPr>
          <w:sz w:val="20"/>
          <w:szCs w:val="20"/>
          <w:color w:val="auto"/>
        </w:rPr>
      </w:pPr>
      <w:r>
        <w:rPr>
          <w:rFonts w:ascii="Arial" w:cs="Arial" w:eastAsia="Arial" w:hAnsi="Arial"/>
          <w:sz w:val="12"/>
          <w:szCs w:val="12"/>
          <w:color w:val="FFFFFF"/>
        </w:rPr>
        <w:t>ENLARGEMENT OF THE CERTIFICATE ANY IN CHANGE WHATSOEVER. SIGNATURE(S) THE INSTITUTION SIGNA (BANKS, MUST STOCKBROKERS, BE GUARANTEED SAVINGS BY AN AND ELIGIBLE LOAN ASSOCIATIONS GUARANTOR AND GUARANTEE CREDIT MEDALLION UNIONS WITH PROGRAM), MEMBERSHIP PURSUANT IN AN TO S. APPROVED E.C. RULE 17Ad-15. SIGNATURE</w:t>
      </w:r>
    </w:p>
    <w:p>
      <w:pPr>
        <w:sectPr>
          <w:pgSz w:w="11900" w:h="16838" w:orient="portrait"/>
          <w:cols w:equalWidth="0" w:num="1">
            <w:col w:w="11400"/>
          </w:cols>
          <w:pgMar w:left="240" w:top="1440" w:right="259" w:bottom="1440" w:gutter="0" w:footer="0" w:header="0"/>
        </w:sectPr>
      </w:pPr>
    </w:p>
    <w:bookmarkStart w:id="216" w:name="page217"/>
    <w:bookmarkEnd w:id="216"/>
    <w:p>
      <w:pPr>
        <w:jc w:val="right"/>
        <w:spacing w:after="0"/>
        <w:rPr>
          <w:sz w:val="20"/>
          <w:szCs w:val="20"/>
          <w:color w:val="auto"/>
        </w:rPr>
      </w:pPr>
      <w:r>
        <w:rPr>
          <w:rFonts w:ascii="Arial" w:cs="Arial" w:eastAsia="Arial" w:hAnsi="Arial"/>
          <w:sz w:val="17"/>
          <w:szCs w:val="17"/>
          <w:b w:val="1"/>
          <w:bCs w:val="1"/>
          <w:color w:val="auto"/>
        </w:rPr>
        <w:t>Exhibit 4.2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VOTING AGREEMENT</w:t>
      </w:r>
    </w:p>
    <w:p>
      <w:pPr>
        <w:spacing w:after="0" w:line="230"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THIS VOTING AGREEMENT, dated as of [●], 2016, is entered into by and between (i) Dr. August J. Troendle (“</w:t>
      </w:r>
      <w:r>
        <w:rPr>
          <w:rFonts w:ascii="Arial" w:cs="Arial" w:eastAsia="Arial" w:hAnsi="Arial"/>
          <w:sz w:val="17"/>
          <w:szCs w:val="17"/>
          <w:u w:val="single" w:color="auto"/>
          <w:color w:val="auto"/>
        </w:rPr>
        <w:t>Dr. Troendle</w:t>
      </w:r>
      <w:r>
        <w:rPr>
          <w:rFonts w:ascii="Arial" w:cs="Arial" w:eastAsia="Arial" w:hAnsi="Arial"/>
          <w:sz w:val="17"/>
          <w:szCs w:val="17"/>
          <w:color w:val="auto"/>
        </w:rPr>
        <w:t xml:space="preserve">”) and (ii) the entities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(collectively, the “</w:t>
      </w:r>
      <w:r>
        <w:rPr>
          <w:rFonts w:ascii="Arial" w:cs="Arial" w:eastAsia="Arial" w:hAnsi="Arial"/>
          <w:sz w:val="17"/>
          <w:szCs w:val="17"/>
          <w:u w:val="single" w:color="auto"/>
          <w:color w:val="auto"/>
        </w:rPr>
        <w:t>Cinven Stockholders</w:t>
      </w:r>
      <w:r>
        <w:rPr>
          <w:rFonts w:ascii="Arial" w:cs="Arial" w:eastAsia="Arial" w:hAnsi="Arial"/>
          <w:sz w:val="17"/>
          <w:szCs w:val="17"/>
          <w:color w:val="auto"/>
        </w:rPr>
        <w:t>” and, together with Dr. Troendle, the “</w:t>
      </w:r>
      <w:r>
        <w:rPr>
          <w:rFonts w:ascii="Arial" w:cs="Arial" w:eastAsia="Arial" w:hAnsi="Arial"/>
          <w:sz w:val="17"/>
          <w:szCs w:val="17"/>
          <w:u w:val="single" w:color="auto"/>
          <w:color w:val="auto"/>
        </w:rPr>
        <w:t>Principal Stockholders</w:t>
      </w:r>
      <w:r>
        <w:rPr>
          <w:rFonts w:ascii="Arial" w:cs="Arial" w:eastAsia="Arial" w:hAnsi="Arial"/>
          <w:sz w:val="17"/>
          <w:szCs w:val="17"/>
          <w:color w:val="auto"/>
        </w:rPr>
        <w:t xml:space="preserve">”). Capitalized terms used herein without definition shall have the meanings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 I T N E S S E T H</w:t>
      </w:r>
      <w:r>
        <w:rPr>
          <w:rFonts w:ascii="Arial" w:cs="Arial" w:eastAsia="Arial" w:hAnsi="Arial"/>
          <w:sz w:val="17"/>
          <w:szCs w:val="17"/>
          <w:color w:val="auto"/>
        </w:rPr>
        <w:t>:</w:t>
      </w:r>
    </w:p>
    <w:p>
      <w:pPr>
        <w:spacing w:after="0" w:line="224" w:lineRule="exact"/>
        <w:rPr>
          <w:sz w:val="20"/>
          <w:szCs w:val="20"/>
          <w:color w:val="auto"/>
        </w:rPr>
      </w:pPr>
    </w:p>
    <w:p>
      <w:pPr>
        <w:ind w:right="280" w:firstLine="457"/>
        <w:spacing w:after="0" w:line="322" w:lineRule="auto"/>
        <w:rPr>
          <w:sz w:val="20"/>
          <w:szCs w:val="20"/>
          <w:color w:val="auto"/>
        </w:rPr>
      </w:pPr>
      <w:r>
        <w:rPr>
          <w:rFonts w:ascii="Arial" w:cs="Arial" w:eastAsia="Arial" w:hAnsi="Arial"/>
          <w:sz w:val="16"/>
          <w:szCs w:val="16"/>
          <w:color w:val="auto"/>
        </w:rPr>
        <w:t>WHEREAS, the parties hereto desire to set forth their agreement with respect to the voting for members of the Board of Directors of Medpace Holdings,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their respective investments in the Company;</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mutual agreements and understandings set forth herein, the parties hereto hereby agree as follows: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DEFINITIONS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As used in this Agreement, the following terms shall have the following respective meanings:</w:t>
      </w:r>
    </w:p>
    <w:p>
      <w:pPr>
        <w:spacing w:after="0" w:line="224"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Voting Agreement as in effect on the date hereof and as hereafter from time to time amended, modified or supplemented in accordance with the terms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shall mean the Board of Directors of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shall mean the Bylaws of the Company, as they may be amended, modified or supplemented in accordance with their terms.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Shares</w:t>
      </w:r>
      <w:r>
        <w:rPr>
          <w:rFonts w:ascii="Arial" w:cs="Arial" w:eastAsia="Arial" w:hAnsi="Arial"/>
          <w:sz w:val="17"/>
          <w:szCs w:val="17"/>
          <w:color w:val="auto"/>
        </w:rPr>
        <w:t>” shall mean the shares of common stock, par value $0.01 per share, of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shall mean a member of the Board of Directors.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4.11</w:t>
      </w:r>
      <w:r>
        <w:rPr>
          <w:rFonts w:ascii="Arial" w:cs="Arial" w:eastAsia="Arial" w:hAnsi="Arial"/>
          <w:sz w:val="17"/>
          <w:szCs w:val="17"/>
          <w:color w:val="auto"/>
        </w:rPr>
        <w:t>.</w:t>
      </w:r>
    </w:p>
    <w:p>
      <w:pPr>
        <w:spacing w:after="0" w:line="224"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means the first public offering and sale of equity securities of the Company pursuant to an effective registration statement under the Securities Act of 1933, as amended.</w:t>
      </w:r>
    </w:p>
    <w:p>
      <w:pPr>
        <w:spacing w:after="0" w:line="158" w:lineRule="exact"/>
        <w:rPr>
          <w:sz w:val="20"/>
          <w:szCs w:val="20"/>
          <w:color w:val="auto"/>
        </w:rPr>
      </w:pPr>
    </w:p>
    <w:p>
      <w:pPr>
        <w:ind w:right="6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Cinven Directors</w:t>
      </w:r>
      <w:r>
        <w:rPr>
          <w:rFonts w:ascii="Arial" w:cs="Arial" w:eastAsia="Arial" w:hAnsi="Arial"/>
          <w:sz w:val="17"/>
          <w:szCs w:val="17"/>
          <w:color w:val="auto"/>
        </w:rPr>
        <w:t>” shall mean the persons affiliated with the Cinven Stockholders who are nominated for election as a Director. The initial Cinven Directors shall be Supraj Rajagopalan, Alex Leslie and Matthew Norton.</w:t>
      </w:r>
    </w:p>
    <w:p>
      <w:pPr>
        <w:sectPr>
          <w:pgSz w:w="11900" w:h="16838" w:orient="portrait"/>
          <w:cols w:equalWidth="0" w:num="1">
            <w:col w:w="11420"/>
          </w:cols>
          <w:pgMar w:left="240" w:top="121" w:right="239" w:bottom="1440" w:gutter="0" w:footer="0" w:header="0"/>
        </w:sectPr>
      </w:pPr>
    </w:p>
    <w:bookmarkStart w:id="217" w:name="page218"/>
    <w:bookmarkEnd w:id="21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Management Director</w:t>
      </w:r>
      <w:r>
        <w:rPr>
          <w:rFonts w:ascii="Arial" w:cs="Arial" w:eastAsia="Arial" w:hAnsi="Arial"/>
          <w:sz w:val="17"/>
          <w:szCs w:val="17"/>
          <w:color w:val="auto"/>
        </w:rPr>
        <w:t>” shall mean Dr. August J. Troendle.</w:t>
      </w:r>
    </w:p>
    <w:p>
      <w:pPr>
        <w:spacing w:after="0" w:line="224"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shall mean (i) the Common Shares issued and outstanding at the Effective Date and held by any Principal Stockholder and (ii) any Common Shares hereafter acquired by any Principal Stockholder, including pursuant to conversion or exercise of any option, convertible security or warrant or other right to acquire Common Shares, whether or not held by any of the Principal Stockholders as of the Effective Date.</w:t>
      </w:r>
    </w:p>
    <w:p>
      <w:pPr>
        <w:spacing w:after="0" w:line="171"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Shares</w:t>
      </w:r>
      <w:r>
        <w:rPr>
          <w:rFonts w:ascii="Arial" w:cs="Arial" w:eastAsia="Arial" w:hAnsi="Arial"/>
          <w:sz w:val="17"/>
          <w:szCs w:val="17"/>
          <w:color w:val="auto"/>
        </w:rPr>
        <w:t>” shall mean shares of capital stock of the Company of any class, classes or series, the holders of which are generally entitled to vote for the election of Directors.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 TO VOTE SHARES</w:t>
      </w:r>
    </w:p>
    <w:p>
      <w:pPr>
        <w:spacing w:after="0" w:line="22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Board of Directors</w:t>
      </w:r>
      <w:r>
        <w:rPr>
          <w:rFonts w:ascii="Arial" w:cs="Arial" w:eastAsia="Arial" w:hAnsi="Arial"/>
          <w:sz w:val="16"/>
          <w:szCs w:val="16"/>
          <w:color w:val="auto"/>
        </w:rPr>
        <w:t>. Each Principal Stockholder hereby agrees to vote all Shares owned or held of record by such Principal Stockholder at each annual or special meeting of stockholders of the Company (and at every adjournment or postponement thereof) at which Directors are to be elected, in favor of, or to take all actions by written consent in lieu of any such meeting as are necessary to cause, the election as members of the Board of Directors of (in each case, to the extent such persons are recommended to the Board of Directors for nomination for election as a Director by the Nominating and Corporate Governance Committee of the Board of Directors (or in the event the Nominating and Corporate Governance Committee of the Board of Directors is not yet formed or has no sitting members, to the extent such persons are recommended by the Board of Directors for nomination for election as a Director)):</w:t>
      </w:r>
    </w:p>
    <w:p>
      <w:pPr>
        <w:spacing w:after="0" w:line="165" w:lineRule="exact"/>
        <w:rPr>
          <w:sz w:val="20"/>
          <w:szCs w:val="20"/>
          <w:color w:val="auto"/>
        </w:rPr>
      </w:pPr>
    </w:p>
    <w:p>
      <w:pPr>
        <w:ind w:left="1120" w:hanging="202"/>
        <w:spacing w:after="0"/>
        <w:tabs>
          <w:tab w:leader="none" w:pos="11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Cinven Directors; and</w:t>
      </w:r>
    </w:p>
    <w:p>
      <w:pPr>
        <w:spacing w:after="0" w:line="223" w:lineRule="exact"/>
        <w:rPr>
          <w:rFonts w:ascii="Arial" w:cs="Arial" w:eastAsia="Arial" w:hAnsi="Arial"/>
          <w:sz w:val="17"/>
          <w:szCs w:val="17"/>
          <w:color w:val="auto"/>
        </w:rPr>
      </w:pPr>
    </w:p>
    <w:p>
      <w:pPr>
        <w:ind w:left="1180" w:hanging="262"/>
        <w:spacing w:after="0"/>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so long as at the time of such vote, Dr. Troendle is the Chief Executive Officer of the Company (as defined in the Bylaws), the Management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1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Notwithstanding the obligations set forth in Section 2.1(i) above, in the event that the Cinven Stockholders hold less than (a) 40% but greater than or equal to 25% of the Voting Shares of the Company then outstanding, Dr. Troendle shall be required to vote for two Cinven Directors, after giving effect to the Cinven Directors then-sitting on the Board of Directors, (b) 25% but greater than or equal to 10% of the Voting Shares of the Company then outstanding, Dr. Troendle shall be required to vote for one Cinven Director, after giving effect to the Cinven Directors then-sitting on the Board of Directors, and (c) 10% of the Voting Shares of the Company then outstanding, Dr. Troendle shall not be required to vote for any of the Cinven Directors pursuant to this Section 2.1.</w:t>
      </w:r>
    </w:p>
    <w:p>
      <w:pPr>
        <w:spacing w:after="0" w:line="165" w:lineRule="exact"/>
        <w:rPr>
          <w:sz w:val="20"/>
          <w:szCs w:val="20"/>
          <w:color w:val="auto"/>
        </w:rPr>
      </w:pPr>
    </w:p>
    <w:p>
      <w:pPr>
        <w:ind w:right="380" w:firstLine="457"/>
        <w:spacing w:after="0" w:line="28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Restrictions on Other Agreements</w:t>
      </w:r>
      <w:r>
        <w:rPr>
          <w:rFonts w:ascii="Arial" w:cs="Arial" w:eastAsia="Arial" w:hAnsi="Arial"/>
          <w:sz w:val="17"/>
          <w:szCs w:val="17"/>
          <w:color w:val="auto"/>
        </w:rPr>
        <w:t>. No Principal Stockholder shall grant any proxy or enter into or agree to be bound by any voting trust, agreement or arrangement of any kind with any Person with respect to its Shares if and to the extent the terms thereof conflict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218" w:name="page219"/>
    <w:bookmarkEnd w:id="218"/>
    <w:p>
      <w:pPr>
        <w:ind w:right="4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 the provisions of this Agreement (whether or not such proxy, voting trust, agreements or arrangements are with other Principal Stockholders, holders of Common Shares that are not parties to this Agreement or otherwise).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REPRESENTATIONS AND WARRANTIES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parties to this Agreement hereby represents and warrants to each other party to this Agreement that as of the date such party executes this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Existence; Authority; Enforceability</w:t>
      </w:r>
      <w:r>
        <w:rPr>
          <w:rFonts w:ascii="Arial" w:cs="Arial" w:eastAsia="Arial" w:hAnsi="Arial"/>
          <w:sz w:val="16"/>
          <w:szCs w:val="16"/>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17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Absence of Conflicts</w:t>
      </w:r>
      <w:r>
        <w:rPr>
          <w:rFonts w:ascii="Arial" w:cs="Arial" w:eastAsia="Arial" w:hAnsi="Arial"/>
          <w:sz w:val="17"/>
          <w:szCs w:val="17"/>
          <w:color w:val="auto"/>
        </w:rPr>
        <w:t>. The execution and delivery by such party of this Agreement and the performance of its obligations hereunder does not and will not (i) 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78" w:lineRule="exact"/>
        <w:rPr>
          <w:sz w:val="20"/>
          <w:szCs w:val="20"/>
          <w:color w:val="auto"/>
        </w:rPr>
      </w:pPr>
    </w:p>
    <w:p>
      <w:pPr>
        <w:ind w:right="240" w:firstLine="457"/>
        <w:spacing w:after="0" w:line="359"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Consents</w:t>
      </w:r>
      <w:r>
        <w:rPr>
          <w:rFonts w:ascii="Arial" w:cs="Arial" w:eastAsia="Arial" w:hAnsi="Arial"/>
          <w:sz w:val="15"/>
          <w:szCs w:val="15"/>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IV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terminate and be of no further force and effect upon the earliest to occur of: (a) Dr. Troendle and the Cinven Stockholders ceasing to collectively own at least 40% of the Voting Shares of the Company then outstanding, (b) the written agreement of Dr. Troendle, on the one hand, and the Cinven Stockholders, on the other hand, to terminate this Agreement, (c) the provisions of Article II hereof becoming illegal or being interpreted by any governmental authority to be illegal, (d) the removal of Dr. Troendle as the Chief Executive Officer of the Company solely by the action of the Board of Directors, or (e) any exchange on which the Company’s Common Shares are traded asserting, in writing, that the existence of this Agreement will threaten the continued listing of the Company’s Common Shares on such exchange.</w:t>
      </w:r>
    </w:p>
    <w:p>
      <w:pPr>
        <w:spacing w:after="0" w:line="181" w:lineRule="exact"/>
        <w:rPr>
          <w:sz w:val="20"/>
          <w:szCs w:val="20"/>
          <w:color w:val="auto"/>
        </w:rPr>
      </w:pPr>
    </w:p>
    <w:p>
      <w:pPr>
        <w:ind w:right="520" w:firstLine="457"/>
        <w:spacing w:after="0" w:line="322"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Successors and Assigns; Beneficiaries</w:t>
      </w:r>
      <w:r>
        <w:rPr>
          <w:rFonts w:ascii="Arial" w:cs="Arial" w:eastAsia="Arial" w:hAnsi="Arial"/>
          <w:sz w:val="16"/>
          <w:szCs w:val="16"/>
          <w:color w:val="auto"/>
        </w:rPr>
        <w:t>. Except as otherwise provided herein, all of the terms and provisions of this Agreement shall be binding upon, shall inure to the benefit of and shall be enforceable by the respective successors and permitted assigns of the parties hereto.</w:t>
      </w:r>
    </w:p>
    <w:p>
      <w:pPr>
        <w:spacing w:after="0" w:line="135"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Amendment and Modification; Waiver of Compliance</w:t>
      </w:r>
      <w:r>
        <w:rPr>
          <w:rFonts w:ascii="Arial" w:cs="Arial" w:eastAsia="Arial" w:hAnsi="Arial"/>
          <w:sz w:val="17"/>
          <w:szCs w:val="17"/>
          <w:color w:val="auto"/>
        </w:rPr>
        <w:t xml:space="preserve"> (a) This Agreement may be amended only by a written instrument duly executed by Dr. Troendle and the Cinven Stockholders.</w:t>
      </w:r>
    </w:p>
    <w:p>
      <w:pPr>
        <w:spacing w:after="0" w:line="158" w:lineRule="exact"/>
        <w:rPr>
          <w:sz w:val="20"/>
          <w:szCs w:val="20"/>
          <w:color w:val="auto"/>
        </w:rPr>
      </w:pPr>
    </w:p>
    <w:p>
      <w:pPr>
        <w:jc w:val="both"/>
        <w:ind w:firstLine="461"/>
        <w:spacing w:after="0" w:line="267" w:lineRule="auto"/>
        <w:tabs>
          <w:tab w:leader="none" w:pos="70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Except as otherwise provided in this Agreement, any failure of any of the parties hereto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78" w:lineRule="exact"/>
        <w:rPr>
          <w:sz w:val="20"/>
          <w:szCs w:val="20"/>
          <w:color w:val="auto"/>
        </w:rPr>
      </w:pPr>
    </w:p>
    <w:p>
      <w:pPr>
        <w:jc w:val="both"/>
        <w:ind w:right="180" w:firstLine="457"/>
        <w:spacing w:after="0" w:line="273"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claim, demand, document and other communication hereunder to any party shall be effective upon receipt (or refusal of receipt) and shall be in writing and delivered personally or sent by facsimile, or first class mail, or by Federal Express, United Parcel Service or other similar courier or other similar means of communication, as follows: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 If to Dr. Troendle, addressed to:</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Medpace Holdings, Inc.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5375 Medpace Way</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Cincinnati, Ohio 45227</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Dr. August Troendle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(513) 579-0444</w:t>
      </w:r>
    </w:p>
    <w:p>
      <w:pPr>
        <w:spacing w:after="0" w:line="212" w:lineRule="exact"/>
        <w:rPr>
          <w:sz w:val="20"/>
          <w:szCs w:val="20"/>
          <w:color w:val="auto"/>
        </w:rPr>
      </w:pPr>
    </w:p>
    <w:p>
      <w:pPr>
        <w:ind w:left="460" w:right="160" w:firstLine="440"/>
        <w:spacing w:after="0" w:line="289" w:lineRule="auto"/>
        <w:tabs>
          <w:tab w:leader="none" w:pos="11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to (a) Fifth Cinven Fund (No.1) Limited Partnership, (b) Fifth Cinven Fund (No.2) Limited Partnership, (c) Fifth Cinven Fund (No.3) Limited Partnership,</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220" w:name="page221"/>
    <w:bookmarkEnd w:id="220"/>
    <w:p>
      <w:pPr>
        <w:ind w:left="460" w:right="180" w:firstLine="1"/>
        <w:spacing w:after="0" w:line="289" w:lineRule="auto"/>
        <w:tabs>
          <w:tab w:leader="none" w:pos="707"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(No.4) Limited Partnership, (e) Fifth Cinven Fund (No.5) Limited Partnership or (f) Fifth Cinven Fund (No.6) Limited Partnership, addressed to:</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East Wing</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Trafalgar Court</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Les Banques</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St Peter Port</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Guernsey</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GY1 3PP</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(iii) If to Fifth Cinven Fund Co-Investment Partnership, addressed to:</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Warwick Court</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Paternoster Square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London</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United Kingdom</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EC4M 7AG</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(iv) If to Fifth Cinven Fund FCP-SIF, addressed to:</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7, rue Lou Hemmer</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L-1748</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Luxembourg</w:t>
      </w:r>
    </w:p>
    <w:p>
      <w:pPr>
        <w:spacing w:after="0" w:line="21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or, in each case, to such other address or facsimile number or email address as such party may designate in writing to each Principal Stockholder by written notice given in the manner specified herein.</w:t>
      </w:r>
    </w:p>
    <w:p>
      <w:pPr>
        <w:spacing w:after="0" w:line="158" w:lineRule="exact"/>
        <w:rPr>
          <w:sz w:val="20"/>
          <w:szCs w:val="20"/>
          <w:color w:val="auto"/>
        </w:rPr>
      </w:pPr>
    </w:p>
    <w:p>
      <w:pPr>
        <w:ind w:right="780" w:firstLine="457"/>
        <w:spacing w:after="0" w:line="359" w:lineRule="auto"/>
        <w:rPr>
          <w:sz w:val="20"/>
          <w:szCs w:val="20"/>
          <w:color w:val="auto"/>
        </w:rPr>
      </w:pPr>
      <w:r>
        <w:rPr>
          <w:rFonts w:ascii="Arial" w:cs="Arial" w:eastAsia="Arial" w:hAnsi="Arial"/>
          <w:sz w:val="15"/>
          <w:szCs w:val="15"/>
          <w:color w:val="auto"/>
        </w:rPr>
        <w:t>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w:t>
      </w:r>
    </w:p>
    <w:p>
      <w:pPr>
        <w:spacing w:after="0" w:line="113"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7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CHOICE OF LAW AND VENUE; WAIVER OF RIGHT TO JURY TRIAL</w:t>
      </w:r>
      <w:r>
        <w:rPr>
          <w:rFonts w:ascii="Arial" w:cs="Arial" w:eastAsia="Arial" w:hAnsi="Arial"/>
          <w:sz w:val="17"/>
          <w:szCs w:val="17"/>
          <w:color w:val="auto"/>
        </w:rPr>
        <w:t>. THIS AGREEMENT SHALL BE GOVERNED BY, CONSTRUED, APPLIED AND ENFORCED IN ACCORDANCE WITH THE INTERNAL LAWS OF THE STATE OF DELAWARE, WITHOUT GIVING EFFECT TO PRINCIPLES OF CONFLICTS OF LAW. EACH OF THE PARTIES HERETO ACKNOWLEDGES AND AGREES THAT IN THE EVENT OF ANY BREACH OF THIS AGREEMENT, THE NON-BREACHING PARTY WOULD BE IRREPARABLY HARMED AND COULD NOT BE MADE WHOLE BY MONETARY DAMAGES, AND THAT, IN ADDITION TO ANY OTHER REMEDY TO WHICH THE NON-BREACHING PARTY MAY BE ENTITLED AT LAW OR IN EQUITY,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221" w:name="page222"/>
    <w:bookmarkEnd w:id="221"/>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NON BREACHING PARTY SHALL BE ENTITLED TO SUCH EQUITABLE OR INJUNCTIVE RELIEF AS MAY BE APPROPRIATE.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17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 THE EVENT ANY PARTY TO THIS AGREEMENT COMMENCES ANY LITIGATION, PROCEEDING OR OTHER LEGAL ACTION IN CONNECTION WITH OR RELATING TO THIS AGREEMENT, ANY RELATED AGREEMENT OR ANY MATTERS DESCRIBED OR CONTEMPLATED HEREIN OR THEREIN, THE PARTIES TO THIS AGREEMENT HEREBY (A) AGREE UNDER ALL CIRCUMSTANCES ABSOLUTELY AND IRREVOCABLY TO INSTITUTE ANY LITIGATION, PROCEEDING OR OTHER LEGAL ACTION IN A COURT OF COMPETENT JURISDICTION LOCATED WITHIN THE STATE OF DELAWARE, WHETHER A STATE OR FEDERAL COURT; (B) AGREE THAT IN THE EVENT OF ANY SUCH LITIGATION, PROCEEDING OR ACTION, SUCH PARTIES WILL CONSENT AND SUBMIT TO THE PERSONAL JURISDICTION OF ANY SUCH COURT DESCRIBED IN CLAUSE (A)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(C) AGREE TO WAIVE TO THE FULL EXTENT PERMITTED BY LAW ANY OBJECTION THAT THEY MAY NOW OR HEREAFTER HAVE TO THE VENUE OF ANY SUCH LITIGATION, PROCEEDING OR ACTION IN ANY SUCH COURT OR THAT ANY SUCH LITIGATION, PROCEEDING OR ACTION WAS BROUGHT IN AN INCONVENIENT FORUM; (D) AGREE, AFTER CONSULTATION WITH COUNSEL, TO WAIVE ANY RIGHTS TO A JURY TRIAL TO RESOLVE ANY DISPUTES OR CLAIMS RELATING TO THIS AGREEMENT; (E) AGREE TO SERVICE OF PROCESS IN ANY LEGAL PROCEEDING BY MAILING OF COPIES THEREOF TO SUCH PARTY AT ITS ADDRESS SET FORTH HEREIN FOR COMMUNICATIONS TO SUCH PARTY; (F) AGREE THAT ANY SERVICE MADE AS PROVIDED HEREIN SHALL BE EFFECTIVE AND BINDING SERVICE IN EVERY RESPECT; AND (G) AGREE THAT NOTHING HEREIN SHALL AFFECT THE RIGHTS OF ANY PARTY TO EFFECT SERVICE OF PROCESS IN ANY OTHER MANNER PERMITTED BY APPLICABLE LAW.</w:t>
      </w:r>
    </w:p>
    <w:p>
      <w:pPr>
        <w:spacing w:after="0" w:line="185"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w:t>
      </w:r>
    </w:p>
    <w:p>
      <w:pPr>
        <w:spacing w:after="0" w:line="158" w:lineRule="exact"/>
        <w:rPr>
          <w:sz w:val="20"/>
          <w:szCs w:val="20"/>
          <w:color w:val="auto"/>
        </w:rPr>
      </w:pPr>
    </w:p>
    <w:p>
      <w:pPr>
        <w:ind w:right="220" w:firstLine="457"/>
        <w:spacing w:after="0" w:line="297"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71" w:right="279" w:bottom="1440" w:gutter="0" w:footer="0" w:header="0"/>
        </w:sectPr>
      </w:pPr>
    </w:p>
    <w:bookmarkStart w:id="222" w:name="page223"/>
    <w:bookmarkEnd w:id="222"/>
    <w:p>
      <w:pPr>
        <w:ind w:firstLine="457"/>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4.9 </w:t>
      </w:r>
      <w:r>
        <w:rPr>
          <w:rFonts w:ascii="Arial" w:cs="Arial" w:eastAsia="Arial" w:hAnsi="Arial"/>
          <w:sz w:val="17"/>
          <w:szCs w:val="17"/>
          <w:u w:val="single" w:color="auto"/>
          <w:color w:val="auto"/>
        </w:rPr>
        <w:t>Schedule 13D</w:t>
      </w:r>
      <w:r>
        <w:rPr>
          <w:rFonts w:ascii="Arial" w:cs="Arial" w:eastAsia="Arial" w:hAnsi="Arial"/>
          <w:sz w:val="17"/>
          <w:szCs w:val="17"/>
          <w:color w:val="auto"/>
        </w:rPr>
        <w:t>. In accordance with the requirements of Rule 13d-1(k) under the Securities Exchange Act of 1934, as amended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subject to the limitations set forth therein, each party hereto agrees to file an appropriate Schedule 13D no later than 10 calendar days following the Effective Date.</w:t>
      </w:r>
    </w:p>
    <w:p>
      <w:pPr>
        <w:spacing w:after="0" w:line="17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the other parties would be irreparably damaged in the event that any of the provisions of this Agreement were not performed by any of the parties in accordance with their specific terms or were otherwise breached by any party, and that the other parties would not have an adequate remedy at law for money damages in such event. It is accordingly agreed that each of the parties shall be entitled, without posting any bond or other undertaking, to specific performance and injunctive and other equitable relief to prevent breaches of this Agreement and to enforce specifically the terms and provisions of this Agreement, this being in addition to any other remedy to which each party is entitled at law or in equity.</w:t>
      </w:r>
    </w:p>
    <w:p>
      <w:pPr>
        <w:spacing w:after="0" w:line="165"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Effectiveness of Agreement</w:t>
      </w:r>
      <w:r>
        <w:rPr>
          <w:rFonts w:ascii="Arial" w:cs="Arial" w:eastAsia="Arial" w:hAnsi="Arial"/>
          <w:sz w:val="17"/>
          <w:szCs w:val="17"/>
          <w:color w:val="auto"/>
        </w:rPr>
        <w:t>. Upon the closing of the Initial Public Offering, this Agreement shall thereupon be deemed to be effective (such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However, to the extent the closing of such Initial Public Offering does not occur, the provisions of this Agreement shall be without any force or effect.</w:t>
      </w:r>
    </w:p>
    <w:p>
      <w:pPr>
        <w:spacing w:after="0" w:line="171" w:lineRule="exact"/>
        <w:rPr>
          <w:sz w:val="20"/>
          <w:szCs w:val="20"/>
          <w:color w:val="auto"/>
        </w:rPr>
      </w:pPr>
    </w:p>
    <w:p>
      <w:pPr>
        <w:jc w:val="center"/>
        <w:ind w:right="-39"/>
        <w:spacing w:after="0"/>
        <w:tabs>
          <w:tab w:leader="none" w:pos="340" w:val="left"/>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1" w:right="25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each of the undersigned has signed this Agreement as of the date first above written:</w:t>
      </w:r>
    </w:p>
    <w:p>
      <w:pPr>
        <w:spacing w:after="0" w:line="26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August J. Troendle</w:t>
      </w:r>
    </w:p>
    <w:p>
      <w:pPr>
        <w:spacing w:after="0" w:line="158"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Signature Page to Voting Support Agreement</w:t>
      </w:r>
    </w:p>
    <w:p>
      <w:pPr>
        <w:sectPr>
          <w:pgSz w:w="11900" w:h="16838" w:orient="portrait"/>
          <w:cols w:equalWidth="0" w:num="1">
            <w:col w:w="9759"/>
          </w:cols>
          <w:pgMar w:left="700" w:top="272" w:right="1440" w:bottom="1440" w:gutter="0" w:footer="0" w:header="0"/>
        </w:sectPr>
      </w:pPr>
    </w:p>
    <w:bookmarkStart w:id="224" w:name="page225"/>
    <w:bookmarkEnd w:id="22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 1) LIMITED PARTNERSHIP</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Cinven Capital Management (V) General Partnership</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FIFTH CINVEN FUND (NO. 2) LIMITED PARTNERSHIP</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Cinven Capital Management (V) General Partnership</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2940"/>
        <w:spacing w:after="0"/>
        <w:rPr>
          <w:sz w:val="20"/>
          <w:szCs w:val="20"/>
          <w:color w:val="auto"/>
        </w:rPr>
      </w:pPr>
      <w:r>
        <w:rPr>
          <w:rFonts w:ascii="Arial" w:cs="Arial" w:eastAsia="Arial" w:hAnsi="Arial"/>
          <w:sz w:val="17"/>
          <w:szCs w:val="17"/>
          <w:i w:val="1"/>
          <w:iCs w:val="1"/>
          <w:color w:val="auto"/>
        </w:rPr>
        <w:t>Signature Page to Voting Support Agreement</w:t>
      </w:r>
    </w:p>
    <w:p>
      <w:pPr>
        <w:sectPr>
          <w:pgSz w:w="11900" w:h="16838" w:orient="portrait"/>
          <w:cols w:equalWidth="0" w:num="1">
            <w:col w:w="9920"/>
          </w:cols>
          <w:pgMar w:left="1440" w:top="271" w:right="53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 3) LIMITED PARTNERSHIP</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Cinven Capital Management (V) General Partnership</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FIFTH CINVEN FUND (NO. 4) LIMITED PARTNERSHIP</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Cinven Capital Management (V) General Partnership</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2940"/>
        <w:spacing w:after="0"/>
        <w:rPr>
          <w:sz w:val="20"/>
          <w:szCs w:val="20"/>
          <w:color w:val="auto"/>
        </w:rPr>
      </w:pPr>
      <w:r>
        <w:rPr>
          <w:rFonts w:ascii="Arial" w:cs="Arial" w:eastAsia="Arial" w:hAnsi="Arial"/>
          <w:sz w:val="17"/>
          <w:szCs w:val="17"/>
          <w:i w:val="1"/>
          <w:iCs w:val="1"/>
          <w:color w:val="auto"/>
        </w:rPr>
        <w:t>Signature Page to Voting Support Agreement</w:t>
      </w:r>
    </w:p>
    <w:p>
      <w:pPr>
        <w:sectPr>
          <w:pgSz w:w="11900" w:h="16838" w:orient="portrait"/>
          <w:cols w:equalWidth="0" w:num="1">
            <w:col w:w="9920"/>
          </w:cols>
          <w:pgMar w:left="1440" w:top="271" w:right="539" w:bottom="1440" w:gutter="0" w:footer="0" w:header="0"/>
        </w:sectPr>
      </w:pPr>
    </w:p>
    <w:bookmarkStart w:id="226" w:name="page227"/>
    <w:bookmarkEnd w:id="22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 5) LIMITED PARTNERSHIP</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FIFTH CINVEN FUND (NO. 6) LIMITED PARTNERSHIP</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FIFTH CINVEN FUND CO-INVESTMENT PARTNERSHIP</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CIP (V) Nominees Limited</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2940"/>
        <w:spacing w:after="0"/>
        <w:rPr>
          <w:sz w:val="20"/>
          <w:szCs w:val="20"/>
          <w:color w:val="auto"/>
        </w:rPr>
      </w:pPr>
      <w:r>
        <w:rPr>
          <w:rFonts w:ascii="Arial" w:cs="Arial" w:eastAsia="Arial" w:hAnsi="Arial"/>
          <w:sz w:val="17"/>
          <w:szCs w:val="17"/>
          <w:i w:val="1"/>
          <w:iCs w:val="1"/>
          <w:color w:val="auto"/>
        </w:rPr>
        <w:t>Signature Page to Voting Support Agreement</w:t>
      </w:r>
    </w:p>
    <w:p>
      <w:pPr>
        <w:sectPr>
          <w:pgSz w:w="11900" w:h="16838" w:orient="portrait"/>
          <w:cols w:equalWidth="0" w:num="1">
            <w:col w:w="10020"/>
          </w:cols>
          <w:pgMar w:left="1440" w:top="271" w:right="439" w:bottom="1440" w:gutter="0" w:footer="0" w:header="0"/>
        </w:sectPr>
      </w:pPr>
    </w:p>
    <w:bookmarkStart w:id="227" w:name="page228"/>
    <w:bookmarkEnd w:id="2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FCP-SIF</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Manco S.A.R.L.</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Manager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Voting Support Agreement</w:t>
      </w:r>
    </w:p>
    <w:p>
      <w:pPr>
        <w:sectPr>
          <w:pgSz w:w="11900" w:h="16838" w:orient="portrait"/>
          <w:cols w:equalWidth="0" w:num="1">
            <w:col w:w="9019"/>
          </w:cols>
          <w:pgMar w:left="1440" w:top="271" w:right="1440" w:bottom="1440" w:gutter="0" w:footer="0" w:header="0"/>
        </w:sectPr>
      </w:pPr>
    </w:p>
    <w:bookmarkStart w:id="228" w:name="page229"/>
    <w:bookmarkEnd w:id="228"/>
    <w:p>
      <w:pPr>
        <w:jc w:val="center"/>
        <w:ind w:right="-12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w:t>
      </w:r>
    </w:p>
    <w:p>
      <w:pPr>
        <w:spacing w:after="0" w:line="224" w:lineRule="exact"/>
        <w:rPr>
          <w:sz w:val="20"/>
          <w:szCs w:val="20"/>
          <w:color w:val="auto"/>
        </w:rPr>
      </w:pPr>
    </w:p>
    <w:p>
      <w:pPr>
        <w:jc w:val="right"/>
        <w:ind w:right="3459"/>
        <w:spacing w:after="0"/>
        <w:rPr>
          <w:sz w:val="20"/>
          <w:szCs w:val="20"/>
          <w:color w:val="auto"/>
        </w:rPr>
      </w:pPr>
      <w:r>
        <w:rPr>
          <w:rFonts w:ascii="Arial" w:cs="Arial" w:eastAsia="Arial" w:hAnsi="Arial"/>
          <w:sz w:val="17"/>
          <w:szCs w:val="17"/>
          <w:color w:val="auto"/>
        </w:rPr>
        <w:t>CINVEN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1)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2)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3)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4)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5)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6)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Co-Investment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FCP-SIF</w:t>
      </w:r>
    </w:p>
    <w:p>
      <w:pPr>
        <w:sectPr>
          <w:pgSz w:w="11900" w:h="16838" w:orient="portrait"/>
          <w:cols w:equalWidth="0" w:num="1">
            <w:col w:w="10219"/>
          </w:cols>
          <w:pgMar w:left="240" w:top="271"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17"/>
          <w:szCs w:val="17"/>
          <w:b w:val="1"/>
          <w:bCs w:val="1"/>
          <w:color w:val="auto"/>
        </w:rPr>
        <w:t>Exhibit 10.7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MEDPACE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2016 INCENTIVE AWARD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ind w:right="80" w:firstLine="457"/>
        <w:spacing w:after="0" w:line="308" w:lineRule="auto"/>
        <w:rPr>
          <w:sz w:val="20"/>
          <w:szCs w:val="20"/>
          <w:color w:val="auto"/>
        </w:rPr>
      </w:pPr>
      <w:r>
        <w:rPr>
          <w:rFonts w:ascii="Arial" w:cs="Arial" w:eastAsia="Arial" w:hAnsi="Arial"/>
          <w:sz w:val="15"/>
          <w:szCs w:val="15"/>
          <w:color w:val="auto"/>
        </w:rPr>
        <w:t>The purpose of the Medpace Holdings, Inc. 2016 Incentive Award Plan (as it may be amended or restated from time to time, the “</w:t>
      </w:r>
      <w:r>
        <w:rPr>
          <w:rFonts w:ascii="Arial" w:cs="Arial" w:eastAsia="Arial" w:hAnsi="Arial"/>
          <w:sz w:val="15"/>
          <w:szCs w:val="15"/>
          <w:u w:val="single" w:color="auto"/>
          <w:color w:val="auto"/>
        </w:rPr>
        <w:t>Plan</w:t>
      </w:r>
      <w:r>
        <w:rPr>
          <w:rFonts w:ascii="Arial" w:cs="Arial" w:eastAsia="Arial" w:hAnsi="Arial"/>
          <w:sz w:val="15"/>
          <w:szCs w:val="15"/>
          <w:color w:val="auto"/>
        </w:rPr>
        <w:t>”) is to promote the success and enhance the value of Medpace Holdings, Inc. (the “</w:t>
      </w:r>
      <w:r>
        <w:rPr>
          <w:rFonts w:ascii="Arial" w:cs="Arial" w:eastAsia="Arial" w:hAnsi="Arial"/>
          <w:sz w:val="15"/>
          <w:szCs w:val="15"/>
          <w:u w:val="single" w:color="auto"/>
          <w:color w:val="auto"/>
        </w:rPr>
        <w:t>Company</w:t>
      </w:r>
      <w:r>
        <w:rPr>
          <w:rFonts w:ascii="Arial" w:cs="Arial" w:eastAsia="Arial" w:hAnsi="Arial"/>
          <w:sz w:val="15"/>
          <w:szCs w:val="15"/>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AND CONSTRUCTION</w:t>
      </w:r>
    </w:p>
    <w:p>
      <w:pPr>
        <w:spacing w:after="0" w:line="230"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8"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Administrator</w:t>
      </w:r>
      <w:r>
        <w:rPr>
          <w:rFonts w:ascii="Arial" w:cs="Arial" w:eastAsia="Arial" w:hAnsi="Arial"/>
          <w:sz w:val="17"/>
          <w:szCs w:val="17"/>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78" w:lineRule="exact"/>
        <w:rPr>
          <w:sz w:val="20"/>
          <w:szCs w:val="20"/>
          <w:color w:val="auto"/>
        </w:rPr>
      </w:pPr>
    </w:p>
    <w:p>
      <w:pPr>
        <w:ind w:right="260" w:firstLine="457"/>
        <w:spacing w:after="0" w:line="273" w:lineRule="auto"/>
        <w:rPr>
          <w:sz w:val="20"/>
          <w:szCs w:val="20"/>
          <w:color w:val="auto"/>
        </w:rPr>
      </w:pPr>
      <w:r>
        <w:rPr>
          <w:rFonts w:ascii="Arial" w:cs="Arial" w:eastAsia="Arial" w:hAnsi="Arial"/>
          <w:sz w:val="17"/>
          <w:szCs w:val="17"/>
          <w:color w:val="auto"/>
        </w:rPr>
        <w:t>2.2 “</w:t>
      </w:r>
      <w:r>
        <w:rPr>
          <w:rFonts w:ascii="Arial" w:cs="Arial" w:eastAsia="Arial" w:hAnsi="Arial"/>
          <w:sz w:val="17"/>
          <w:szCs w:val="17"/>
          <w:u w:val="single" w:color="auto"/>
          <w:color w:val="auto"/>
        </w:rPr>
        <w:t>Applicable Accounting Standards</w:t>
      </w:r>
      <w:r>
        <w:rPr>
          <w:rFonts w:ascii="Arial" w:cs="Arial" w:eastAsia="Arial" w:hAnsi="Arial"/>
          <w:sz w:val="17"/>
          <w:szCs w:val="17"/>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1"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7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2.4 “</w:t>
      </w:r>
      <w:r>
        <w:rPr>
          <w:rFonts w:ascii="Arial" w:cs="Arial" w:eastAsia="Arial" w:hAnsi="Arial"/>
          <w:sz w:val="17"/>
          <w:szCs w:val="17"/>
          <w:u w:val="single" w:color="auto"/>
          <w:color w:val="auto"/>
        </w:rPr>
        <w:t>Automatic Exercise Date</w:t>
      </w:r>
      <w:r>
        <w:rPr>
          <w:rFonts w:ascii="Arial" w:cs="Arial" w:eastAsia="Arial" w:hAnsi="Arial"/>
          <w:sz w:val="17"/>
          <w:szCs w:val="17"/>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7"/>
          <w:szCs w:val="17"/>
          <w:i w:val="1"/>
          <w:iCs w:val="1"/>
          <w:color w:val="auto"/>
        </w:rPr>
        <w:t>e.g.</w:t>
      </w:r>
      <w:r>
        <w:rPr>
          <w:rFonts w:ascii="Arial" w:cs="Arial" w:eastAsia="Arial" w:hAnsi="Arial"/>
          <w:sz w:val="17"/>
          <w:szCs w:val="17"/>
          <w:color w:val="auto"/>
        </w:rPr>
        <w:t>, the last business day prior to the seventh anniversary of the date of grant of such Option or Stock Appreciation Right if the Option or Stock Appreciation Right initially had a seven-year Option Term or Stock Appreciation Right Term, as applicable).</w:t>
      </w:r>
    </w:p>
    <w:p>
      <w:pPr>
        <w:sectPr>
          <w:pgSz w:w="11900" w:h="16838" w:orient="portrait"/>
          <w:cols w:equalWidth="0" w:num="1">
            <w:col w:w="11420"/>
          </w:cols>
          <w:pgMar w:left="240" w:top="121" w:right="239" w:bottom="1440" w:gutter="0" w:footer="0" w:header="0"/>
        </w:sectPr>
      </w:pPr>
    </w:p>
    <w:bookmarkStart w:id="230" w:name="page231"/>
    <w:bookmarkEnd w:id="230"/>
    <w:p>
      <w:pPr>
        <w:ind w:right="36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2.5 “</w:t>
      </w:r>
      <w:r>
        <w:rPr>
          <w:rFonts w:ascii="Arial" w:cs="Arial" w:eastAsia="Arial" w:hAnsi="Arial"/>
          <w:sz w:val="17"/>
          <w:szCs w:val="17"/>
          <w:u w:val="single" w:color="auto"/>
          <w:color w:val="auto"/>
        </w:rPr>
        <w:t>Award</w:t>
      </w:r>
      <w:r>
        <w:rPr>
          <w:rFonts w:ascii="Arial" w:cs="Arial" w:eastAsia="Arial" w:hAnsi="Arial"/>
          <w:sz w:val="17"/>
          <w:szCs w:val="17"/>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5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2.6 “</w:t>
      </w:r>
      <w:r>
        <w:rPr>
          <w:rFonts w:ascii="Arial" w:cs="Arial" w:eastAsia="Arial" w:hAnsi="Arial"/>
          <w:sz w:val="17"/>
          <w:szCs w:val="17"/>
          <w:u w:val="single" w:color="auto"/>
          <w:color w:val="auto"/>
        </w:rPr>
        <w:t>Award Agreement</w:t>
      </w:r>
      <w:r>
        <w:rPr>
          <w:rFonts w:ascii="Arial" w:cs="Arial" w:eastAsia="Arial" w:hAnsi="Arial"/>
          <w:sz w:val="17"/>
          <w:szCs w:val="17"/>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Award Limit</w:t>
      </w:r>
      <w:r>
        <w:rPr>
          <w:rFonts w:ascii="Arial" w:cs="Arial" w:eastAsia="Arial" w:hAnsi="Arial"/>
          <w:sz w:val="16"/>
          <w:szCs w:val="16"/>
          <w:color w:val="auto"/>
        </w:rPr>
        <w:t>” shall mean, with respect to Awards that shall be payable in Shares or in cash, as the case may be, the respective limit set forth in Section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Directors of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2.9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and includes each of the following:</w:t>
      </w:r>
    </w:p>
    <w:p>
      <w:pPr>
        <w:spacing w:after="0" w:line="224" w:lineRule="exact"/>
        <w:rPr>
          <w:sz w:val="20"/>
          <w:szCs w:val="20"/>
          <w:color w:val="auto"/>
        </w:rPr>
      </w:pPr>
    </w:p>
    <w:p>
      <w:pPr>
        <w:ind w:right="20" w:firstLine="918"/>
        <w:spacing w:after="0" w:line="281" w:lineRule="auto"/>
        <w:tabs>
          <w:tab w:leader="none" w:pos="115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 transaction or series of transactions (other than an offering of Common Stock to the general public through a registration statement filed with the Securities and Exchange Commission) whereby any Person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2.9(c)(i), 2.9(c)(ii) or 2.9(c)(iii); or (iv) in respect of an Award held by a particular Holder, any acquisition by the Holder or any group of Persons including the Holder (or any entity controlled by the Holder or any group of Persons including the Holder); or</w:t>
      </w:r>
    </w:p>
    <w:p>
      <w:pPr>
        <w:spacing w:after="0" w:line="168" w:lineRule="exact"/>
        <w:rPr>
          <w:rFonts w:ascii="Arial" w:cs="Arial" w:eastAsia="Arial" w:hAnsi="Arial"/>
          <w:sz w:val="16"/>
          <w:szCs w:val="16"/>
          <w:color w:val="auto"/>
        </w:rPr>
      </w:pPr>
    </w:p>
    <w:p>
      <w:pPr>
        <w:ind w:left="1160" w:hanging="242"/>
        <w:spacing w:after="0"/>
        <w:tabs>
          <w:tab w:leader="none" w:pos="11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Incumbent Directors cease for any reason to constitute a majority of the Board; or</w:t>
      </w:r>
    </w:p>
    <w:p>
      <w:pPr>
        <w:spacing w:after="0" w:line="223" w:lineRule="exact"/>
        <w:rPr>
          <w:rFonts w:ascii="Arial" w:cs="Arial" w:eastAsia="Arial" w:hAnsi="Arial"/>
          <w:sz w:val="17"/>
          <w:szCs w:val="17"/>
          <w:color w:val="auto"/>
        </w:rPr>
      </w:pPr>
    </w:p>
    <w:p>
      <w:pPr>
        <w:ind w:right="220" w:firstLine="918"/>
        <w:spacing w:after="0" w:line="325" w:lineRule="auto"/>
        <w:tabs>
          <w:tab w:leader="none" w:pos="1151"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37" w:lineRule="exact"/>
        <w:rPr>
          <w:rFonts w:ascii="Arial" w:cs="Arial" w:eastAsia="Arial" w:hAnsi="Arial"/>
          <w:sz w:val="15"/>
          <w:szCs w:val="15"/>
          <w:color w:val="auto"/>
        </w:rPr>
      </w:pPr>
    </w:p>
    <w:p>
      <w:pPr>
        <w:ind w:firstLine="1489"/>
        <w:spacing w:after="0" w:line="265" w:lineRule="auto"/>
        <w:tabs>
          <w:tab w:leader="none" w:pos="1693" w:val="left"/>
        </w:tabs>
        <w:numPr>
          <w:ilvl w:val="1"/>
          <w:numId w:val="105"/>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or Cinven beneficially owning, directly or indirectly, at least a majority of the combined voting power of the Successor Entity’s outstanding voting securities immediately after the transaction, and</w:t>
      </w:r>
    </w:p>
    <w:p>
      <w:pPr>
        <w:sectPr>
          <w:pgSz w:w="11900" w:h="16838" w:orient="portrait"/>
          <w:cols w:equalWidth="0" w:num="1">
            <w:col w:w="11420"/>
          </w:cols>
          <w:pgMar w:left="240" w:top="271" w:right="239" w:bottom="1440" w:gutter="0" w:footer="0" w:header="0"/>
        </w:sectPr>
      </w:pPr>
    </w:p>
    <w:bookmarkStart w:id="231" w:name="page232"/>
    <w:bookmarkEnd w:id="231"/>
    <w:p>
      <w:pPr>
        <w:ind w:firstLine="1489"/>
        <w:spacing w:after="0" w:line="297" w:lineRule="auto"/>
        <w:tabs>
          <w:tab w:leader="none" w:pos="1741"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after which no Person beneficially owns voting securities representing 50% or more of the combined voting power of the Successor Entity;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Person shall be treated for purposes of this Section 2.9(c)(ii)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6"/>
          <w:szCs w:val="16"/>
          <w:color w:val="auto"/>
        </w:rPr>
      </w:pPr>
    </w:p>
    <w:p>
      <w:pPr>
        <w:ind w:right="140" w:firstLine="1489"/>
        <w:spacing w:after="0" w:line="289" w:lineRule="auto"/>
        <w:tabs>
          <w:tab w:leader="none" w:pos="179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57" w:lineRule="exact"/>
        <w:rPr>
          <w:rFonts w:ascii="Arial" w:cs="Arial" w:eastAsia="Arial" w:hAnsi="Arial"/>
          <w:sz w:val="17"/>
          <w:szCs w:val="17"/>
          <w:color w:val="auto"/>
        </w:rPr>
      </w:pPr>
    </w:p>
    <w:p>
      <w:pPr>
        <w:ind w:left="1160" w:hanging="242"/>
        <w:spacing w:after="0"/>
        <w:tabs>
          <w:tab w:leader="none" w:pos="11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date which is 10 business days prior to the completion of a liquidation or dissolution of the Company.</w:t>
      </w:r>
    </w:p>
    <w:p>
      <w:pPr>
        <w:spacing w:after="0" w:line="22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8"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Cinven</w:t>
      </w:r>
      <w:r>
        <w:rPr>
          <w:rFonts w:ascii="Arial" w:cs="Arial" w:eastAsia="Arial" w:hAnsi="Arial"/>
          <w:sz w:val="17"/>
          <w:szCs w:val="17"/>
          <w:color w:val="auto"/>
        </w:rPr>
        <w:t>” shall mean Cinven Capital Management (V) General Partner Limited and its Control Investment Affiliates (excluding, for purposes of the definition of Change in Control, any operating portfolio companies of the foregoing).</w:t>
      </w:r>
    </w:p>
    <w:p>
      <w:pPr>
        <w:spacing w:after="0" w:line="158"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 from time to time, together with the regulations and official guidance promulgated thereunder, whether issued prior or subsequent to the grant of any Award.</w:t>
      </w:r>
    </w:p>
    <w:p>
      <w:pPr>
        <w:spacing w:after="0" w:line="158" w:lineRule="exact"/>
        <w:rPr>
          <w:sz w:val="20"/>
          <w:szCs w:val="20"/>
          <w:color w:val="auto"/>
        </w:rPr>
      </w:pPr>
    </w:p>
    <w:p>
      <w:pPr>
        <w:ind w:right="600" w:firstLine="457"/>
        <w:spacing w:after="0" w:line="289"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Compensation Committee of the Board, or another committee or subcommittee of the Board or the Compensation Committee of the Board described in Article 12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common stock of the Company, par value $0.01 per share.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Company</w:t>
      </w:r>
      <w:r>
        <w:rPr>
          <w:rFonts w:ascii="Arial" w:cs="Arial" w:eastAsia="Arial" w:hAnsi="Arial"/>
          <w:sz w:val="17"/>
          <w:szCs w:val="17"/>
          <w:color w:val="auto"/>
        </w:rPr>
        <w:t>” shall have the meaning set forth in Article 1.</w:t>
      </w:r>
    </w:p>
    <w:p>
      <w:pPr>
        <w:sectPr>
          <w:pgSz w:w="11900" w:h="16838" w:orient="portrait"/>
          <w:cols w:equalWidth="0" w:num="1">
            <w:col w:w="11380"/>
          </w:cols>
          <w:pgMar w:left="240" w:top="271" w:right="279" w:bottom="1440" w:gutter="0" w:footer="0" w:header="0"/>
        </w:sectPr>
      </w:pPr>
    </w:p>
    <w:bookmarkStart w:id="232" w:name="page233"/>
    <w:bookmarkEnd w:id="232"/>
    <w:p>
      <w:pPr>
        <w:ind w:right="420" w:firstLine="457"/>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2.15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Subsidiary who qualifies as a consultant or advisor under the applicable rules of the Securities and Exchange Commission for registration of shares on a Form S-8 Registration Statement.</w:t>
      </w:r>
    </w:p>
    <w:p>
      <w:pPr>
        <w:spacing w:after="0" w:line="135" w:lineRule="exact"/>
        <w:rPr>
          <w:sz w:val="20"/>
          <w:szCs w:val="20"/>
          <w:color w:val="auto"/>
        </w:rPr>
      </w:pPr>
    </w:p>
    <w:p>
      <w:pPr>
        <w:ind w:right="380" w:firstLine="457"/>
        <w:spacing w:after="0" w:line="359" w:lineRule="auto"/>
        <w:rPr>
          <w:sz w:val="20"/>
          <w:szCs w:val="20"/>
          <w:color w:val="auto"/>
        </w:rPr>
      </w:pPr>
      <w:r>
        <w:rPr>
          <w:rFonts w:ascii="Arial" w:cs="Arial" w:eastAsia="Arial" w:hAnsi="Arial"/>
          <w:sz w:val="15"/>
          <w:szCs w:val="15"/>
          <w:color w:val="auto"/>
        </w:rPr>
        <w:t>2.16 “</w:t>
      </w:r>
      <w:r>
        <w:rPr>
          <w:rFonts w:ascii="Arial" w:cs="Arial" w:eastAsia="Arial" w:hAnsi="Arial"/>
          <w:sz w:val="15"/>
          <w:szCs w:val="15"/>
          <w:u w:val="single" w:color="auto"/>
          <w:color w:val="auto"/>
        </w:rPr>
        <w:t>Control</w:t>
      </w:r>
      <w:r>
        <w:rPr>
          <w:rFonts w:ascii="Arial" w:cs="Arial" w:eastAsia="Arial" w:hAnsi="Arial"/>
          <w:sz w:val="15"/>
          <w:szCs w:val="15"/>
          <w:color w:val="auto"/>
        </w:rPr>
        <w:t>” shall mean the possession, directly or indirectly, of the power to direct or cause the direction of the management or policies of a Person, whether through the ability to exercise voting power, by contract or otherwise, and “</w:t>
      </w:r>
      <w:r>
        <w:rPr>
          <w:rFonts w:ascii="Arial" w:cs="Arial" w:eastAsia="Arial" w:hAnsi="Arial"/>
          <w:sz w:val="15"/>
          <w:szCs w:val="15"/>
          <w:u w:val="single" w:color="auto"/>
          <w:color w:val="auto"/>
        </w:rPr>
        <w:t>Controlling</w:t>
      </w:r>
      <w:r>
        <w:rPr>
          <w:rFonts w:ascii="Arial" w:cs="Arial" w:eastAsia="Arial" w:hAnsi="Arial"/>
          <w:sz w:val="15"/>
          <w:szCs w:val="15"/>
          <w:color w:val="auto"/>
        </w:rPr>
        <w:t>” and “</w:t>
      </w:r>
      <w:r>
        <w:rPr>
          <w:rFonts w:ascii="Arial" w:cs="Arial" w:eastAsia="Arial" w:hAnsi="Arial"/>
          <w:sz w:val="15"/>
          <w:szCs w:val="15"/>
          <w:u w:val="single" w:color="auto"/>
          <w:color w:val="auto"/>
        </w:rPr>
        <w:t>Controlled</w:t>
      </w:r>
      <w:r>
        <w:rPr>
          <w:rFonts w:ascii="Arial" w:cs="Arial" w:eastAsia="Arial" w:hAnsi="Arial"/>
          <w:sz w:val="15"/>
          <w:szCs w:val="15"/>
          <w:color w:val="auto"/>
        </w:rPr>
        <w:t>” shall have meanings correlative thereto.</w:t>
      </w:r>
    </w:p>
    <w:p>
      <w:pPr>
        <w:spacing w:after="0" w:line="113" w:lineRule="exact"/>
        <w:rPr>
          <w:sz w:val="20"/>
          <w:szCs w:val="20"/>
          <w:color w:val="auto"/>
        </w:rPr>
      </w:pPr>
    </w:p>
    <w:p>
      <w:pPr>
        <w:ind w:right="140" w:firstLine="457"/>
        <w:spacing w:after="0" w:line="359" w:lineRule="auto"/>
        <w:rPr>
          <w:sz w:val="20"/>
          <w:szCs w:val="20"/>
          <w:color w:val="auto"/>
        </w:rPr>
      </w:pPr>
      <w:r>
        <w:rPr>
          <w:rFonts w:ascii="Arial" w:cs="Arial" w:eastAsia="Arial" w:hAnsi="Arial"/>
          <w:sz w:val="15"/>
          <w:szCs w:val="15"/>
          <w:color w:val="auto"/>
        </w:rPr>
        <w:t>2.17 “</w:t>
      </w:r>
      <w:r>
        <w:rPr>
          <w:rFonts w:ascii="Arial" w:cs="Arial" w:eastAsia="Arial" w:hAnsi="Arial"/>
          <w:sz w:val="15"/>
          <w:szCs w:val="15"/>
          <w:u w:val="single" w:color="auto"/>
          <w:color w:val="auto"/>
        </w:rPr>
        <w:t>Control Investment Affiliate</w:t>
      </w:r>
      <w:r>
        <w:rPr>
          <w:rFonts w:ascii="Arial" w:cs="Arial" w:eastAsia="Arial" w:hAnsi="Arial"/>
          <w:sz w:val="15"/>
          <w:szCs w:val="15"/>
          <w:color w:val="auto"/>
        </w:rPr>
        <w:t>” shall mean, as to any Person, any other Person that (a) directly or indirectly, is in Control of, is Controlled by, or is under common Control with, such Person and (b) is organized by such Person primarily for the purpose of making equity investments in one or more companies.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become, a “covered employee” within the meaning of Section 162(m) of the Code.</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2.19 “</w:t>
      </w:r>
      <w:r>
        <w:rPr>
          <w:rFonts w:ascii="Arial" w:cs="Arial" w:eastAsia="Arial" w:hAnsi="Arial"/>
          <w:sz w:val="17"/>
          <w:szCs w:val="17"/>
          <w:u w:val="single" w:color="auto"/>
          <w:color w:val="auto"/>
        </w:rPr>
        <w:t>Director</w:t>
      </w:r>
      <w:r>
        <w:rPr>
          <w:rFonts w:ascii="Arial" w:cs="Arial" w:eastAsia="Arial" w:hAnsi="Arial"/>
          <w:sz w:val="17"/>
          <w:szCs w:val="17"/>
          <w:color w:val="auto"/>
        </w:rPr>
        <w:t>” shall mean a member of the Board, as constituted from time to time.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2.20 “</w:t>
      </w:r>
      <w:r>
        <w:rPr>
          <w:rFonts w:ascii="Arial" w:cs="Arial" w:eastAsia="Arial" w:hAnsi="Arial"/>
          <w:sz w:val="17"/>
          <w:szCs w:val="17"/>
          <w:u w:val="single" w:color="auto"/>
          <w:color w:val="auto"/>
        </w:rPr>
        <w:t>Director Limit</w:t>
      </w:r>
      <w:r>
        <w:rPr>
          <w:rFonts w:ascii="Arial" w:cs="Arial" w:eastAsia="Arial" w:hAnsi="Arial"/>
          <w:sz w:val="17"/>
          <w:szCs w:val="17"/>
          <w:color w:val="auto"/>
        </w:rPr>
        <w:t>” shall have the meaning set forth in Section 4.6.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Dividend Equivalent</w:t>
      </w:r>
      <w:r>
        <w:rPr>
          <w:rFonts w:ascii="Arial" w:cs="Arial" w:eastAsia="Arial" w:hAnsi="Arial"/>
          <w:sz w:val="16"/>
          <w:szCs w:val="16"/>
          <w:color w:val="auto"/>
        </w:rPr>
        <w:t>” shall mean a right to receive the equivalent value (in cash or Shares) of dividends paid on Shares, awarded under Section 10.2.</w:t>
      </w:r>
    </w:p>
    <w:p>
      <w:pPr>
        <w:spacing w:after="0" w:line="235" w:lineRule="exact"/>
        <w:rPr>
          <w:sz w:val="20"/>
          <w:szCs w:val="20"/>
          <w:color w:val="auto"/>
        </w:rPr>
      </w:pPr>
    </w:p>
    <w:p>
      <w:pPr>
        <w:ind w:right="640" w:firstLine="457"/>
        <w:spacing w:after="0" w:line="289" w:lineRule="auto"/>
        <w:rPr>
          <w:sz w:val="20"/>
          <w:szCs w:val="20"/>
          <w:color w:val="auto"/>
        </w:rPr>
      </w:pPr>
      <w:r>
        <w:rPr>
          <w:rFonts w:ascii="Arial" w:cs="Arial" w:eastAsia="Arial" w:hAnsi="Arial"/>
          <w:sz w:val="17"/>
          <w:szCs w:val="17"/>
          <w:color w:val="auto"/>
        </w:rPr>
        <w:t>2.22 “</w:t>
      </w:r>
      <w:r>
        <w:rPr>
          <w:rFonts w:ascii="Arial" w:cs="Arial" w:eastAsia="Arial" w:hAnsi="Arial"/>
          <w:sz w:val="17"/>
          <w:szCs w:val="17"/>
          <w:u w:val="single" w:color="auto"/>
          <w:color w:val="auto"/>
        </w:rPr>
        <w:t>DRO</w:t>
      </w:r>
      <w:r>
        <w:rPr>
          <w:rFonts w:ascii="Arial" w:cs="Arial" w:eastAsia="Arial" w:hAnsi="Arial"/>
          <w:sz w:val="17"/>
          <w:szCs w:val="17"/>
          <w:color w:val="auto"/>
        </w:rPr>
        <w:t>” shall mean a “domestic relations order” as defined by the Code or Title I of the Employee Retirement Income Security Act of 1974, as amended from time to time, or the rules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2.23 “</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day prior to the Public Trading Date.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Administrator.</w:t>
      </w:r>
    </w:p>
    <w:p>
      <w:pPr>
        <w:spacing w:after="0" w:line="235"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2.25 “</w:t>
      </w:r>
      <w:r>
        <w:rPr>
          <w:rFonts w:ascii="Arial" w:cs="Arial" w:eastAsia="Arial" w:hAnsi="Arial"/>
          <w:sz w:val="17"/>
          <w:szCs w:val="17"/>
          <w:u w:val="single" w:color="auto"/>
          <w:color w:val="auto"/>
        </w:rPr>
        <w:t>Employee</w:t>
      </w:r>
      <w:r>
        <w:rPr>
          <w:rFonts w:ascii="Arial" w:cs="Arial" w:eastAsia="Arial" w:hAnsi="Arial"/>
          <w:sz w:val="17"/>
          <w:szCs w:val="17"/>
          <w:color w:val="auto"/>
        </w:rPr>
        <w:t>” shall mean any officer or other employee (as determined in accordance with Section 3401(c) of the Code and the Treasury Regulations thereunder) of the Company or of any Subsidiary.</w:t>
      </w:r>
    </w:p>
    <w:p>
      <w:pPr>
        <w:spacing w:after="0" w:line="158" w:lineRule="exact"/>
        <w:rPr>
          <w:sz w:val="20"/>
          <w:szCs w:val="20"/>
          <w:color w:val="auto"/>
        </w:rPr>
      </w:pPr>
    </w:p>
    <w:p>
      <w:pPr>
        <w:ind w:firstLine="457"/>
        <w:spacing w:after="0" w:line="297"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2.27 “</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from time to time.</w:t>
      </w:r>
    </w:p>
    <w:p>
      <w:pPr>
        <w:sectPr>
          <w:pgSz w:w="11900" w:h="16838" w:orient="portrait"/>
          <w:cols w:equalWidth="0" w:num="1">
            <w:col w:w="11400"/>
          </w:cols>
          <w:pgMar w:left="240" w:top="271" w:right="259" w:bottom="1440" w:gutter="0" w:footer="0" w:header="0"/>
        </w:sectPr>
      </w:pPr>
    </w:p>
    <w:bookmarkStart w:id="233" w:name="page234"/>
    <w:bookmarkEnd w:id="23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2.28 “</w:t>
      </w:r>
      <w:r>
        <w:rPr>
          <w:rFonts w:ascii="Arial" w:cs="Arial" w:eastAsia="Arial" w:hAnsi="Arial"/>
          <w:sz w:val="17"/>
          <w:szCs w:val="17"/>
          <w:u w:val="single" w:color="auto"/>
          <w:color w:val="auto"/>
        </w:rPr>
        <w:t>Expiration Date</w:t>
      </w:r>
      <w:r>
        <w:rPr>
          <w:rFonts w:ascii="Arial" w:cs="Arial" w:eastAsia="Arial" w:hAnsi="Arial"/>
          <w:sz w:val="17"/>
          <w:szCs w:val="17"/>
          <w:color w:val="auto"/>
        </w:rPr>
        <w:t>” shall have the meaning given to such term in Section 13.1(c).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2.29 “</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as of any given date, the value of a Share determined as follows:</w:t>
      </w:r>
    </w:p>
    <w:p>
      <w:pPr>
        <w:spacing w:after="0" w:line="224" w:lineRule="exact"/>
        <w:rPr>
          <w:sz w:val="20"/>
          <w:szCs w:val="20"/>
          <w:color w:val="auto"/>
        </w:rPr>
      </w:pPr>
    </w:p>
    <w:p>
      <w:pPr>
        <w:ind w:right="40" w:firstLine="918"/>
        <w:spacing w:after="0" w:line="265" w:lineRule="auto"/>
        <w:tabs>
          <w:tab w:leader="none" w:pos="115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or such other source as the Administrator deems reliable;</w:t>
      </w:r>
    </w:p>
    <w:p>
      <w:pPr>
        <w:spacing w:after="0" w:line="177" w:lineRule="exact"/>
        <w:rPr>
          <w:rFonts w:ascii="Arial" w:cs="Arial" w:eastAsia="Arial" w:hAnsi="Arial"/>
          <w:sz w:val="17"/>
          <w:szCs w:val="17"/>
          <w:color w:val="auto"/>
        </w:rPr>
      </w:pPr>
    </w:p>
    <w:p>
      <w:pPr>
        <w:ind w:right="80" w:firstLine="918"/>
        <w:spacing w:after="0" w:line="267" w:lineRule="auto"/>
        <w:tabs>
          <w:tab w:leader="none" w:pos="11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w:t>
      </w:r>
    </w:p>
    <w:p>
      <w:pPr>
        <w:spacing w:after="0" w:line="177" w:lineRule="exact"/>
        <w:rPr>
          <w:rFonts w:ascii="Arial" w:cs="Arial" w:eastAsia="Arial" w:hAnsi="Arial"/>
          <w:sz w:val="17"/>
          <w:szCs w:val="17"/>
          <w:color w:val="auto"/>
        </w:rPr>
      </w:pPr>
    </w:p>
    <w:p>
      <w:pPr>
        <w:ind w:right="120" w:firstLine="918"/>
        <w:spacing w:after="0" w:line="289" w:lineRule="auto"/>
        <w:tabs>
          <w:tab w:leader="none" w:pos="115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5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171"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2.30 “</w:t>
      </w:r>
      <w:r>
        <w:rPr>
          <w:rFonts w:ascii="Arial" w:cs="Arial" w:eastAsia="Arial" w:hAnsi="Arial"/>
          <w:sz w:val="17"/>
          <w:szCs w:val="17"/>
          <w:u w:val="single" w:color="auto"/>
          <w:color w:val="auto"/>
        </w:rPr>
        <w:t>Greater Than 10% Stockholder”</w:t>
      </w:r>
      <w:r>
        <w:rPr>
          <w:rFonts w:ascii="Arial" w:cs="Arial" w:eastAsia="Arial" w:hAnsi="Arial"/>
          <w:sz w:val="17"/>
          <w:szCs w:val="17"/>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2.31 “</w:t>
      </w:r>
      <w:r>
        <w:rPr>
          <w:rFonts w:ascii="Arial" w:cs="Arial" w:eastAsia="Arial" w:hAnsi="Arial"/>
          <w:sz w:val="17"/>
          <w:szCs w:val="17"/>
          <w:u w:val="single" w:color="auto"/>
          <w:color w:val="auto"/>
        </w:rPr>
        <w:t>Holder</w:t>
      </w:r>
      <w:r>
        <w:rPr>
          <w:rFonts w:ascii="Arial" w:cs="Arial" w:eastAsia="Arial" w:hAnsi="Arial"/>
          <w:sz w:val="17"/>
          <w:szCs w:val="17"/>
          <w:color w:val="auto"/>
        </w:rPr>
        <w:t>” shall mean a Person who has been granted an Award.</w:t>
      </w:r>
    </w:p>
    <w:p>
      <w:pPr>
        <w:spacing w:after="0" w:line="224"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2.32 “</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shall mean an Option that is intended to qualify as an incentive stock option and conforms to the applicable provisions of Section 422 of the Code.</w:t>
      </w:r>
    </w:p>
    <w:p>
      <w:pPr>
        <w:spacing w:after="0" w:line="158" w:lineRule="exact"/>
        <w:rPr>
          <w:sz w:val="20"/>
          <w:szCs w:val="20"/>
          <w:color w:val="auto"/>
        </w:rPr>
      </w:pPr>
    </w:p>
    <w:p>
      <w:pPr>
        <w:ind w:firstLine="457"/>
        <w:spacing w:after="0" w:line="297"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2.9(a) or 2.9(c)) whose election or nomination for election to the Board was approved by a vote of at least a majority</w:t>
      </w:r>
    </w:p>
    <w:p>
      <w:pPr>
        <w:sectPr>
          <w:pgSz w:w="11900" w:h="16838" w:orient="portrait"/>
          <w:cols w:equalWidth="0" w:num="1">
            <w:col w:w="11400"/>
          </w:cols>
          <w:pgMar w:left="240" w:top="271" w:right="259" w:bottom="1440" w:gutter="0" w:footer="0" w:header="0"/>
        </w:sectPr>
      </w:pPr>
    </w:p>
    <w:bookmarkStart w:id="234" w:name="page235"/>
    <w:bookmarkEnd w:id="234"/>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2.34 “</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shall mean a Director of the Company who is not an Employee.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2.35 “</w:t>
      </w:r>
      <w:r>
        <w:rPr>
          <w:rFonts w:ascii="Arial" w:cs="Arial" w:eastAsia="Arial" w:hAnsi="Arial"/>
          <w:sz w:val="17"/>
          <w:szCs w:val="17"/>
          <w:u w:val="single" w:color="auto"/>
          <w:color w:val="auto"/>
        </w:rPr>
        <w:t>Non-Employee Director Equity Compensation Policy</w:t>
      </w:r>
      <w:r>
        <w:rPr>
          <w:rFonts w:ascii="Arial" w:cs="Arial" w:eastAsia="Arial" w:hAnsi="Arial"/>
          <w:sz w:val="17"/>
          <w:szCs w:val="17"/>
          <w:color w:val="auto"/>
        </w:rPr>
        <w:t>” shall have the meaning set forth in Section 4.6.</w:t>
      </w:r>
    </w:p>
    <w:p>
      <w:pPr>
        <w:spacing w:after="0" w:line="224"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2.36 “</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shall mean an Option that is not an Incentive Stock Option or which is designated as an Incentive Stock Option but does not meet the applicable requirements of Section 422 of the Code.</w:t>
      </w:r>
    </w:p>
    <w:p>
      <w:pPr>
        <w:spacing w:after="0" w:line="158"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2.37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Options granted to Non-Employee Directors and Consultants shall only be Non-Qualified Stock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2.38 “</w:t>
      </w:r>
      <w:r>
        <w:rPr>
          <w:rFonts w:ascii="Arial" w:cs="Arial" w:eastAsia="Arial" w:hAnsi="Arial"/>
          <w:sz w:val="17"/>
          <w:szCs w:val="17"/>
          <w:u w:val="single" w:color="auto"/>
          <w:color w:val="auto"/>
        </w:rPr>
        <w:t>Option Term</w:t>
      </w:r>
      <w:r>
        <w:rPr>
          <w:rFonts w:ascii="Arial" w:cs="Arial" w:eastAsia="Arial" w:hAnsi="Arial"/>
          <w:sz w:val="17"/>
          <w:szCs w:val="17"/>
          <w:color w:val="auto"/>
        </w:rPr>
        <w:t>” shall have the meaning set forth in Section 6.4.</w:t>
      </w:r>
    </w:p>
    <w:p>
      <w:pPr>
        <w:spacing w:after="0" w:line="224" w:lineRule="exact"/>
        <w:rPr>
          <w:sz w:val="20"/>
          <w:szCs w:val="20"/>
          <w:color w:val="auto"/>
        </w:rPr>
      </w:pPr>
    </w:p>
    <w:p>
      <w:pPr>
        <w:jc w:val="both"/>
        <w:ind w:right="140" w:firstLine="457"/>
        <w:spacing w:after="0" w:line="273" w:lineRule="auto"/>
        <w:rPr>
          <w:sz w:val="20"/>
          <w:szCs w:val="20"/>
          <w:color w:val="auto"/>
        </w:rPr>
      </w:pPr>
      <w:r>
        <w:rPr>
          <w:rFonts w:ascii="Arial" w:cs="Arial" w:eastAsia="Arial" w:hAnsi="Arial"/>
          <w:sz w:val="17"/>
          <w:szCs w:val="17"/>
          <w:color w:val="auto"/>
        </w:rPr>
        <w:t>2.39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7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2.40 “</w:t>
      </w:r>
      <w:r>
        <w:rPr>
          <w:rFonts w:ascii="Arial" w:cs="Arial" w:eastAsia="Arial" w:hAnsi="Arial"/>
          <w:sz w:val="17"/>
          <w:szCs w:val="17"/>
          <w:u w:val="single" w:color="auto"/>
          <w:color w:val="auto"/>
        </w:rPr>
        <w:t>Other Stock or Cash Based Award</w:t>
      </w:r>
      <w:r>
        <w:rPr>
          <w:rFonts w:ascii="Arial" w:cs="Arial" w:eastAsia="Arial" w:hAnsi="Arial"/>
          <w:sz w:val="17"/>
          <w:szCs w:val="17"/>
          <w:color w:val="auto"/>
        </w:rPr>
        <w:t>” shall mean a cash payment, cash bonus award, stock payment, stock bonus award, performance award or incentive award that is paid in cash, Shares or a combination of both, awarded under Section 10.1, which may include, without limitation, deferred stock, deferred stock units, performance awards, retainers, committee fees, and meeting-based fees.</w:t>
      </w:r>
    </w:p>
    <w:p>
      <w:pPr>
        <w:spacing w:after="0" w:line="171"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Performance-Based Compensation</w:t>
      </w:r>
      <w:r>
        <w:rPr>
          <w:rFonts w:ascii="Arial" w:cs="Arial" w:eastAsia="Arial" w:hAnsi="Arial"/>
          <w:sz w:val="17"/>
          <w:szCs w:val="17"/>
          <w:color w:val="auto"/>
        </w:rPr>
        <w:t>” shall mean any compensation that is intended to qualify as “performance-based compensation” as described in Section 162(m)(4)(C) of the Code.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2.42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shall mean the criteria (and adjustments) that the Administrator selects for an Award for purposes of establishing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Performance Goal or Performance Goals for a Performance Period, determined as follows:</w:t>
      </w:r>
    </w:p>
    <w:p>
      <w:pPr>
        <w:spacing w:after="0" w:line="212" w:lineRule="exact"/>
        <w:rPr>
          <w:sz w:val="20"/>
          <w:szCs w:val="20"/>
          <w:color w:val="auto"/>
        </w:rPr>
      </w:pPr>
    </w:p>
    <w:p>
      <w:pPr>
        <w:ind w:right="80" w:firstLine="918"/>
        <w:spacing w:after="0" w:line="289" w:lineRule="auto"/>
        <w:tabs>
          <w:tab w:leader="none" w:pos="115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Performance Criteria that shall be used to establish Performance Goals are limited to the following: (i) net earnings or losses (either before or after one or more of the following: (A) interest, (B) taxes, (C) depreciation, (D) amortization and (E) non-cash equity-based</w:t>
      </w:r>
    </w:p>
    <w:p>
      <w:pPr>
        <w:sectPr>
          <w:pgSz w:w="11900" w:h="16838" w:orient="portrait"/>
          <w:cols w:equalWidth="0" w:num="1">
            <w:col w:w="11420"/>
          </w:cols>
          <w:pgMar w:left="240" w:top="271" w:right="239" w:bottom="1440" w:gutter="0" w:footer="0" w:header="0"/>
        </w:sectPr>
      </w:pPr>
    </w:p>
    <w:bookmarkStart w:id="235" w:name="page236"/>
    <w:bookmarkEnd w:id="235"/>
    <w:p>
      <w:pPr>
        <w:ind w:right="20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w:t>
      </w:r>
    </w:p>
    <w:p>
      <w:pPr>
        <w:spacing w:after="0" w:line="3" w:lineRule="exact"/>
        <w:rPr>
          <w:sz w:val="20"/>
          <w:szCs w:val="20"/>
          <w:color w:val="auto"/>
        </w:rPr>
      </w:pPr>
    </w:p>
    <w:p>
      <w:pPr>
        <w:ind w:right="140" w:firstLine="5"/>
        <w:spacing w:after="0" w:line="278" w:lineRule="auto"/>
        <w:tabs>
          <w:tab w:leader="none" w:pos="3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72" w:lineRule="exact"/>
        <w:rPr>
          <w:rFonts w:ascii="Arial" w:cs="Arial" w:eastAsia="Arial" w:hAnsi="Arial"/>
          <w:sz w:val="16"/>
          <w:szCs w:val="16"/>
          <w:color w:val="auto"/>
        </w:rPr>
      </w:pPr>
    </w:p>
    <w:p>
      <w:pPr>
        <w:ind w:firstLine="918"/>
        <w:spacing w:after="0" w:line="294" w:lineRule="auto"/>
        <w:tabs>
          <w:tab w:leader="none" w:pos="116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w:t>
      </w:r>
    </w:p>
    <w:p>
      <w:pPr>
        <w:spacing w:after="0" w:line="1" w:lineRule="exact"/>
        <w:rPr>
          <w:rFonts w:ascii="Arial" w:cs="Arial" w:eastAsia="Arial" w:hAnsi="Arial"/>
          <w:sz w:val="15"/>
          <w:szCs w:val="15"/>
          <w:color w:val="auto"/>
        </w:rPr>
      </w:pPr>
    </w:p>
    <w:p>
      <w:pPr>
        <w:ind w:right="60" w:firstLine="5"/>
        <w:spacing w:after="0" w:line="278" w:lineRule="auto"/>
        <w:tabs>
          <w:tab w:leader="none" w:pos="2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other items of significant income or expense which are determined to be appropriate adjustments; (xi) items of an unusual nature or of infrequency of occurrence or non-recurring items,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 (xxi) 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ectPr>
          <w:pgSz w:w="11900" w:h="16838" w:orient="portrait"/>
          <w:cols w:equalWidth="0" w:num="1">
            <w:col w:w="11400"/>
          </w:cols>
          <w:pgMar w:left="240" w:top="271" w:right="259" w:bottom="1440" w:gutter="0" w:footer="0" w:header="0"/>
        </w:sectPr>
      </w:pPr>
    </w:p>
    <w:bookmarkStart w:id="236" w:name="page237"/>
    <w:bookmarkEnd w:id="236"/>
    <w:p>
      <w:pPr>
        <w:ind w:right="140" w:firstLine="457"/>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2.43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61"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2.44 “</w:t>
      </w:r>
      <w:r>
        <w:rPr>
          <w:rFonts w:ascii="Arial" w:cs="Arial" w:eastAsia="Arial" w:hAnsi="Arial"/>
          <w:sz w:val="17"/>
          <w:szCs w:val="17"/>
          <w:u w:val="single" w:color="auto"/>
          <w:color w:val="auto"/>
        </w:rPr>
        <w:t>Performance Period</w:t>
      </w:r>
      <w:r>
        <w:rPr>
          <w:rFonts w:ascii="Arial" w:cs="Arial" w:eastAsia="Arial" w:hAnsi="Arial"/>
          <w:sz w:val="17"/>
          <w:szCs w:val="17"/>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7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2.46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“person” or related “group” of “persons” (as such terms are used in Sections 13(d) and 14(d)(2) of the Exchange Act).</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2.47 “</w:t>
      </w:r>
      <w:r>
        <w:rPr>
          <w:rFonts w:ascii="Arial" w:cs="Arial" w:eastAsia="Arial" w:hAnsi="Arial"/>
          <w:sz w:val="17"/>
          <w:szCs w:val="17"/>
          <w:u w:val="single" w:color="auto"/>
          <w:color w:val="auto"/>
        </w:rPr>
        <w:t>Plan</w:t>
      </w:r>
      <w:r>
        <w:rPr>
          <w:rFonts w:ascii="Arial" w:cs="Arial" w:eastAsia="Arial" w:hAnsi="Arial"/>
          <w:sz w:val="17"/>
          <w:szCs w:val="17"/>
          <w:color w:val="auto"/>
        </w:rPr>
        <w:t>” shall have the meaning set forth in Article 1.</w:t>
      </w:r>
    </w:p>
    <w:p>
      <w:pPr>
        <w:spacing w:after="0" w:line="224" w:lineRule="exact"/>
        <w:rPr>
          <w:sz w:val="20"/>
          <w:szCs w:val="20"/>
          <w:color w:val="auto"/>
        </w:rPr>
      </w:pPr>
    </w:p>
    <w:p>
      <w:pPr>
        <w:ind w:right="600" w:firstLine="457"/>
        <w:spacing w:after="0" w:line="289" w:lineRule="auto"/>
        <w:rPr>
          <w:sz w:val="20"/>
          <w:szCs w:val="20"/>
          <w:color w:val="auto"/>
        </w:rPr>
      </w:pPr>
      <w:r>
        <w:rPr>
          <w:rFonts w:ascii="Arial" w:cs="Arial" w:eastAsia="Arial" w:hAnsi="Arial"/>
          <w:sz w:val="17"/>
          <w:szCs w:val="17"/>
          <w:color w:val="auto"/>
        </w:rPr>
        <w:t>2.48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58" w:lineRule="exact"/>
        <w:rPr>
          <w:sz w:val="20"/>
          <w:szCs w:val="20"/>
          <w:color w:val="auto"/>
        </w:rPr>
      </w:pPr>
    </w:p>
    <w:p>
      <w:pPr>
        <w:ind w:right="120" w:firstLine="457"/>
        <w:spacing w:after="0" w:line="322" w:lineRule="auto"/>
        <w:rPr>
          <w:sz w:val="20"/>
          <w:szCs w:val="20"/>
          <w:color w:val="auto"/>
        </w:rPr>
      </w:pPr>
      <w:r>
        <w:rPr>
          <w:rFonts w:ascii="Arial" w:cs="Arial" w:eastAsia="Arial" w:hAnsi="Arial"/>
          <w:sz w:val="16"/>
          <w:szCs w:val="16"/>
          <w:color w:val="auto"/>
        </w:rPr>
        <w:t>2.49 “</w:t>
      </w:r>
      <w:r>
        <w:rPr>
          <w:rFonts w:ascii="Arial" w:cs="Arial" w:eastAsia="Arial" w:hAnsi="Arial"/>
          <w:sz w:val="16"/>
          <w:szCs w:val="16"/>
          <w:u w:val="single" w:color="auto"/>
          <w:color w:val="auto"/>
        </w:rPr>
        <w:t>Public Trading Date</w:t>
      </w:r>
      <w:r>
        <w:rPr>
          <w:rFonts w:ascii="Arial" w:cs="Arial" w:eastAsia="Arial" w:hAnsi="Arial"/>
          <w:sz w:val="16"/>
          <w:szCs w:val="16"/>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35"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2.50 “</w:t>
      </w:r>
      <w:r>
        <w:rPr>
          <w:rFonts w:ascii="Arial" w:cs="Arial" w:eastAsia="Arial" w:hAnsi="Arial"/>
          <w:sz w:val="17"/>
          <w:szCs w:val="17"/>
          <w:u w:val="single" w:color="auto"/>
          <w:color w:val="auto"/>
        </w:rPr>
        <w:t>Restricted Stock</w:t>
      </w:r>
      <w:r>
        <w:rPr>
          <w:rFonts w:ascii="Arial" w:cs="Arial" w:eastAsia="Arial" w:hAnsi="Arial"/>
          <w:sz w:val="17"/>
          <w:szCs w:val="17"/>
          <w:color w:val="auto"/>
        </w:rPr>
        <w:t>” shall mean Common Stock awarded under Article 8 that is subject to certain restrictions and may be subject to risk of forfeiture or repurchase.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2.51 “</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shall mean the right to receive Shares awarded under Article 9.</w:t>
      </w:r>
    </w:p>
    <w:p>
      <w:pPr>
        <w:spacing w:after="0" w:line="224"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2.52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2.53 “</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Securities Act of 1933, as amended.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2.54 “</w:t>
      </w:r>
      <w:r>
        <w:rPr>
          <w:rFonts w:ascii="Arial" w:cs="Arial" w:eastAsia="Arial" w:hAnsi="Arial"/>
          <w:sz w:val="17"/>
          <w:szCs w:val="17"/>
          <w:u w:val="single" w:color="auto"/>
          <w:color w:val="auto"/>
        </w:rPr>
        <w:t>Shares</w:t>
      </w:r>
      <w:r>
        <w:rPr>
          <w:rFonts w:ascii="Arial" w:cs="Arial" w:eastAsia="Arial" w:hAnsi="Arial"/>
          <w:sz w:val="17"/>
          <w:szCs w:val="17"/>
          <w:color w:val="auto"/>
        </w:rPr>
        <w:t>” shall mean shares of Common Stock.</w:t>
      </w:r>
    </w:p>
    <w:p>
      <w:pPr>
        <w:spacing w:after="0" w:line="224"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2.55 “</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shall mean an Award entitling the Holder (or other Person entitled to exercise pursuant to the Plan) to exercise all or a specified portion thereof (to</w:t>
      </w:r>
    </w:p>
    <w:p>
      <w:pPr>
        <w:sectPr>
          <w:pgSz w:w="11900" w:h="16838" w:orient="portrait"/>
          <w:cols w:equalWidth="0" w:num="1">
            <w:col w:w="11420"/>
          </w:cols>
          <w:pgMar w:left="240" w:top="271" w:right="239" w:bottom="1440" w:gutter="0" w:footer="0" w:header="0"/>
        </w:sectPr>
      </w:pPr>
    </w:p>
    <w:bookmarkStart w:id="237" w:name="page238"/>
    <w:bookmarkEnd w:id="23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extent then exercisable pursuant to its terms) and to receive from the Company an amount determined by multiplying the difference obtained by subtracting the exercise price per share of such Award from the Fair Market Value on the date of exercise of such Award by the number of Shares with respect to which such Award shall have been exercised, subject to any limitations the Administrator may impose.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2.56 “</w:t>
      </w:r>
      <w:r>
        <w:rPr>
          <w:rFonts w:ascii="Arial" w:cs="Arial" w:eastAsia="Arial" w:hAnsi="Arial"/>
          <w:sz w:val="17"/>
          <w:szCs w:val="17"/>
          <w:u w:val="single" w:color="auto"/>
          <w:color w:val="auto"/>
        </w:rPr>
        <w:t>SAR Term</w:t>
      </w:r>
      <w:r>
        <w:rPr>
          <w:rFonts w:ascii="Arial" w:cs="Arial" w:eastAsia="Arial" w:hAnsi="Arial"/>
          <w:sz w:val="17"/>
          <w:szCs w:val="17"/>
          <w:color w:val="auto"/>
        </w:rPr>
        <w:t>” shall have the meaning set forth in Section 6.4.</w:t>
      </w:r>
    </w:p>
    <w:p>
      <w:pPr>
        <w:spacing w:after="0" w:line="224" w:lineRule="exact"/>
        <w:rPr>
          <w:sz w:val="20"/>
          <w:szCs w:val="20"/>
          <w:color w:val="auto"/>
        </w:rPr>
      </w:pPr>
    </w:p>
    <w:p>
      <w:pPr>
        <w:ind w:right="600" w:firstLine="457"/>
        <w:spacing w:after="0" w:line="325" w:lineRule="auto"/>
        <w:rPr>
          <w:sz w:val="20"/>
          <w:szCs w:val="20"/>
          <w:color w:val="auto"/>
        </w:rPr>
      </w:pPr>
      <w:r>
        <w:rPr>
          <w:rFonts w:ascii="Arial" w:cs="Arial" w:eastAsia="Arial" w:hAnsi="Arial"/>
          <w:sz w:val="15"/>
          <w:szCs w:val="15"/>
          <w:color w:val="auto"/>
        </w:rPr>
        <w:t>2.57 “</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37" w:lineRule="exact"/>
        <w:rPr>
          <w:sz w:val="20"/>
          <w:szCs w:val="20"/>
          <w:color w:val="auto"/>
        </w:rPr>
      </w:pPr>
    </w:p>
    <w:p>
      <w:pPr>
        <w:ind w:right="340" w:firstLine="457"/>
        <w:spacing w:after="0" w:line="267" w:lineRule="auto"/>
        <w:rPr>
          <w:sz w:val="20"/>
          <w:szCs w:val="20"/>
          <w:color w:val="auto"/>
        </w:rPr>
      </w:pPr>
      <w:r>
        <w:rPr>
          <w:rFonts w:ascii="Arial" w:cs="Arial" w:eastAsia="Arial" w:hAnsi="Arial"/>
          <w:sz w:val="17"/>
          <w:szCs w:val="17"/>
          <w:color w:val="auto"/>
        </w:rPr>
        <w:t>2.58 “</w:t>
      </w:r>
      <w:r>
        <w:rPr>
          <w:rFonts w:ascii="Arial" w:cs="Arial" w:eastAsia="Arial" w:hAnsi="Arial"/>
          <w:sz w:val="17"/>
          <w:szCs w:val="17"/>
          <w:u w:val="single" w:color="auto"/>
          <w:color w:val="auto"/>
        </w:rPr>
        <w:t>Substitute Award</w:t>
      </w:r>
      <w:r>
        <w:rPr>
          <w:rFonts w:ascii="Arial" w:cs="Arial" w:eastAsia="Arial" w:hAnsi="Arial"/>
          <w:sz w:val="17"/>
          <w:szCs w:val="17"/>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term “Substitute Award” be construed to refer to an award made in connection with the cancellation and repricing of an Option or Stock Appreciation Right.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2.59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shall mean:</w:t>
      </w:r>
    </w:p>
    <w:p>
      <w:pPr>
        <w:spacing w:after="0" w:line="224" w:lineRule="exact"/>
        <w:rPr>
          <w:sz w:val="20"/>
          <w:szCs w:val="20"/>
          <w:color w:val="auto"/>
        </w:rPr>
      </w:pPr>
    </w:p>
    <w:p>
      <w:pPr>
        <w:ind w:right="140" w:firstLine="918"/>
        <w:spacing w:after="0" w:line="273" w:lineRule="auto"/>
        <w:tabs>
          <w:tab w:leader="none" w:pos="115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71" w:lineRule="exact"/>
        <w:rPr>
          <w:rFonts w:ascii="Arial" w:cs="Arial" w:eastAsia="Arial" w:hAnsi="Arial"/>
          <w:sz w:val="17"/>
          <w:szCs w:val="17"/>
          <w:color w:val="auto"/>
        </w:rPr>
      </w:pPr>
    </w:p>
    <w:p>
      <w:pPr>
        <w:ind w:right="20" w:firstLine="918"/>
        <w:spacing w:after="0" w:line="273" w:lineRule="auto"/>
        <w:tabs>
          <w:tab w:leader="none" w:pos="11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171" w:lineRule="exact"/>
        <w:rPr>
          <w:rFonts w:ascii="Arial" w:cs="Arial" w:eastAsia="Arial" w:hAnsi="Arial"/>
          <w:sz w:val="17"/>
          <w:szCs w:val="17"/>
          <w:color w:val="auto"/>
        </w:rPr>
      </w:pPr>
    </w:p>
    <w:p>
      <w:pPr>
        <w:ind w:right="260" w:firstLine="918"/>
        <w:spacing w:after="0" w:line="273" w:lineRule="auto"/>
        <w:tabs>
          <w:tab w:leader="none" w:pos="115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Holder and the Company or any Subsidiary is terminated for any reason, including, without limitation, a termination by resignation, discharge, death, disability or retirement; but excluding terminations where the Holder simultaneously commences or remains in employment or service with the Company or any Subsidiary.</w:t>
      </w:r>
    </w:p>
    <w:p>
      <w:pPr>
        <w:spacing w:after="0" w:line="171" w:lineRule="exact"/>
        <w:rPr>
          <w:sz w:val="20"/>
          <w:szCs w:val="20"/>
          <w:color w:val="auto"/>
        </w:rPr>
      </w:pPr>
    </w:p>
    <w:p>
      <w:pPr>
        <w:ind w:right="280" w:firstLine="457"/>
        <w:spacing w:after="0" w:line="267" w:lineRule="auto"/>
        <w:rPr>
          <w:sz w:val="20"/>
          <w:szCs w:val="20"/>
          <w:color w:val="auto"/>
        </w:rPr>
      </w:pPr>
      <w:r>
        <w:rPr>
          <w:rFonts w:ascii="Arial" w:cs="Arial" w:eastAsia="Arial" w:hAnsi="Arial"/>
          <w:sz w:val="17"/>
          <w:szCs w:val="17"/>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Incentive Stock Options, unless the Administrator otherwise provides in the terms of any Program, Award Agreement or otherwise,</w:t>
      </w:r>
    </w:p>
    <w:p>
      <w:pPr>
        <w:sectPr>
          <w:pgSz w:w="11900" w:h="16838" w:orient="portrait"/>
          <w:cols w:equalWidth="0" w:num="1">
            <w:col w:w="11400"/>
          </w:cols>
          <w:pgMar w:left="240" w:top="271" w:right="259" w:bottom="1440" w:gutter="0" w:footer="0" w:header="0"/>
        </w:sectPr>
      </w:pPr>
    </w:p>
    <w:bookmarkStart w:id="238" w:name="page239"/>
    <w:bookmarkEnd w:id="238"/>
    <w:p>
      <w:pPr>
        <w:ind w:right="8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SUBJECT TO THE PLAN</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of Shares</w:t>
      </w:r>
      <w:r>
        <w:rPr>
          <w:rFonts w:ascii="Arial" w:cs="Arial" w:eastAsia="Arial" w:hAnsi="Arial"/>
          <w:sz w:val="17"/>
          <w:szCs w:val="17"/>
          <w:color w:val="auto"/>
        </w:rPr>
        <w:t>.</w:t>
      </w:r>
    </w:p>
    <w:p>
      <w:pPr>
        <w:spacing w:after="0" w:line="224" w:lineRule="exact"/>
        <w:rPr>
          <w:sz w:val="20"/>
          <w:szCs w:val="20"/>
          <w:color w:val="auto"/>
        </w:rPr>
      </w:pPr>
    </w:p>
    <w:p>
      <w:pPr>
        <w:ind w:right="160" w:firstLine="918"/>
        <w:spacing w:after="0" w:line="273" w:lineRule="auto"/>
        <w:tabs>
          <w:tab w:leader="none" w:pos="115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Sections 3.1(b) and 13.2, the aggregate number of Shares which may be issued or transferred pursuant to Awards (including, without limitation, Incentive Stock Options) under the Plan is 6,000,000. Any Shares distributed pursuant to an Award may consist, in whole or in part, of authorized and unissued Common Stock, treasury Common Stock or Common Stock purchased on the open market.</w:t>
      </w:r>
    </w:p>
    <w:p>
      <w:pPr>
        <w:spacing w:after="0" w:line="171" w:lineRule="exact"/>
        <w:rPr>
          <w:rFonts w:ascii="Arial" w:cs="Arial" w:eastAsia="Arial" w:hAnsi="Arial"/>
          <w:sz w:val="17"/>
          <w:szCs w:val="17"/>
          <w:color w:val="auto"/>
        </w:rPr>
      </w:pPr>
    </w:p>
    <w:p>
      <w:pPr>
        <w:ind w:right="60" w:firstLine="918"/>
        <w:spacing w:after="0" w:line="277" w:lineRule="auto"/>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are converted to shares of another Person in connection with a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75" w:lineRule="exact"/>
        <w:rPr>
          <w:rFonts w:ascii="Arial" w:cs="Arial" w:eastAsia="Arial" w:hAnsi="Arial"/>
          <w:sz w:val="16"/>
          <w:szCs w:val="16"/>
          <w:color w:val="auto"/>
        </w:rPr>
      </w:pPr>
    </w:p>
    <w:p>
      <w:pPr>
        <w:ind w:firstLine="918"/>
        <w:spacing w:after="0" w:line="289" w:lineRule="auto"/>
        <w:tabs>
          <w:tab w:leader="none" w:pos="115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except as may be required by reason of Section 422 of the Code. Additionally, in the event that a company acquired by the Company or any Subsidiary or with which the Company or</w:t>
      </w:r>
    </w:p>
    <w:p>
      <w:pPr>
        <w:sectPr>
          <w:pgSz w:w="11900" w:h="16838" w:orient="portrait"/>
          <w:cols w:equalWidth="0" w:num="1">
            <w:col w:w="11400"/>
          </w:cols>
          <w:pgMar w:left="240" w:top="271" w:right="259" w:bottom="1440" w:gutter="0" w:footer="0" w:header="0"/>
        </w:sectPr>
      </w:pPr>
    </w:p>
    <w:bookmarkStart w:id="239" w:name="page240"/>
    <w:bookmarkEnd w:id="239"/>
    <w:p>
      <w:pPr>
        <w:ind w:right="10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82"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Limitation on Number of Shares Subject to Awards</w:t>
      </w:r>
      <w:r>
        <w:rPr>
          <w:rFonts w:ascii="Arial" w:cs="Arial" w:eastAsia="Arial" w:hAnsi="Arial"/>
          <w:sz w:val="17"/>
          <w:szCs w:val="17"/>
          <w:color w:val="auto"/>
        </w:rPr>
        <w:t xml:space="preserve">. Notwithstanding any provision in the Plan to the contrary, and subject to Section 13.2, the maximum aggregate number of Shares with respect to one or more Awards that may be granted to any one Person during any calendar year shall be 1,500,000 and the maximum aggregate amount of cash that may be paid in cash to any one Person during any calendar year with respect to one or more Awards payable in cash shall be $5,000,000;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limitations shall not apply prior to the Public Trading Date and, following the Public Trading Date, the foregoing limitations shall not apply until the earliest of: (a) the first material modification of the Plan (including any increase in the number of Shares reserved for issuance under the Plan in accordance with Section 3.1); (b) the issuance of all of the Shares reserved for issuance under the Plan; (c) the expiration of the Plan; (d) the first meeting of stockholders at which members of the Board are to be elected that occurs after the close of the third calendar year following the calendar year in which occurred the first registration of an equity security of the Company under Section 12 of the Exchange Act; or (e) such other date, if any, on which the “reliance period” described under U.S. Treasury Regulation 1.162-27(f)(2) expires pursuant to Section 162(m) of the Code and the rules and regulations promulgated thereunder. To the extent required by Section 162(m) of the Code, Shares subject to Awards which are canceled shall continue to be counted against the Award Limit.</w:t>
      </w:r>
    </w:p>
    <w:p>
      <w:pPr>
        <w:spacing w:after="0" w:line="185"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Award Vesting Limitations</w:t>
      </w:r>
      <w:r>
        <w:rPr>
          <w:rFonts w:ascii="Arial" w:cs="Arial" w:eastAsia="Arial" w:hAnsi="Arial"/>
          <w:sz w:val="17"/>
          <w:szCs w:val="17"/>
          <w:color w:val="auto"/>
        </w:rPr>
        <w:t xml:space="preserve">. Notwithstanding any other provision of the Plan to the contrary, but subject to Section 13.2 of the Plan, Awards granted under the Plan shall vest no earlier than the first anniversary of the date the Award is granted;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Awards that result in the issuance of an aggregate of up to 5% of the shares of Common Stock available pursuant to Section 3.1(a) may be granted to any one or more Eligible Individuals without respect to such minimum vesting provisions. Nothing in this Section 3.4 shall preclude the Administrator from taking action, in its sole discretion, to accelerate the vesting of any Award in connection with or following a Holder’s death, disability, Termination of Service or the consummation of a Change in Control.</w:t>
      </w:r>
    </w:p>
    <w:p>
      <w:pPr>
        <w:sectPr>
          <w:pgSz w:w="11900" w:h="16838" w:orient="portrait"/>
          <w:cols w:equalWidth="0" w:num="1">
            <w:col w:w="11420"/>
          </w:cols>
          <w:pgMar w:left="240" w:top="271" w:right="2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GRANTING OF AWARDS</w:t>
      </w:r>
    </w:p>
    <w:p>
      <w:pPr>
        <w:spacing w:after="0" w:line="230"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65"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78"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7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Foreign Holders</w:t>
      </w:r>
      <w:r>
        <w:rPr>
          <w:rFonts w:ascii="Arial" w:cs="Arial" w:eastAsia="Arial" w:hAnsi="Arial"/>
          <w:sz w:val="15"/>
          <w:szCs w:val="15"/>
          <w:color w:val="auto"/>
        </w:rPr>
        <w:t>.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w:t>
      </w:r>
    </w:p>
    <w:p>
      <w:pPr>
        <w:spacing w:after="0" w:line="2" w:lineRule="exact"/>
        <w:rPr>
          <w:sz w:val="20"/>
          <w:szCs w:val="20"/>
          <w:color w:val="auto"/>
        </w:rPr>
      </w:pPr>
    </w:p>
    <w:p>
      <w:pPr>
        <w:ind w:right="340" w:firstLine="5"/>
        <w:spacing w:after="0" w:line="274" w:lineRule="auto"/>
        <w:tabs>
          <w:tab w:leader="none" w:pos="23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modify the terms and conditions of any Award granted to Eligible Individuals outside the United States to comply with Applicable Law (including, without limitation, applicable foreign laws or</w:t>
      </w:r>
    </w:p>
    <w:p>
      <w:pPr>
        <w:sectPr>
          <w:pgSz w:w="11900" w:h="16838" w:orient="portrait"/>
          <w:cols w:equalWidth="0" w:num="1">
            <w:col w:w="11420"/>
          </w:cols>
          <w:pgMar w:left="240" w:top="265" w:right="239" w:bottom="1440" w:gutter="0" w:footer="0" w:header="0"/>
        </w:sectPr>
      </w:pPr>
    </w:p>
    <w:bookmarkStart w:id="241" w:name="page242"/>
    <w:bookmarkEnd w:id="24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listing requirements of any foreign securities exchange); (d) establish subplans and modify exercise procedures and other terms and procedures, to the extent such actions may be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w:t>
      </w:r>
    </w:p>
    <w:p>
      <w:pPr>
        <w:spacing w:after="0" w:line="224" w:lineRule="exact"/>
        <w:rPr>
          <w:sz w:val="20"/>
          <w:szCs w:val="20"/>
          <w:color w:val="auto"/>
        </w:rPr>
      </w:pPr>
    </w:p>
    <w:p>
      <w:pPr>
        <w:ind w:firstLine="918"/>
        <w:spacing w:after="0" w:line="283" w:lineRule="auto"/>
        <w:tabs>
          <w:tab w:leader="none" w:pos="115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 Director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 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w:t>
      </w:r>
    </w:p>
    <w:p>
      <w:pPr>
        <w:spacing w:after="0" w:line="164" w:lineRule="exact"/>
        <w:rPr>
          <w:rFonts w:ascii="Arial" w:cs="Arial" w:eastAsia="Arial" w:hAnsi="Arial"/>
          <w:sz w:val="16"/>
          <w:szCs w:val="16"/>
          <w:color w:val="auto"/>
        </w:rPr>
      </w:pPr>
    </w:p>
    <w:p>
      <w:pPr>
        <w:jc w:val="both"/>
        <w:ind w:right="60" w:firstLine="918"/>
        <w:spacing w:after="0" w:line="273" w:lineRule="auto"/>
        <w:tabs>
          <w:tab w:leader="none" w:pos="116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Director Limit</w:t>
      </w:r>
      <w:r>
        <w:rPr>
          <w:rFonts w:ascii="Arial" w:cs="Arial" w:eastAsia="Arial" w:hAnsi="Arial"/>
          <w:sz w:val="17"/>
          <w:szCs w:val="17"/>
          <w:color w:val="auto"/>
        </w:rPr>
        <w:t>. Notwithstanding any provision to the contrary in the Plan or in the Non-Employee Director Equity Compensation Policy, the sum of the grant date fair value of equity-based Awards and the amount of any cash compensation granted to a Non-Employee Director during any calendar year shall not exceed $400,000 (the “</w:t>
      </w:r>
      <w:r>
        <w:rPr>
          <w:rFonts w:ascii="Arial" w:cs="Arial" w:eastAsia="Arial" w:hAnsi="Arial"/>
          <w:sz w:val="17"/>
          <w:szCs w:val="17"/>
          <w:u w:val="single" w:color="auto"/>
          <w:color w:val="auto"/>
        </w:rPr>
        <w:t>Director Limit</w:t>
      </w:r>
      <w:r>
        <w:rPr>
          <w:rFonts w:ascii="Arial" w:cs="Arial" w:eastAsia="Arial" w:hAnsi="Arial"/>
          <w:sz w:val="17"/>
          <w:szCs w:val="17"/>
          <w:color w:val="auto"/>
        </w:rPr>
        <w:t>”).</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5.</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PROVISIONS APPLICABLE TO AWARDS INTENDED TO QUALIFY AS PERFORMANCE-BASED COMPENSATION</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Purpose</w:t>
      </w:r>
      <w:r>
        <w:rPr>
          <w:rFonts w:ascii="Arial" w:cs="Arial" w:eastAsia="Arial" w:hAnsi="Arial"/>
          <w:sz w:val="15"/>
          <w:szCs w:val="15"/>
          <w:color w:val="auto"/>
        </w:rPr>
        <w:t>. The Administrator may, in its sole discretion, (a) determine whether an Award is intended to qualify as Performance-Based Compensation and</w:t>
      </w:r>
    </w:p>
    <w:p>
      <w:pPr>
        <w:spacing w:after="0" w:line="49" w:lineRule="exact"/>
        <w:rPr>
          <w:sz w:val="20"/>
          <w:szCs w:val="20"/>
          <w:color w:val="auto"/>
        </w:rPr>
      </w:pPr>
    </w:p>
    <w:p>
      <w:pPr>
        <w:ind w:firstLine="5"/>
        <w:spacing w:after="0" w:line="259" w:lineRule="auto"/>
        <w:tabs>
          <w:tab w:leader="none" w:pos="2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at any time after any such determination, alter such intent for any or no reason.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after such decision the Administrator alters such intention for any reason, the provisions of this Article 5 shall no longer control over any other provision contained in the Plan or any applicable Program. The Administrator, in its sole discretion, may (i) grant Awards to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and (ii) subject any Awards intended to qualify as Performance-Based Compensation to additional conditions and restrictions unrelated to any Performance Criteria or Performance Goals (including, without limitation, continued employment or service requirements) to the extent such Awards otherwise satisfy the requirements of this Article 5 with</w:t>
      </w:r>
    </w:p>
    <w:p>
      <w:pPr>
        <w:sectPr>
          <w:pgSz w:w="11900" w:h="16838" w:orient="portrait"/>
          <w:cols w:equalWidth="0" w:num="1">
            <w:col w:w="11380"/>
          </w:cols>
          <w:pgMar w:left="240" w:top="271" w:right="279" w:bottom="1440" w:gutter="0" w:footer="0" w:header="0"/>
        </w:sectPr>
      </w:pPr>
    </w:p>
    <w:bookmarkStart w:id="242" w:name="page243"/>
    <w:bookmarkEnd w:id="24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respect to the Performance Criteria and Performance Goals applicable thereto.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7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the Administrator (i) shall, unless otherwise provided in an Award Agreement, have the right to reduce or eliminate the amount payable at a given level of performance to take into account additional factors that the Administrator may deem relevant, including the assessment of individual or corporate performance for the Performance Period, but (ii) shall in no event have the right to increase the amount payable for any reason.</w:t>
      </w:r>
    </w:p>
    <w:p>
      <w:pPr>
        <w:spacing w:after="0" w:line="170"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Payment of Performance-Based Awards</w:t>
      </w:r>
      <w:r>
        <w:rPr>
          <w:rFonts w:ascii="Arial" w:cs="Arial" w:eastAsia="Arial" w:hAnsi="Arial"/>
          <w:sz w:val="17"/>
          <w:szCs w:val="17"/>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78" w:lineRule="exact"/>
        <w:rPr>
          <w:sz w:val="20"/>
          <w:szCs w:val="20"/>
          <w:color w:val="auto"/>
        </w:rPr>
      </w:pPr>
    </w:p>
    <w:p>
      <w:pPr>
        <w:jc w:val="both"/>
        <w:ind w:right="100" w:firstLine="457"/>
        <w:spacing w:after="0" w:line="28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Additional Limitations</w:t>
      </w:r>
      <w:r>
        <w:rPr>
          <w:rFonts w:ascii="Arial" w:cs="Arial" w:eastAsia="Arial" w:hAnsi="Arial"/>
          <w:sz w:val="16"/>
          <w:szCs w:val="16"/>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6.</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GRANTING OF OPTIONS AND STOCK APPRECIATION RIGHTS</w:t>
      </w:r>
    </w:p>
    <w:p>
      <w:pPr>
        <w:spacing w:after="0" w:line="230"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Granting of Options and Stock Appreciation Rights to Eligible Individuals</w:t>
      </w:r>
      <w:r>
        <w:rPr>
          <w:rFonts w:ascii="Arial" w:cs="Arial" w:eastAsia="Arial" w:hAnsi="Arial"/>
          <w:sz w:val="17"/>
          <w:szCs w:val="17"/>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ectPr>
          <w:pgSz w:w="11900" w:h="16838" w:orient="portrait"/>
          <w:cols w:equalWidth="0" w:num="1">
            <w:col w:w="11360"/>
          </w:cols>
          <w:pgMar w:left="240" w:top="271" w:right="299" w:bottom="1440" w:gutter="0" w:footer="0" w:header="0"/>
        </w:sectPr>
      </w:pPr>
    </w:p>
    <w:bookmarkStart w:id="243" w:name="page244"/>
    <w:bookmarkEnd w:id="243"/>
    <w:p>
      <w:pPr>
        <w:ind w:firstLine="457"/>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78"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Option and Stock Appreciation Right Exercise Price</w:t>
      </w:r>
      <w:r>
        <w:rPr>
          <w:rFonts w:ascii="Arial" w:cs="Arial" w:eastAsia="Arial" w:hAnsi="Arial"/>
          <w:sz w:val="16"/>
          <w:szCs w:val="16"/>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exercise price of any Substitute Award shall be determined in accordance with the applicable requirements of Section 424 and 409A of the Code.</w:t>
      </w:r>
    </w:p>
    <w:p>
      <w:pPr>
        <w:spacing w:after="0" w:line="168"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Option and SAR Term</w:t>
      </w:r>
      <w:r>
        <w:rPr>
          <w:rFonts w:ascii="Arial" w:cs="Arial" w:eastAsia="Arial" w:hAnsi="Arial"/>
          <w:sz w:val="17"/>
          <w:szCs w:val="17"/>
          <w:color w:val="auto"/>
        </w:rPr>
        <w:t>. The term of each Option (the “</w:t>
      </w:r>
      <w:r>
        <w:rPr>
          <w:rFonts w:ascii="Arial" w:cs="Arial" w:eastAsia="Arial" w:hAnsi="Arial"/>
          <w:sz w:val="17"/>
          <w:szCs w:val="17"/>
          <w:u w:val="single" w:color="auto"/>
          <w:color w:val="auto"/>
        </w:rPr>
        <w:t>Option Term</w:t>
      </w:r>
      <w:r>
        <w:rPr>
          <w:rFonts w:ascii="Arial" w:cs="Arial" w:eastAsia="Arial" w:hAnsi="Arial"/>
          <w:sz w:val="17"/>
          <w:szCs w:val="17"/>
          <w:color w:val="auto"/>
        </w:rPr>
        <w:t>”) and the term of each Stock Appreciation Right (the “</w:t>
      </w:r>
      <w:r>
        <w:rPr>
          <w:rFonts w:ascii="Arial" w:cs="Arial" w:eastAsia="Arial" w:hAnsi="Arial"/>
          <w:sz w:val="17"/>
          <w:szCs w:val="17"/>
          <w:u w:val="single" w:color="auto"/>
          <w:color w:val="auto"/>
        </w:rPr>
        <w:t>SAR Term</w:t>
      </w:r>
      <w:r>
        <w:rPr>
          <w:rFonts w:ascii="Arial" w:cs="Arial" w:eastAsia="Arial" w:hAnsi="Arial"/>
          <w:sz w:val="17"/>
          <w:szCs w:val="17"/>
          <w:color w:val="auto"/>
        </w:rPr>
        <w:t xml:space="preserve">”) shall be set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Option Term or SAR Term, as applicable, shall not</w:t>
      </w:r>
    </w:p>
    <w:p>
      <w:pPr>
        <w:sectPr>
          <w:pgSz w:w="11900" w:h="16838" w:orient="portrait"/>
          <w:cols w:equalWidth="0" w:num="1">
            <w:col w:w="11420"/>
          </w:cols>
          <w:pgMar w:left="240" w:top="271" w:right="239" w:bottom="1440" w:gutter="0" w:footer="0" w:header="0"/>
        </w:sectPr>
      </w:pPr>
    </w:p>
    <w:bookmarkStart w:id="244" w:name="page245"/>
    <w:bookmarkEnd w:id="244"/>
    <w:p>
      <w:pPr>
        <w:ind w:right="1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 more than (a) ten (10) years from the date the Option or Stock Appreciation Right, as applicable, is granted to an Eligible Individual (other than, in the case of Incentive Stock Options,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 term or condition of such Option or Stock Appreciation Right relating to such Termination of Service of the Holder or otherwise.</w:t>
      </w:r>
    </w:p>
    <w:p>
      <w:pPr>
        <w:spacing w:after="0" w:line="16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Option and SAR Vesting</w:t>
      </w:r>
      <w:r>
        <w:rPr>
          <w:rFonts w:ascii="Arial" w:cs="Arial" w:eastAsia="Arial" w:hAnsi="Arial"/>
          <w:sz w:val="17"/>
          <w:szCs w:val="17"/>
          <w:color w:val="auto"/>
        </w:rPr>
        <w:t>. The period during which the right to exercise, in whole or in part, an Option or Stock Appreciation Right vests in the Holder shall be set by the Administrator and set forth in the applicable Award Agreement, subject to Section 3.3.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81" w:lineRule="exact"/>
        <w:rPr>
          <w:sz w:val="20"/>
          <w:szCs w:val="20"/>
          <w:color w:val="auto"/>
        </w:rPr>
      </w:pPr>
    </w:p>
    <w:p>
      <w:pPr>
        <w:ind w:right="60" w:firstLine="457"/>
        <w:spacing w:after="0" w:line="302"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Substitution of Stock Appreciation Rights; Early Exercise of Options</w:t>
      </w:r>
      <w:r>
        <w:rPr>
          <w:rFonts w:ascii="Arial" w:cs="Arial" w:eastAsia="Arial" w:hAnsi="Arial"/>
          <w:sz w:val="15"/>
          <w:szCs w:val="15"/>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7.</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EXERCISE OF OPTIONS AND STOCK APPRECIATION RIGHTS</w:t>
      </w:r>
    </w:p>
    <w:p>
      <w:pPr>
        <w:spacing w:after="0" w:line="23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Exercise and Payment</w:t>
      </w:r>
      <w:r>
        <w:rPr>
          <w:rFonts w:ascii="Arial" w:cs="Arial" w:eastAsia="Arial" w:hAnsi="Arial"/>
          <w:sz w:val="17"/>
          <w:szCs w:val="17"/>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its Fair Market Value as of the date the Stock Appreciation Right is exercised), or a combination of both, as determined by the Administrator.</w:t>
      </w:r>
    </w:p>
    <w:p>
      <w:pPr>
        <w:sectPr>
          <w:pgSz w:w="11900" w:h="16838" w:orient="portrait"/>
          <w:cols w:equalWidth="0" w:num="1">
            <w:col w:w="11400"/>
          </w:cols>
          <w:pgMar w:left="240" w:top="272" w:right="259" w:bottom="1440" w:gutter="0" w:footer="0" w:header="0"/>
        </w:sectPr>
      </w:pPr>
    </w:p>
    <w:bookmarkStart w:id="245" w:name="page246"/>
    <w:bookmarkEnd w:id="245"/>
    <w:p>
      <w:pPr>
        <w:ind w:right="180" w:firstLine="457"/>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7.2 </w:t>
      </w:r>
      <w:r>
        <w:rPr>
          <w:rFonts w:ascii="Arial" w:cs="Arial" w:eastAsia="Arial" w:hAnsi="Arial"/>
          <w:sz w:val="17"/>
          <w:szCs w:val="17"/>
          <w:u w:val="single" w:color="auto"/>
          <w:color w:val="auto"/>
        </w:rPr>
        <w:t>Manner of Exercise</w:t>
      </w:r>
      <w:r>
        <w:rPr>
          <w:rFonts w:ascii="Arial" w:cs="Arial" w:eastAsia="Arial" w:hAnsi="Arial"/>
          <w:sz w:val="17"/>
          <w:szCs w:val="17"/>
          <w:color w:val="auto"/>
        </w:rPr>
        <w:t>. Except as set forth in Section 7.3, all or a portion of an exercisable Option or Stock Appreciation Right shall be deemed exercised upon delivery of all of the following to the Secretary of the Company, the stock plan administrator of the Company or such other Person designated by the Administrator, or his, her or its office, as applicable:</w:t>
      </w:r>
    </w:p>
    <w:p>
      <w:pPr>
        <w:spacing w:after="0" w:line="171" w:lineRule="exact"/>
        <w:rPr>
          <w:sz w:val="20"/>
          <w:szCs w:val="20"/>
          <w:color w:val="auto"/>
        </w:rPr>
      </w:pPr>
    </w:p>
    <w:p>
      <w:pPr>
        <w:ind w:firstLine="918"/>
        <w:spacing w:after="0" w:line="273" w:lineRule="auto"/>
        <w:tabs>
          <w:tab w:leader="none" w:pos="115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written or electronic notice complying with the applicable rules established by the Administrator stating that the Option or Stock Appreciation Right, or a portion thereof, is exercised. The notice shall be signed or otherwise acknowledged electronically by the Holder or other Person then entitled to exercise the Option or Stock Appreciation Right or such portion thereof;</w:t>
      </w:r>
    </w:p>
    <w:p>
      <w:pPr>
        <w:spacing w:after="0" w:line="171" w:lineRule="exact"/>
        <w:rPr>
          <w:rFonts w:ascii="Arial" w:cs="Arial" w:eastAsia="Arial" w:hAnsi="Arial"/>
          <w:sz w:val="17"/>
          <w:szCs w:val="17"/>
          <w:color w:val="auto"/>
        </w:rPr>
      </w:pPr>
    </w:p>
    <w:p>
      <w:pPr>
        <w:ind w:right="800" w:firstLine="918"/>
        <w:spacing w:after="0" w:line="289" w:lineRule="auto"/>
        <w:tabs>
          <w:tab w:leader="none" w:pos="11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Such representations and documents as the Administrator, in its sole discretion, deems necessary or advisable to effect compliance with Applicable Law;</w:t>
      </w:r>
    </w:p>
    <w:p>
      <w:pPr>
        <w:spacing w:after="0" w:line="157" w:lineRule="exact"/>
        <w:rPr>
          <w:rFonts w:ascii="Arial" w:cs="Arial" w:eastAsia="Arial" w:hAnsi="Arial"/>
          <w:sz w:val="17"/>
          <w:szCs w:val="17"/>
          <w:color w:val="auto"/>
        </w:rPr>
      </w:pPr>
    </w:p>
    <w:p>
      <w:pPr>
        <w:ind w:right="260" w:firstLine="918"/>
        <w:spacing w:after="0" w:line="322" w:lineRule="auto"/>
        <w:tabs>
          <w:tab w:leader="none" w:pos="115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event that the Option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134" w:lineRule="exact"/>
        <w:rPr>
          <w:rFonts w:ascii="Arial" w:cs="Arial" w:eastAsia="Arial" w:hAnsi="Arial"/>
          <w:sz w:val="16"/>
          <w:szCs w:val="16"/>
          <w:color w:val="auto"/>
        </w:rPr>
      </w:pPr>
    </w:p>
    <w:p>
      <w:pPr>
        <w:ind w:right="120" w:firstLine="918"/>
        <w:spacing w:after="0" w:line="289" w:lineRule="auto"/>
        <w:tabs>
          <w:tab w:leader="none" w:pos="11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Full payment of the exercise price and applicable withholding taxes for the Shares with respect to which the Option or Stock Appreciation Right, or portion thereof, is exercised, in a manner permitted by the Administrator in accordance with Sections 11.1 and 11.2.</w:t>
      </w:r>
    </w:p>
    <w:p>
      <w:pPr>
        <w:spacing w:after="0" w:line="15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Expiration of Option Term or SAR Term: Automatic Exercise of In-The-Money Options and Stock Appreciation Rights</w:t>
      </w:r>
      <w:r>
        <w:rPr>
          <w:rFonts w:ascii="Arial" w:cs="Arial" w:eastAsia="Arial" w:hAnsi="Arial"/>
          <w:sz w:val="16"/>
          <w:szCs w:val="16"/>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11.1(b) or 11.1(c) and the Company or any Subsidiary shall be entitled to deduct or withhold an amount sufficient to satisfy 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73"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Notification Regarding Disposition</w:t>
      </w:r>
      <w:r>
        <w:rPr>
          <w:rFonts w:ascii="Arial" w:cs="Arial" w:eastAsia="Arial" w:hAnsi="Arial"/>
          <w:sz w:val="17"/>
          <w:szCs w:val="17"/>
          <w:color w:val="auto"/>
        </w:rPr>
        <w:t>. The Holder shall give the Company prompt written or electronic notice of any disposition of Shares acquired by exercise of an Incentive</w:t>
      </w:r>
    </w:p>
    <w:p>
      <w:pPr>
        <w:sectPr>
          <w:pgSz w:w="11900" w:h="16838" w:orient="portrait"/>
          <w:cols w:equalWidth="0" w:num="1">
            <w:col w:w="11420"/>
          </w:cols>
          <w:pgMar w:left="240" w:top="272" w:right="239" w:bottom="1440" w:gutter="0" w:footer="0" w:header="0"/>
        </w:sectPr>
      </w:pPr>
    </w:p>
    <w:bookmarkStart w:id="246" w:name="page247"/>
    <w:bookmarkEnd w:id="246"/>
    <w:p>
      <w:pPr>
        <w:jc w:val="both"/>
        <w:ind w:right="1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AWARD OF RESTRICTED STOCK</w:t>
      </w:r>
    </w:p>
    <w:p>
      <w:pPr>
        <w:spacing w:after="0" w:line="230"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81"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Rights as Stockholders</w:t>
      </w:r>
      <w:r>
        <w:rPr>
          <w:rFonts w:ascii="Arial" w:cs="Arial" w:eastAsia="Arial" w:hAnsi="Arial"/>
          <w:sz w:val="15"/>
          <w:szCs w:val="15"/>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is granted becomes the record holder of such Restricted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57"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Restrictions</w:t>
      </w:r>
      <w:r>
        <w:rPr>
          <w:rFonts w:ascii="Arial" w:cs="Arial" w:eastAsia="Arial" w:hAnsi="Arial"/>
          <w:sz w:val="17"/>
          <w:szCs w:val="17"/>
          <w:color w:val="auto"/>
        </w:rPr>
        <w:t>. All shares of Restricted Stock (including any shares received by Holders thereof with respect to shares of Restricted Stock as a result of stock dividends, stock splits or any other form of recapitalization) shall be subject to such restrictions and vesting requirements as the Administrator shall provide in the applicable Program or Award Agreement, subject to Section 3.3.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78"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Repurchase or Forfeiture of Restricted Stock</w:t>
      </w:r>
      <w:r>
        <w:rPr>
          <w:rFonts w:ascii="Arial" w:cs="Arial" w:eastAsia="Arial" w:hAnsi="Arial"/>
          <w:sz w:val="17"/>
          <w:szCs w:val="17"/>
          <w:color w:val="auto"/>
        </w:rPr>
        <w:t>. Except as otherwise determined by the Administrator, if no price was paid by the Holder for the Restricted Stock, upon a Termination of Service during the applicable restriction period, the Holder’s rights in unvested</w:t>
      </w:r>
    </w:p>
    <w:p>
      <w:pPr>
        <w:sectPr>
          <w:pgSz w:w="11900" w:h="16838" w:orient="portrait"/>
          <w:cols w:equalWidth="0" w:num="1">
            <w:col w:w="11420"/>
          </w:cols>
          <w:pgMar w:left="240" w:top="271" w:right="239" w:bottom="1440" w:gutter="0" w:footer="0" w:header="0"/>
        </w:sectPr>
      </w:pPr>
    </w:p>
    <w:bookmarkStart w:id="247" w:name="page248"/>
    <w:bookmarkEnd w:id="247"/>
    <w:p>
      <w:pPr>
        <w:ind w:right="8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except as otherwise provided by Section 3.3, the 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85" w:lineRule="exact"/>
        <w:rPr>
          <w:sz w:val="20"/>
          <w:szCs w:val="20"/>
          <w:color w:val="auto"/>
        </w:rPr>
      </w:pPr>
    </w:p>
    <w:p>
      <w:pPr>
        <w:jc w:val="both"/>
        <w:ind w:right="180" w:firstLine="457"/>
        <w:spacing w:after="0" w:line="267"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Section 83(b) Election</w:t>
      </w:r>
      <w:r>
        <w:rPr>
          <w:rFonts w:ascii="Arial" w:cs="Arial" w:eastAsia="Arial" w:hAnsi="Arial"/>
          <w:sz w:val="17"/>
          <w:szCs w:val="17"/>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AWARD OF RESTRICTED STOCK UNITS</w:t>
      </w:r>
    </w:p>
    <w:p>
      <w:pPr>
        <w:spacing w:after="0" w:line="230"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Term</w:t>
      </w:r>
      <w:r>
        <w:rPr>
          <w:rFonts w:ascii="Arial" w:cs="Arial" w:eastAsia="Arial" w:hAnsi="Arial"/>
          <w:sz w:val="17"/>
          <w:szCs w:val="17"/>
          <w:color w:val="auto"/>
        </w:rPr>
        <w:t>. Except as otherwise provided herein, the term of a Restricted Stock Unit award shall be set by the Administrator in its sole discretion.</w:t>
      </w:r>
    </w:p>
    <w:p>
      <w:pPr>
        <w:spacing w:after="0" w:line="224" w:lineRule="exact"/>
        <w:rPr>
          <w:sz w:val="20"/>
          <w:szCs w:val="20"/>
          <w:color w:val="auto"/>
        </w:rPr>
      </w:pPr>
    </w:p>
    <w:p>
      <w:pPr>
        <w:ind w:right="80" w:firstLine="457"/>
        <w:spacing w:after="0" w:line="359"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Purchase Price</w:t>
      </w:r>
      <w:r>
        <w:rPr>
          <w:rFonts w:ascii="Arial" w:cs="Arial" w:eastAsia="Arial" w:hAnsi="Arial"/>
          <w:sz w:val="15"/>
          <w:szCs w:val="15"/>
          <w:color w:val="auto"/>
        </w:rPr>
        <w:t xml:space="preserve">. The Administrator shall specify the purchase price, if any, to be paid by the Holder to the Company with respect to any Restricted Stock Unit award;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value of the consideration shall not be less than the par value of a Share, unless otherwise permitted by Applicable Law.</w:t>
      </w:r>
    </w:p>
    <w:p>
      <w:pPr>
        <w:spacing w:after="0" w:line="113"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subject to Section 3.3.</w:t>
      </w:r>
    </w:p>
    <w:p>
      <w:pPr>
        <w:spacing w:after="0" w:line="161"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Maturity and Payment</w:t>
      </w:r>
      <w:r>
        <w:rPr>
          <w:rFonts w:ascii="Arial" w:cs="Arial" w:eastAsia="Arial" w:hAnsi="Arial"/>
          <w:sz w:val="17"/>
          <w:szCs w:val="17"/>
          <w:color w:val="auto"/>
        </w:rPr>
        <w:t>. At the time of grant, the Administrator shall specify the maturity date applicable to each grant of Restricted Stock Units, which shall be no earlier than the vesting date or dates of the Award and may be determined at the election of the Holder (if</w:t>
      </w:r>
    </w:p>
    <w:p>
      <w:pPr>
        <w:sectPr>
          <w:pgSz w:w="11900" w:h="16838" w:orient="portrait"/>
          <w:cols w:equalWidth="0" w:num="1">
            <w:col w:w="11420"/>
          </w:cols>
          <w:pgMar w:left="240" w:top="271" w:right="239" w:bottom="1440" w:gutter="0" w:footer="0" w:header="0"/>
        </w:sectPr>
      </w:pPr>
    </w:p>
    <w:bookmarkStart w:id="248" w:name="page249"/>
    <w:bookmarkEnd w:id="248"/>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calendar year in which the applicable portion of the Restricted Stock Unit vests; or (b)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6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Payment upon Termination of Service</w:t>
      </w:r>
      <w:r>
        <w:rPr>
          <w:rFonts w:ascii="Arial" w:cs="Arial" w:eastAsia="Arial" w:hAnsi="Arial"/>
          <w:sz w:val="17"/>
          <w:szCs w:val="17"/>
          <w:color w:val="auto"/>
        </w:rPr>
        <w:t xml:space="preserve">. An Award of Restricted Stock Units shall only be payable while the Holder is an Employee, a Consultant or a member of the Board,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AWARD OF OTHER STOCK OR CASH BASED AWARDS AND DIVIDEND EQUIVALENTS</w:t>
      </w:r>
    </w:p>
    <w:p>
      <w:pPr>
        <w:spacing w:after="0" w:line="230"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Other Stock or Cash Based Awards</w:t>
      </w:r>
      <w:r>
        <w:rPr>
          <w:rFonts w:ascii="Arial" w:cs="Arial" w:eastAsia="Arial" w:hAnsi="Arial"/>
          <w:sz w:val="15"/>
          <w:szCs w:val="15"/>
          <w:color w:val="auto"/>
        </w:rPr>
        <w:t>. The Administrator is authorized to (a) grant Other Stock or Cash Based Awards, including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subject to Section 3.3.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55"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w:t>
      </w:r>
    </w:p>
    <w:p>
      <w:pPr>
        <w:sectPr>
          <w:pgSz w:w="11900" w:h="16838" w:orient="portrait"/>
          <w:cols w:equalWidth="0" w:num="1">
            <w:col w:w="11420"/>
          </w:cols>
          <w:pgMar w:left="240" w:top="271" w:right="239" w:bottom="1440" w:gutter="0" w:footer="0" w:header="0"/>
        </w:sectPr>
      </w:pPr>
    </w:p>
    <w:bookmarkStart w:id="249" w:name="page250"/>
    <w:bookmarkEnd w:id="249"/>
    <w:p>
      <w:pPr>
        <w:jc w:val="both"/>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TERMS OF AWARDS</w:t>
      </w:r>
    </w:p>
    <w:p>
      <w:pPr>
        <w:spacing w:after="0" w:line="23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held for such minimum period of time as may be established by the Administrator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5"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any Subsidiary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11.1 hereof, including without limitation, by allowing such Holder to elect to have the Company or any Subsidiary withhold Shares otherwise issuable under an Award (or allow the surrender of Shares). The number of Shares that may be so withheld or surrendered shall be no greater than the number of Shares that have a fair market value on the date of withholding or repurchase equal to the aggregate amount of such liabilities based on the maximum statutory withholding rates in such Holder’s applicable jurisdictions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ectPr>
          <w:pgSz w:w="11900" w:h="16838" w:orient="portrait"/>
          <w:cols w:equalWidth="0" w:num="1">
            <w:col w:w="11420"/>
          </w:cols>
          <w:pgMar w:left="240" w:top="271" w:right="23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11.3 </w:t>
      </w: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w:t>
      </w:r>
    </w:p>
    <w:p>
      <w:pPr>
        <w:spacing w:after="0" w:line="224" w:lineRule="exact"/>
        <w:rPr>
          <w:sz w:val="20"/>
          <w:szCs w:val="20"/>
          <w:color w:val="auto"/>
        </w:rPr>
      </w:pPr>
    </w:p>
    <w:p>
      <w:pPr>
        <w:ind w:left="700" w:hanging="242"/>
        <w:spacing w:after="0"/>
        <w:tabs>
          <w:tab w:leader="none" w:pos="7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Except as otherwise provided in Sections 11.3(b) and 11.3(c):</w:t>
      </w:r>
    </w:p>
    <w:p>
      <w:pPr>
        <w:spacing w:after="0" w:line="223" w:lineRule="exact"/>
        <w:rPr>
          <w:rFonts w:ascii="Arial" w:cs="Arial" w:eastAsia="Arial" w:hAnsi="Arial"/>
          <w:sz w:val="17"/>
          <w:szCs w:val="17"/>
          <w:color w:val="auto"/>
        </w:rPr>
      </w:pPr>
    </w:p>
    <w:p>
      <w:pPr>
        <w:ind w:left="-460" w:right="160" w:firstLine="1489"/>
        <w:spacing w:after="0" w:line="273" w:lineRule="auto"/>
        <w:tabs>
          <w:tab w:leader="none" w:pos="123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71" w:lineRule="exact"/>
        <w:rPr>
          <w:rFonts w:ascii="Arial" w:cs="Arial" w:eastAsia="Arial" w:hAnsi="Arial"/>
          <w:sz w:val="17"/>
          <w:szCs w:val="17"/>
          <w:color w:val="auto"/>
        </w:rPr>
      </w:pPr>
    </w:p>
    <w:p>
      <w:pPr>
        <w:ind w:left="-460" w:right="60" w:firstLine="1489"/>
        <w:spacing w:after="0" w:line="283" w:lineRule="auto"/>
        <w:tabs>
          <w:tab w:leader="none" w:pos="128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164" w:lineRule="exact"/>
        <w:rPr>
          <w:rFonts w:ascii="Arial" w:cs="Arial" w:eastAsia="Arial" w:hAnsi="Arial"/>
          <w:sz w:val="16"/>
          <w:szCs w:val="16"/>
          <w:color w:val="auto"/>
        </w:rPr>
      </w:pPr>
    </w:p>
    <w:p>
      <w:pPr>
        <w:ind w:left="-460" w:right="220" w:firstLine="1489"/>
        <w:spacing w:after="0" w:line="289" w:lineRule="auto"/>
        <w:tabs>
          <w:tab w:leader="none" w:pos="133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161" w:lineRule="exact"/>
        <w:rPr>
          <w:rFonts w:ascii="Arial" w:cs="Arial" w:eastAsia="Arial" w:hAnsi="Arial"/>
          <w:sz w:val="16"/>
          <w:szCs w:val="16"/>
          <w:color w:val="auto"/>
        </w:rPr>
      </w:pPr>
    </w:p>
    <w:p>
      <w:pPr>
        <w:ind w:left="-460" w:firstLine="918"/>
        <w:spacing w:after="0" w:line="279" w:lineRule="auto"/>
        <w:tabs>
          <w:tab w:leader="none" w:pos="7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Section 11.3(a),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w:t>
      </w:r>
    </w:p>
    <w:p>
      <w:pPr>
        <w:sectPr>
          <w:pgSz w:w="11900" w:h="16838" w:orient="portrait"/>
          <w:cols w:equalWidth="0" w:num="1">
            <w:col w:w="10900"/>
          </w:cols>
          <w:pgMar w:left="700" w:top="271" w:right="299" w:bottom="1440" w:gutter="0" w:footer="0" w:header="0"/>
        </w:sectPr>
      </w:pPr>
    </w:p>
    <w:bookmarkStart w:id="251" w:name="page252"/>
    <w:bookmarkEnd w:id="251"/>
    <w:p>
      <w:pPr>
        <w:jc w:val="both"/>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further notwithstanding Section 11.3(a),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71" w:lineRule="exact"/>
        <w:rPr>
          <w:sz w:val="20"/>
          <w:szCs w:val="20"/>
          <w:color w:val="auto"/>
        </w:rPr>
      </w:pPr>
    </w:p>
    <w:p>
      <w:pPr>
        <w:ind w:firstLine="918"/>
        <w:spacing w:after="0" w:line="279" w:lineRule="auto"/>
        <w:tabs>
          <w:tab w:leader="none" w:pos="115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Conditions to Issuance of Shares</w:t>
      </w:r>
      <w:r>
        <w:rPr>
          <w:rFonts w:ascii="Arial" w:cs="Arial" w:eastAsia="Arial" w:hAnsi="Arial"/>
          <w:sz w:val="17"/>
          <w:szCs w:val="17"/>
          <w:color w:val="auto"/>
        </w:rPr>
        <w:t>.</w:t>
      </w:r>
    </w:p>
    <w:p>
      <w:pPr>
        <w:spacing w:after="0" w:line="224" w:lineRule="exact"/>
        <w:rPr>
          <w:sz w:val="20"/>
          <w:szCs w:val="20"/>
          <w:color w:val="auto"/>
        </w:rPr>
      </w:pPr>
    </w:p>
    <w:p>
      <w:pPr>
        <w:ind w:right="20" w:firstLine="918"/>
        <w:spacing w:after="0" w:line="263" w:lineRule="auto"/>
        <w:tabs>
          <w:tab w:leader="none" w:pos="115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81" w:lineRule="exact"/>
        <w:rPr>
          <w:rFonts w:ascii="Arial" w:cs="Arial" w:eastAsia="Arial" w:hAnsi="Arial"/>
          <w:sz w:val="17"/>
          <w:szCs w:val="17"/>
          <w:color w:val="auto"/>
        </w:rPr>
      </w:pPr>
    </w:p>
    <w:p>
      <w:pPr>
        <w:ind w:right="80" w:firstLine="918"/>
        <w:spacing w:after="0" w:line="297" w:lineRule="auto"/>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55" w:lineRule="exact"/>
        <w:rPr>
          <w:rFonts w:ascii="Arial" w:cs="Arial" w:eastAsia="Arial" w:hAnsi="Arial"/>
          <w:sz w:val="16"/>
          <w:szCs w:val="16"/>
          <w:color w:val="auto"/>
        </w:rPr>
      </w:pPr>
    </w:p>
    <w:p>
      <w:pPr>
        <w:ind w:right="620" w:firstLine="918"/>
        <w:spacing w:after="0" w:line="322" w:lineRule="auto"/>
        <w:tabs>
          <w:tab w:leader="none" w:pos="115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ectPr>
          <w:pgSz w:w="11900" w:h="16838" w:orient="portrait"/>
          <w:cols w:equalWidth="0" w:num="1">
            <w:col w:w="11420"/>
          </w:cols>
          <w:pgMar w:left="240" w:top="271" w:right="239" w:bottom="1440" w:gutter="0" w:footer="0" w:header="0"/>
        </w:sectPr>
      </w:pPr>
    </w:p>
    <w:bookmarkStart w:id="252" w:name="page253"/>
    <w:bookmarkEnd w:id="252"/>
    <w:p>
      <w:pPr>
        <w:ind w:right="160" w:firstLine="918"/>
        <w:spacing w:after="0" w:line="289" w:lineRule="auto"/>
        <w:tabs>
          <w:tab w:leader="none" w:pos="11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fractional Shares shall be issued and the Administrator, in its sole discretion, shall determine whether cash shall be given in lieu of fractional Shares or whether such fractional Shares shall be eliminated by rounding down.</w:t>
      </w:r>
    </w:p>
    <w:p>
      <w:pPr>
        <w:spacing w:after="0" w:line="157" w:lineRule="exact"/>
        <w:rPr>
          <w:rFonts w:ascii="Arial" w:cs="Arial" w:eastAsia="Arial" w:hAnsi="Arial"/>
          <w:sz w:val="17"/>
          <w:szCs w:val="17"/>
          <w:color w:val="auto"/>
        </w:rPr>
      </w:pPr>
    </w:p>
    <w:p>
      <w:pPr>
        <w:ind w:right="60" w:firstLine="918"/>
        <w:spacing w:after="0" w:line="297" w:lineRule="auto"/>
        <w:tabs>
          <w:tab w:leader="none" w:pos="115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155" w:lineRule="exact"/>
        <w:rPr>
          <w:rFonts w:ascii="Arial" w:cs="Arial" w:eastAsia="Arial" w:hAnsi="Arial"/>
          <w:sz w:val="16"/>
          <w:szCs w:val="16"/>
          <w:color w:val="auto"/>
        </w:rPr>
      </w:pPr>
    </w:p>
    <w:p>
      <w:pPr>
        <w:ind w:right="120" w:firstLine="918"/>
        <w:spacing w:after="0" w:line="273" w:lineRule="auto"/>
        <w:tabs>
          <w:tab w:leader="none" w:pos="113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7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Forfeiture and Claw-Back Provisions</w:t>
      </w:r>
      <w:r>
        <w:rPr>
          <w:rFonts w:ascii="Arial" w:cs="Arial" w:eastAsia="Arial" w:hAnsi="Arial"/>
          <w:sz w:val="17"/>
          <w:szCs w:val="17"/>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181"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Prohibition on Repricing</w:t>
      </w:r>
      <w:r>
        <w:rPr>
          <w:rFonts w:ascii="Arial" w:cs="Arial" w:eastAsia="Arial" w:hAnsi="Arial"/>
          <w:sz w:val="16"/>
          <w:szCs w:val="16"/>
          <w:color w:val="auto"/>
        </w:rPr>
        <w:t>. Subject to Section 13.2, the Administrator shall not, without the approval of the stockholders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68" w:lineRule="exact"/>
        <w:rPr>
          <w:sz w:val="20"/>
          <w:szCs w:val="20"/>
          <w:color w:val="auto"/>
        </w:rPr>
      </w:pPr>
    </w:p>
    <w:p>
      <w:pPr>
        <w:jc w:val="both"/>
        <w:ind w:right="440" w:firstLine="457"/>
        <w:spacing w:after="0" w:line="297"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w:t>
      </w:r>
    </w:p>
    <w:p>
      <w:pPr>
        <w:sectPr>
          <w:pgSz w:w="11900" w:h="16838" w:orient="portrait"/>
          <w:cols w:equalWidth="0" w:num="1">
            <w:col w:w="11400"/>
          </w:cols>
          <w:pgMar w:left="240" w:top="271" w:right="259" w:bottom="1440" w:gutter="0" w:footer="0" w:header="0"/>
        </w:sectPr>
      </w:pPr>
    </w:p>
    <w:bookmarkStart w:id="253" w:name="page254"/>
    <w:bookmarkEnd w:id="253"/>
    <w:p>
      <w:pPr>
        <w:ind w:right="5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action, taking into account any related action, would not materially and adversely affect the Holder, or (b) the change is otherwise permitted under the Plan (including, without limitation, under Section 13.2 or 13.10).</w:t>
      </w:r>
    </w:p>
    <w:p>
      <w:pPr>
        <w:spacing w:after="0" w:line="15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Data Privacy</w:t>
      </w:r>
      <w:r>
        <w:rPr>
          <w:rFonts w:ascii="Arial" w:cs="Arial" w:eastAsia="Arial" w:hAnsi="Arial"/>
          <w:sz w:val="15"/>
          <w:szCs w:val="15"/>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and details of all Awards, in each case, for the purpose of implementing, managing and administering the Plan and Awards (the “</w:t>
      </w:r>
      <w:r>
        <w:rPr>
          <w:rFonts w:ascii="Arial" w:cs="Arial" w:eastAsia="Arial" w:hAnsi="Arial"/>
          <w:sz w:val="15"/>
          <w:szCs w:val="15"/>
          <w:u w:val="single" w:color="auto"/>
          <w:color w:val="auto"/>
        </w:rPr>
        <w:t>Data</w:t>
      </w:r>
      <w:r>
        <w:rPr>
          <w:rFonts w:ascii="Arial" w:cs="Arial" w:eastAsia="Arial" w:hAnsi="Arial"/>
          <w:sz w:val="15"/>
          <w:szCs w:val="15"/>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ADMINISTRATION</w:t>
      </w:r>
    </w:p>
    <w:p>
      <w:pPr>
        <w:spacing w:after="0" w:line="230"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Administrator</w:t>
      </w:r>
      <w:r>
        <w:rPr>
          <w:rFonts w:ascii="Arial" w:cs="Arial" w:eastAsia="Arial" w:hAnsi="Arial"/>
          <w:sz w:val="17"/>
          <w:szCs w:val="17"/>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w:t>
      </w:r>
    </w:p>
    <w:p>
      <w:pPr>
        <w:sectPr>
          <w:pgSz w:w="11900" w:h="16838" w:orient="portrait"/>
          <w:cols w:equalWidth="0" w:num="1">
            <w:col w:w="11400"/>
          </w:cols>
          <w:pgMar w:left="240" w:top="271" w:right="259" w:bottom="1440" w:gutter="0" w:footer="0" w:header="0"/>
        </w:sectPr>
      </w:pPr>
    </w:p>
    <w:bookmarkStart w:id="254" w:name="page255"/>
    <w:bookmarkEnd w:id="254"/>
    <w:p>
      <w:pPr>
        <w:ind w:right="2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(ii) the Board or Committee may delegate its authority hereunder to the extent permitted by Section 12.6.</w:t>
      </w:r>
    </w:p>
    <w:p>
      <w:pPr>
        <w:spacing w:after="0" w:line="15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7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Action by the Administrator</w:t>
      </w:r>
      <w:r>
        <w:rPr>
          <w:rFonts w:ascii="Arial" w:cs="Arial" w:eastAsia="Arial" w:hAnsi="Arial"/>
          <w:sz w:val="17"/>
          <w:szCs w:val="17"/>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1"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Subject to the Organizational Documents, any specific designation in the Plan and Applicable Law, the Administrator has the exclusive power, authority and sole discretion 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Designate Eligible Individuals to receive Awards;</w:t>
      </w:r>
    </w:p>
    <w:p>
      <w:pPr>
        <w:sectPr>
          <w:pgSz w:w="11900" w:h="16838" w:orient="portrait"/>
          <w:cols w:equalWidth="0" w:num="1">
            <w:col w:w="11420"/>
          </w:cols>
          <w:pgMar w:left="240" w:top="271" w:right="239" w:bottom="1440" w:gutter="0" w:footer="0" w:header="0"/>
        </w:sectPr>
      </w:pPr>
    </w:p>
    <w:bookmarkStart w:id="255" w:name="page256"/>
    <w:bookmarkEnd w:id="255"/>
    <w:p>
      <w:pPr>
        <w:ind w:right="40" w:firstLine="918"/>
        <w:spacing w:after="0" w:line="289" w:lineRule="auto"/>
        <w:tabs>
          <w:tab w:leader="none" w:pos="11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Determine the type or types of Awards to be granted to each Eligible Individual (including, without limitation, any Awards granted in tandem with another Award granted pursuant to the Plan);</w:t>
      </w:r>
    </w:p>
    <w:p>
      <w:pPr>
        <w:spacing w:after="0" w:line="157" w:lineRule="exact"/>
        <w:rPr>
          <w:rFonts w:ascii="Arial" w:cs="Arial" w:eastAsia="Arial" w:hAnsi="Arial"/>
          <w:sz w:val="17"/>
          <w:szCs w:val="17"/>
          <w:color w:val="auto"/>
        </w:rPr>
      </w:pPr>
    </w:p>
    <w:p>
      <w:pPr>
        <w:ind w:left="1160" w:hanging="242"/>
        <w:spacing w:after="0"/>
        <w:tabs>
          <w:tab w:leader="none" w:pos="11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to which an Award will relate;</w:t>
      </w:r>
    </w:p>
    <w:p>
      <w:pPr>
        <w:spacing w:after="0" w:line="223" w:lineRule="exact"/>
        <w:rPr>
          <w:rFonts w:ascii="Arial" w:cs="Arial" w:eastAsia="Arial" w:hAnsi="Arial"/>
          <w:sz w:val="17"/>
          <w:szCs w:val="17"/>
          <w:color w:val="auto"/>
        </w:rPr>
      </w:pPr>
    </w:p>
    <w:p>
      <w:pPr>
        <w:ind w:right="20" w:firstLine="918"/>
        <w:spacing w:after="0" w:line="289" w:lineRule="auto"/>
        <w:tabs>
          <w:tab w:leader="none" w:pos="11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purchase price, any Performance Criteria or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61" w:lineRule="exact"/>
        <w:rPr>
          <w:rFonts w:ascii="Arial" w:cs="Arial" w:eastAsia="Arial" w:hAnsi="Arial"/>
          <w:sz w:val="16"/>
          <w:szCs w:val="16"/>
          <w:color w:val="auto"/>
        </w:rPr>
      </w:pPr>
    </w:p>
    <w:p>
      <w:pPr>
        <w:ind w:right="240" w:firstLine="918"/>
        <w:spacing w:after="0" w:line="289" w:lineRule="auto"/>
        <w:tabs>
          <w:tab w:leader="none" w:pos="115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57" w:lineRule="exact"/>
        <w:rPr>
          <w:rFonts w:ascii="Arial" w:cs="Arial" w:eastAsia="Arial" w:hAnsi="Arial"/>
          <w:sz w:val="17"/>
          <w:szCs w:val="17"/>
          <w:color w:val="auto"/>
        </w:rPr>
      </w:pPr>
    </w:p>
    <w:p>
      <w:pPr>
        <w:ind w:left="1140" w:hanging="222"/>
        <w:spacing w:after="0"/>
        <w:tabs>
          <w:tab w:leader="none" w:pos="11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Prescribe the form of each Award Agreement, which need not be identical for each Holder;</w:t>
      </w:r>
    </w:p>
    <w:p>
      <w:pPr>
        <w:spacing w:after="0" w:line="223" w:lineRule="exact"/>
        <w:rPr>
          <w:rFonts w:ascii="Arial" w:cs="Arial" w:eastAsia="Arial" w:hAnsi="Arial"/>
          <w:sz w:val="17"/>
          <w:szCs w:val="17"/>
          <w:color w:val="auto"/>
        </w:rPr>
      </w:pPr>
    </w:p>
    <w:p>
      <w:pPr>
        <w:ind w:left="1160" w:hanging="242"/>
        <w:spacing w:after="0"/>
        <w:tabs>
          <w:tab w:leader="none" w:pos="11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Decide all other matters that must be determined in connection with an Award;</w:t>
      </w:r>
    </w:p>
    <w:p>
      <w:pPr>
        <w:spacing w:after="0" w:line="223" w:lineRule="exact"/>
        <w:rPr>
          <w:rFonts w:ascii="Arial" w:cs="Arial" w:eastAsia="Arial" w:hAnsi="Arial"/>
          <w:sz w:val="17"/>
          <w:szCs w:val="17"/>
          <w:color w:val="auto"/>
        </w:rPr>
      </w:pPr>
    </w:p>
    <w:p>
      <w:pPr>
        <w:ind w:left="1160" w:hanging="242"/>
        <w:spacing w:after="0"/>
        <w:tabs>
          <w:tab w:leader="none" w:pos="11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Establish, adopt, or revise any Programs, rules and regulations as it may deem necessary or advisable to administer the Plan;</w:t>
      </w:r>
    </w:p>
    <w:p>
      <w:pPr>
        <w:spacing w:after="0" w:line="223" w:lineRule="exact"/>
        <w:rPr>
          <w:rFonts w:ascii="Arial" w:cs="Arial" w:eastAsia="Arial" w:hAnsi="Arial"/>
          <w:sz w:val="17"/>
          <w:szCs w:val="17"/>
          <w:color w:val="auto"/>
        </w:rPr>
      </w:pPr>
    </w:p>
    <w:p>
      <w:pPr>
        <w:ind w:left="1120" w:hanging="202"/>
        <w:spacing w:after="0"/>
        <w:tabs>
          <w:tab w:leader="none" w:pos="11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Interpret the terms of, and any matter arising pursuant to, the Plan, any Program or any Award Agreement;</w:t>
      </w:r>
    </w:p>
    <w:p>
      <w:pPr>
        <w:spacing w:after="0" w:line="223" w:lineRule="exact"/>
        <w:rPr>
          <w:rFonts w:ascii="Arial" w:cs="Arial" w:eastAsia="Arial" w:hAnsi="Arial"/>
          <w:sz w:val="17"/>
          <w:szCs w:val="17"/>
          <w:color w:val="auto"/>
        </w:rPr>
      </w:pPr>
    </w:p>
    <w:p>
      <w:pPr>
        <w:ind w:right="340" w:firstLine="918"/>
        <w:spacing w:after="0" w:line="289" w:lineRule="auto"/>
        <w:tabs>
          <w:tab w:leader="none" w:pos="112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Make all other decisions and determinations that may be required pursuant to the Plan or as the Administrator deems necessary or advisable to administer the Plan; and</w:t>
      </w:r>
    </w:p>
    <w:p>
      <w:pPr>
        <w:spacing w:after="0" w:line="157" w:lineRule="exact"/>
        <w:rPr>
          <w:rFonts w:ascii="Arial" w:cs="Arial" w:eastAsia="Arial" w:hAnsi="Arial"/>
          <w:sz w:val="17"/>
          <w:szCs w:val="17"/>
          <w:color w:val="auto"/>
        </w:rPr>
      </w:pPr>
    </w:p>
    <w:p>
      <w:pPr>
        <w:ind w:firstLine="918"/>
        <w:spacing w:after="0" w:line="289" w:lineRule="auto"/>
        <w:tabs>
          <w:tab w:leader="none" w:pos="11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Accelerate wholly or partially the vesting or lapse of restrictions of any Award or portion thereof at any time after the grant of an Award, subject to whatever terms and conditions it selects and Section 3.3 and Section 13.2.</w:t>
      </w:r>
    </w:p>
    <w:p>
      <w:pPr>
        <w:spacing w:after="0" w:line="158"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58"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The Board or Committee may from time to time delegate to a committee of one or more members of the Board or one or more officers of the Company the authority to grant or amend Awards or to take other administrative actions pursuant</w:t>
      </w:r>
    </w:p>
    <w:p>
      <w:pPr>
        <w:sectPr>
          <w:pgSz w:w="11900" w:h="16838" w:orient="portrait"/>
          <w:cols w:equalWidth="0" w:num="1">
            <w:col w:w="11420"/>
          </w:cols>
          <w:pgMar w:left="240" w:top="271" w:right="239" w:bottom="1440" w:gutter="0" w:footer="0" w:header="0"/>
        </w:sectPr>
      </w:pPr>
    </w:p>
    <w:bookmarkStart w:id="256" w:name="page257"/>
    <w:bookmarkEnd w:id="256"/>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to this Article 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an officer of the Company be delegated the authority to grant Awards to, or amend Awards held by, the following individuals: (a) individuals who are subject to Section 16 of the Exchange Act, (b) Covered Employees with respect to Awards intended to constitute Performance Based Compensation, or (c)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13.</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MISCELLANEOUS PROVISIONS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w:t>
      </w:r>
    </w:p>
    <w:p>
      <w:pPr>
        <w:spacing w:after="0" w:line="224" w:lineRule="exact"/>
        <w:rPr>
          <w:sz w:val="20"/>
          <w:szCs w:val="20"/>
          <w:color w:val="auto"/>
        </w:rPr>
      </w:pPr>
    </w:p>
    <w:p>
      <w:pPr>
        <w:jc w:val="both"/>
        <w:ind w:right="60" w:firstLine="918"/>
        <w:spacing w:after="0" w:line="267" w:lineRule="auto"/>
        <w:tabs>
          <w:tab w:leader="none" w:pos="115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77" w:lineRule="exact"/>
        <w:rPr>
          <w:rFonts w:ascii="Arial" w:cs="Arial" w:eastAsia="Arial" w:hAnsi="Arial"/>
          <w:sz w:val="17"/>
          <w:szCs w:val="17"/>
          <w:color w:val="auto"/>
        </w:rPr>
      </w:pPr>
    </w:p>
    <w:p>
      <w:pPr>
        <w:ind w:right="20" w:firstLine="918"/>
        <w:spacing w:after="0" w:line="265" w:lineRule="auto"/>
        <w:tabs>
          <w:tab w:leader="none" w:pos="11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11.6, or (iii) cancel any Option or Stock Appreciation Right in exchange for cash or another Award in violation of Section 11.6.</w:t>
      </w:r>
    </w:p>
    <w:p>
      <w:pPr>
        <w:spacing w:after="0" w:line="177" w:lineRule="exact"/>
        <w:rPr>
          <w:rFonts w:ascii="Arial" w:cs="Arial" w:eastAsia="Arial" w:hAnsi="Arial"/>
          <w:sz w:val="17"/>
          <w:szCs w:val="17"/>
          <w:color w:val="auto"/>
        </w:rPr>
      </w:pPr>
    </w:p>
    <w:p>
      <w:pPr>
        <w:ind w:firstLine="918"/>
        <w:spacing w:after="0" w:line="289" w:lineRule="auto"/>
        <w:tabs>
          <w:tab w:leader="none" w:pos="115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3"/>
          <w:szCs w:val="13"/>
          <w:color w:val="auto"/>
        </w:rPr>
        <w:t>th</w:t>
      </w:r>
      <w:r>
        <w:rPr>
          <w:rFonts w:ascii="Arial" w:cs="Arial" w:eastAsia="Arial" w:hAnsi="Arial"/>
          <w:sz w:val="16"/>
          <w:szCs w:val="16"/>
          <w:color w:val="auto"/>
        </w:rPr>
        <w:t>) anniversary of the earlier of (i) the date on which the Plan was adopted by the Board or (ii) the date the Plan was approved by the Company’s stockholders (such anniversary,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Any Awards that are outstanding on the Expiration Date shall remain in force according to the terms of the Plan, the applicable Program and the applicable Award Agreement.</w:t>
      </w:r>
    </w:p>
    <w:p>
      <w:pPr>
        <w:sectPr>
          <w:pgSz w:w="11900" w:h="16838" w:orient="portrait"/>
          <w:cols w:equalWidth="0" w:num="1">
            <w:col w:w="11380"/>
          </w:cols>
          <w:pgMar w:left="240" w:top="271" w:right="27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13.2 </w:t>
      </w:r>
      <w:r>
        <w:rPr>
          <w:rFonts w:ascii="Arial" w:cs="Arial" w:eastAsia="Arial" w:hAnsi="Arial"/>
          <w:sz w:val="17"/>
          <w:szCs w:val="17"/>
          <w:u w:val="single" w:color="auto"/>
          <w:color w:val="auto"/>
        </w:rPr>
        <w:t>Changes in Common Stock or Assets of the Company, Acquisition or Liquidation of the Company and Other Corporate Events</w:t>
      </w:r>
      <w:r>
        <w:rPr>
          <w:rFonts w:ascii="Arial" w:cs="Arial" w:eastAsia="Arial" w:hAnsi="Arial"/>
          <w:sz w:val="17"/>
          <w:szCs w:val="17"/>
          <w:color w:val="auto"/>
        </w:rPr>
        <w:t>.</w:t>
      </w:r>
    </w:p>
    <w:p>
      <w:pPr>
        <w:spacing w:after="0" w:line="224" w:lineRule="exact"/>
        <w:rPr>
          <w:sz w:val="20"/>
          <w:szCs w:val="20"/>
          <w:color w:val="auto"/>
        </w:rPr>
      </w:pPr>
    </w:p>
    <w:p>
      <w:pPr>
        <w:ind w:left="-460" w:right="40" w:firstLine="918"/>
        <w:spacing w:after="0" w:line="260" w:lineRule="auto"/>
        <w:tabs>
          <w:tab w:leader="none" w:pos="69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187" w:lineRule="exact"/>
        <w:rPr>
          <w:rFonts w:ascii="Arial" w:cs="Arial" w:eastAsia="Arial" w:hAnsi="Arial"/>
          <w:sz w:val="17"/>
          <w:szCs w:val="17"/>
          <w:color w:val="auto"/>
        </w:rPr>
      </w:pPr>
    </w:p>
    <w:p>
      <w:pPr>
        <w:ind w:left="-460" w:right="60" w:firstLine="918"/>
        <w:spacing w:after="0" w:line="262" w:lineRule="auto"/>
        <w:tabs>
          <w:tab w:leader="none" w:pos="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event of any transaction or event described in Section 13.2(a)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82" w:lineRule="exact"/>
        <w:rPr>
          <w:rFonts w:ascii="Arial" w:cs="Arial" w:eastAsia="Arial" w:hAnsi="Arial"/>
          <w:sz w:val="17"/>
          <w:szCs w:val="17"/>
          <w:color w:val="auto"/>
        </w:rPr>
      </w:pPr>
    </w:p>
    <w:p>
      <w:pPr>
        <w:ind w:left="-460" w:firstLine="1489"/>
        <w:spacing w:after="0" w:line="289" w:lineRule="auto"/>
        <w:tabs>
          <w:tab w:leader="none" w:pos="123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w:t>
      </w:r>
    </w:p>
    <w:p>
      <w:pPr>
        <w:spacing w:after="0" w:line="161" w:lineRule="exact"/>
        <w:rPr>
          <w:rFonts w:ascii="Arial" w:cs="Arial" w:eastAsia="Arial" w:hAnsi="Arial"/>
          <w:sz w:val="16"/>
          <w:szCs w:val="16"/>
          <w:color w:val="auto"/>
        </w:rPr>
      </w:pPr>
    </w:p>
    <w:p>
      <w:pPr>
        <w:jc w:val="both"/>
        <w:ind w:left="-460" w:right="60" w:firstLine="1489"/>
        <w:spacing w:after="0" w:line="297" w:lineRule="auto"/>
        <w:tabs>
          <w:tab w:leader="none" w:pos="128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ectPr>
          <w:pgSz w:w="11900" w:h="16838" w:orient="portrait"/>
          <w:cols w:equalWidth="0" w:num="1">
            <w:col w:w="10920"/>
          </w:cols>
          <w:pgMar w:left="700" w:top="271" w:right="279" w:bottom="1440" w:gutter="0" w:footer="0" w:header="0"/>
        </w:sectPr>
      </w:pPr>
    </w:p>
    <w:bookmarkStart w:id="258" w:name="page259"/>
    <w:bookmarkEnd w:id="258"/>
    <w:p>
      <w:pPr>
        <w:ind w:left="-918" w:right="100" w:firstLine="1489"/>
        <w:spacing w:after="0" w:line="273" w:lineRule="auto"/>
        <w:tabs>
          <w:tab w:leader="none" w:pos="871" w:val="left"/>
        </w:tabs>
        <w:numPr>
          <w:ilvl w:val="1"/>
          <w:numId w:val="1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make adjustments in the number and type of Shares of the Company’s stock (or other securities or property) subject to such Award, and/or in the terms and conditions of (including the grant or exercise price), and the criteria included in, outstanding Awards and Awards which may be granted in the future;</w:t>
      </w:r>
    </w:p>
    <w:p>
      <w:pPr>
        <w:spacing w:after="0" w:line="171" w:lineRule="exact"/>
        <w:rPr>
          <w:rFonts w:ascii="Arial" w:cs="Arial" w:eastAsia="Arial" w:hAnsi="Arial"/>
          <w:sz w:val="17"/>
          <w:szCs w:val="17"/>
          <w:color w:val="auto"/>
        </w:rPr>
      </w:pPr>
    </w:p>
    <w:p>
      <w:pPr>
        <w:ind w:left="-918" w:right="300" w:firstLine="1489"/>
        <w:spacing w:after="0" w:line="289" w:lineRule="auto"/>
        <w:tabs>
          <w:tab w:leader="none" w:pos="86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To provide that such Award shall be exercisable or payable or fully vested with respect to all Shares covered thereby, notwithstanding anything to the contrary in the Plan or the applicable Program or Award Agreement;</w:t>
      </w:r>
    </w:p>
    <w:p>
      <w:pPr>
        <w:spacing w:after="0" w:line="157" w:lineRule="exact"/>
        <w:rPr>
          <w:rFonts w:ascii="Arial" w:cs="Arial" w:eastAsia="Arial" w:hAnsi="Arial"/>
          <w:sz w:val="17"/>
          <w:szCs w:val="17"/>
          <w:color w:val="auto"/>
        </w:rPr>
      </w:pPr>
    </w:p>
    <w:p>
      <w:pPr>
        <w:ind w:left="822" w:hanging="251"/>
        <w:spacing w:after="0"/>
        <w:tabs>
          <w:tab w:leader="none" w:pos="82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To replace such Award with other rights or property selected by the Administrator; and/or</w:t>
      </w:r>
    </w:p>
    <w:p>
      <w:pPr>
        <w:spacing w:after="0" w:line="223" w:lineRule="exact"/>
        <w:rPr>
          <w:rFonts w:ascii="Arial" w:cs="Arial" w:eastAsia="Arial" w:hAnsi="Arial"/>
          <w:sz w:val="17"/>
          <w:szCs w:val="17"/>
          <w:color w:val="auto"/>
        </w:rPr>
      </w:pPr>
    </w:p>
    <w:p>
      <w:pPr>
        <w:ind w:left="862" w:hanging="291"/>
        <w:spacing w:after="0"/>
        <w:tabs>
          <w:tab w:leader="none" w:pos="86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To provide that the Award cannot vest, be exercised or become payable after such event.</w:t>
      </w:r>
    </w:p>
    <w:p>
      <w:pPr>
        <w:spacing w:after="0" w:line="223" w:lineRule="exact"/>
        <w:rPr>
          <w:rFonts w:ascii="Arial" w:cs="Arial" w:eastAsia="Arial" w:hAnsi="Arial"/>
          <w:sz w:val="17"/>
          <w:szCs w:val="17"/>
          <w:color w:val="auto"/>
        </w:rPr>
      </w:pPr>
    </w:p>
    <w:p>
      <w:pPr>
        <w:ind w:left="242" w:hanging="242"/>
        <w:spacing w:after="0"/>
        <w:tabs>
          <w:tab w:leader="none" w:pos="24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13.2(a) and 13.2(b):</w:t>
      </w:r>
    </w:p>
    <w:p>
      <w:pPr>
        <w:spacing w:after="0" w:line="235" w:lineRule="exact"/>
        <w:rPr>
          <w:rFonts w:ascii="Arial" w:cs="Arial" w:eastAsia="Arial" w:hAnsi="Arial"/>
          <w:sz w:val="16"/>
          <w:szCs w:val="16"/>
          <w:color w:val="auto"/>
        </w:rPr>
      </w:pPr>
    </w:p>
    <w:p>
      <w:pPr>
        <w:ind w:left="-918" w:right="160" w:firstLine="1489"/>
        <w:spacing w:after="0" w:line="273" w:lineRule="auto"/>
        <w:tabs>
          <w:tab w:leader="none" w:pos="775"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number and type of securities subject to each outstanding Award and the exercise price or grant price thereof, if applicable, shall be equitably adjusted (and the adjustments provided under this Section 13.2(c)(i) shall be nondiscretionary and shall be final and binding on the affected Holder and the Company); and/or</w:t>
      </w:r>
    </w:p>
    <w:p>
      <w:pPr>
        <w:spacing w:after="0" w:line="171" w:lineRule="exact"/>
        <w:rPr>
          <w:rFonts w:ascii="Arial" w:cs="Arial" w:eastAsia="Arial" w:hAnsi="Arial"/>
          <w:sz w:val="17"/>
          <w:szCs w:val="17"/>
          <w:color w:val="auto"/>
        </w:rPr>
      </w:pPr>
    </w:p>
    <w:p>
      <w:pPr>
        <w:ind w:left="-918" w:firstLine="1489"/>
        <w:spacing w:after="0" w:line="325" w:lineRule="auto"/>
        <w:tabs>
          <w:tab w:leader="none" w:pos="823"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37" w:lineRule="exact"/>
        <w:rPr>
          <w:rFonts w:ascii="Arial" w:cs="Arial" w:eastAsia="Arial" w:hAnsi="Arial"/>
          <w:sz w:val="15"/>
          <w:szCs w:val="15"/>
          <w:color w:val="auto"/>
        </w:rPr>
      </w:pPr>
    </w:p>
    <w:p>
      <w:pPr>
        <w:ind w:left="-918" w:right="100" w:firstLine="918"/>
        <w:spacing w:after="0" w:line="283" w:lineRule="auto"/>
        <w:tabs>
          <w:tab w:leader="none" w:pos="24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64" w:lineRule="exact"/>
        <w:rPr>
          <w:rFonts w:ascii="Arial" w:cs="Arial" w:eastAsia="Arial" w:hAnsi="Arial"/>
          <w:sz w:val="16"/>
          <w:szCs w:val="16"/>
          <w:color w:val="auto"/>
        </w:rPr>
      </w:pPr>
    </w:p>
    <w:p>
      <w:pPr>
        <w:ind w:left="-918" w:right="40" w:firstLine="918"/>
        <w:spacing w:after="0" w:line="267" w:lineRule="auto"/>
        <w:tabs>
          <w:tab w:leader="none" w:pos="23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For the purposes of this Section 13.2,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w:t>
      </w:r>
    </w:p>
    <w:p>
      <w:pPr>
        <w:sectPr>
          <w:pgSz w:w="11900" w:h="16838" w:orient="portrait"/>
          <w:cols w:equalWidth="0" w:num="1">
            <w:col w:w="10502"/>
          </w:cols>
          <w:pgMar w:left="1158" w:top="271" w:right="239" w:bottom="1440" w:gutter="0" w:footer="0" w:header="0"/>
        </w:sectPr>
      </w:pPr>
    </w:p>
    <w:bookmarkStart w:id="259" w:name="page260"/>
    <w:bookmarkEnd w:id="259"/>
    <w:p>
      <w:pPr>
        <w:ind w:right="1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78" w:lineRule="exact"/>
        <w:rPr>
          <w:sz w:val="20"/>
          <w:szCs w:val="20"/>
          <w:color w:val="auto"/>
        </w:rPr>
      </w:pPr>
    </w:p>
    <w:p>
      <w:pPr>
        <w:ind w:right="380" w:firstLine="918"/>
        <w:spacing w:after="0" w:line="289" w:lineRule="auto"/>
        <w:tabs>
          <w:tab w:leader="none" w:pos="11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57" w:lineRule="exact"/>
        <w:rPr>
          <w:rFonts w:ascii="Arial" w:cs="Arial" w:eastAsia="Arial" w:hAnsi="Arial"/>
          <w:sz w:val="17"/>
          <w:szCs w:val="17"/>
          <w:color w:val="auto"/>
        </w:rPr>
      </w:pPr>
    </w:p>
    <w:p>
      <w:pPr>
        <w:ind w:firstLine="918"/>
        <w:spacing w:after="0" w:line="265" w:lineRule="auto"/>
        <w:tabs>
          <w:tab w:leader="none" w:pos="11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Awards to fail to so qualify as Performance-Based Compensation, (ii) cause the Plan to violate Section 422(b)(1) of the Code, (iii) result in short-swing profits liability under Section 16 of the Exchange Act or violate the exemptive conditions of Rule 16b-3 of the Exchange Act, or (iv) cause an Award to fail to be exempt from or comply with Section 409A.</w:t>
      </w:r>
    </w:p>
    <w:p>
      <w:pPr>
        <w:spacing w:after="0" w:line="177" w:lineRule="exact"/>
        <w:rPr>
          <w:rFonts w:ascii="Arial" w:cs="Arial" w:eastAsia="Arial" w:hAnsi="Arial"/>
          <w:sz w:val="17"/>
          <w:szCs w:val="17"/>
          <w:color w:val="auto"/>
        </w:rPr>
      </w:pPr>
    </w:p>
    <w:p>
      <w:pPr>
        <w:ind w:firstLine="918"/>
        <w:spacing w:after="0" w:line="263" w:lineRule="auto"/>
        <w:tabs>
          <w:tab w:leader="none" w:pos="11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the rights of which are superior to or affect the Common Stock or the rights thereof or that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1" w:lineRule="exact"/>
        <w:rPr>
          <w:rFonts w:ascii="Arial" w:cs="Arial" w:eastAsia="Arial" w:hAnsi="Arial"/>
          <w:sz w:val="17"/>
          <w:szCs w:val="17"/>
          <w:color w:val="auto"/>
        </w:rPr>
      </w:pPr>
    </w:p>
    <w:p>
      <w:pPr>
        <w:ind w:right="80" w:firstLine="918"/>
        <w:spacing w:after="0" w:line="267" w:lineRule="auto"/>
        <w:tabs>
          <w:tab w:leader="none" w:pos="112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78"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Approval of Plan by Stockholders</w:t>
      </w:r>
      <w:r>
        <w:rPr>
          <w:rFonts w:ascii="Arial" w:cs="Arial" w:eastAsia="Arial" w:hAnsi="Arial"/>
          <w:sz w:val="17"/>
          <w:szCs w:val="17"/>
          <w:color w:val="auto"/>
        </w:rPr>
        <w:t>. The Plan shall be submitted for the approval of the Company’s stockholders within twelve (12) months after the date of the Board’s initial adoption of the Plan.</w:t>
      </w:r>
    </w:p>
    <w:p>
      <w:pPr>
        <w:spacing w:after="0" w:line="158"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ectPr>
          <w:pgSz w:w="11900" w:h="16838" w:orient="portrait"/>
          <w:cols w:equalWidth="0" w:num="1">
            <w:col w:w="11420"/>
          </w:cols>
          <w:pgMar w:left="240" w:top="271" w:right="239" w:bottom="1440" w:gutter="0" w:footer="0" w:header="0"/>
        </w:sectPr>
      </w:pPr>
    </w:p>
    <w:bookmarkStart w:id="260" w:name="page261"/>
    <w:bookmarkEnd w:id="260"/>
    <w:p>
      <w:pPr>
        <w:jc w:val="both"/>
        <w:ind w:right="560" w:firstLine="457"/>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1"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Effect of Plan upon Other Compensation Plans</w:t>
      </w:r>
      <w:r>
        <w:rPr>
          <w:rFonts w:ascii="Arial" w:cs="Arial" w:eastAsia="Arial" w:hAnsi="Arial"/>
          <w:sz w:val="17"/>
          <w:szCs w:val="17"/>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8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87" w:lineRule="exact"/>
        <w:rPr>
          <w:sz w:val="20"/>
          <w:szCs w:val="20"/>
          <w:color w:val="auto"/>
        </w:rPr>
      </w:pPr>
    </w:p>
    <w:p>
      <w:pPr>
        <w:ind w:right="280" w:firstLine="457"/>
        <w:spacing w:after="0" w:line="273"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Titles and Headings, References to Sections of the Code or Exchange Act</w:t>
      </w:r>
      <w:r>
        <w:rPr>
          <w:rFonts w:ascii="Arial" w:cs="Arial" w:eastAsia="Arial" w:hAnsi="Arial"/>
          <w:sz w:val="17"/>
          <w:szCs w:val="17"/>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71"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w:t>
      </w:r>
    </w:p>
    <w:p>
      <w:pPr>
        <w:sectPr>
          <w:pgSz w:w="11900" w:h="16838" w:orient="portrait"/>
          <w:cols w:equalWidth="0" w:num="1">
            <w:col w:w="11420"/>
          </w:cols>
          <w:pgMar w:left="240" w:top="272" w:right="239" w:bottom="1440" w:gutter="0" w:footer="0" w:header="0"/>
        </w:sectPr>
      </w:pPr>
    </w:p>
    <w:bookmarkStart w:id="261" w:name="page262"/>
    <w:bookmarkEnd w:id="261"/>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any other compensatory plan or arrangement of the Company or any of its Subsidiaries is subject to Section 409A, and such Award or other amount is payable on account of a Participant’s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Participant’s Termination of Service, or (ii) the date of the Participant’s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76"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Unfunded Status of Awards</w:t>
      </w:r>
      <w:r>
        <w:rPr>
          <w:rFonts w:ascii="Arial" w:cs="Arial" w:eastAsia="Arial" w:hAnsi="Arial"/>
          <w:sz w:val="17"/>
          <w:szCs w:val="17"/>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71"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ectPr>
          <w:pgSz w:w="11900" w:h="16838" w:orient="portrait"/>
          <w:cols w:equalWidth="0" w:num="1">
            <w:col w:w="11420"/>
          </w:cols>
          <w:pgMar w:left="240" w:top="271" w:right="239" w:bottom="1440" w:gutter="0" w:footer="0" w:header="0"/>
        </w:sectPr>
      </w:pPr>
    </w:p>
    <w:bookmarkStart w:id="262" w:name="page263"/>
    <w:bookmarkEnd w:id="262"/>
    <w:p>
      <w:pPr>
        <w:ind w:firstLine="457"/>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13.13 </w:t>
      </w:r>
      <w:r>
        <w:rPr>
          <w:rFonts w:ascii="Arial" w:cs="Arial" w:eastAsia="Arial" w:hAnsi="Arial"/>
          <w:sz w:val="17"/>
          <w:szCs w:val="17"/>
          <w:u w:val="single" w:color="auto"/>
          <w:color w:val="auto"/>
        </w:rPr>
        <w:t>Relationship to other Benefits</w:t>
      </w:r>
      <w:r>
        <w:rPr>
          <w:rFonts w:ascii="Arial" w:cs="Arial" w:eastAsia="Arial" w:hAnsi="Arial"/>
          <w:sz w:val="17"/>
          <w:szCs w:val="17"/>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13.14 </w:t>
      </w:r>
      <w:r>
        <w:rPr>
          <w:rFonts w:ascii="Arial" w:cs="Arial" w:eastAsia="Arial" w:hAnsi="Arial"/>
          <w:sz w:val="17"/>
          <w:szCs w:val="17"/>
          <w:u w:val="single" w:color="auto"/>
          <w:color w:val="auto"/>
        </w:rPr>
        <w:t>Expenses</w:t>
      </w:r>
      <w:r>
        <w:rPr>
          <w:rFonts w:ascii="Arial" w:cs="Arial" w:eastAsia="Arial" w:hAnsi="Arial"/>
          <w:sz w:val="17"/>
          <w:szCs w:val="17"/>
          <w:color w:val="auto"/>
        </w:rPr>
        <w:t>. The expenses of administering the Plan shall be borne by the Company and its Subsidiaries.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5820" w:type="dxa"/>
            <w:vAlign w:val="bottom"/>
          </w:tcPr>
          <w:p>
            <w:pPr>
              <w:jc w:val="right"/>
              <w:ind w:right="1873"/>
              <w:spacing w:after="0"/>
              <w:rPr>
                <w:sz w:val="20"/>
                <w:szCs w:val="20"/>
                <w:color w:val="auto"/>
              </w:rPr>
            </w:pPr>
            <w:r>
              <w:rPr>
                <w:rFonts w:ascii="Arial" w:cs="Arial" w:eastAsia="Arial" w:hAnsi="Arial"/>
                <w:sz w:val="17"/>
                <w:szCs w:val="17"/>
                <w:b w:val="1"/>
                <w:bCs w:val="1"/>
                <w:color w:val="auto"/>
              </w:rPr>
              <w:t>* * * * *</w:t>
            </w:r>
          </w:p>
        </w:tc>
        <w:tc>
          <w:tcPr>
            <w:tcW w:w="1220" w:type="dxa"/>
            <w:vAlign w:val="bottom"/>
          </w:tcPr>
          <w:p>
            <w:pPr>
              <w:spacing w:after="0"/>
              <w:rPr>
                <w:sz w:val="19"/>
                <w:szCs w:val="19"/>
                <w:color w:val="auto"/>
              </w:rPr>
            </w:pPr>
          </w:p>
        </w:tc>
      </w:tr>
      <w:tr>
        <w:trPr>
          <w:trHeight w:val="419"/>
        </w:trPr>
        <w:tc>
          <w:tcPr>
            <w:tcW w:w="7980" w:type="dxa"/>
            <w:vAlign w:val="bottom"/>
            <w:gridSpan w:val="2"/>
          </w:tcPr>
          <w:p>
            <w:pPr>
              <w:spacing w:after="0"/>
              <w:rPr>
                <w:sz w:val="20"/>
                <w:szCs w:val="20"/>
                <w:color w:val="auto"/>
              </w:rPr>
            </w:pPr>
            <w:r>
              <w:rPr>
                <w:rFonts w:ascii="Arial" w:cs="Arial" w:eastAsia="Arial" w:hAnsi="Arial"/>
                <w:sz w:val="17"/>
                <w:szCs w:val="17"/>
                <w:color w:val="auto"/>
                <w:w w:val="94"/>
              </w:rPr>
              <w:t>I hereby certify that the foregoing Plan was duly adopted by the Board of Directors of Medpace Holdings, Inc. on</w:t>
            </w:r>
          </w:p>
        </w:tc>
        <w:tc>
          <w:tcPr>
            <w:tcW w:w="1220" w:type="dxa"/>
            <w:vAlign w:val="bottom"/>
          </w:tcPr>
          <w:p>
            <w:pPr>
              <w:jc w:val="right"/>
              <w:spacing w:after="0"/>
              <w:rPr>
                <w:sz w:val="20"/>
                <w:szCs w:val="20"/>
                <w:color w:val="auto"/>
              </w:rPr>
            </w:pPr>
            <w:r>
              <w:rPr>
                <w:rFonts w:ascii="Arial" w:cs="Arial" w:eastAsia="Arial" w:hAnsi="Arial"/>
                <w:sz w:val="17"/>
                <w:szCs w:val="17"/>
                <w:color w:val="auto"/>
              </w:rPr>
              <w:t>, 2016.</w:t>
            </w:r>
          </w:p>
        </w:tc>
      </w:tr>
      <w:tr>
        <w:trPr>
          <w:trHeight w:val="419"/>
        </w:trPr>
        <w:tc>
          <w:tcPr>
            <w:tcW w:w="2160" w:type="dxa"/>
            <w:vAlign w:val="bottom"/>
          </w:tcPr>
          <w:p>
            <w:pPr>
              <w:spacing w:after="0"/>
              <w:rPr>
                <w:sz w:val="24"/>
                <w:szCs w:val="24"/>
                <w:color w:val="auto"/>
              </w:rPr>
            </w:pPr>
          </w:p>
        </w:tc>
        <w:tc>
          <w:tcPr>
            <w:tcW w:w="5820" w:type="dxa"/>
            <w:vAlign w:val="bottom"/>
          </w:tcPr>
          <w:p>
            <w:pPr>
              <w:jc w:val="right"/>
              <w:ind w:right="1873"/>
              <w:spacing w:after="0"/>
              <w:rPr>
                <w:sz w:val="20"/>
                <w:szCs w:val="20"/>
                <w:color w:val="auto"/>
              </w:rPr>
            </w:pPr>
            <w:r>
              <w:rPr>
                <w:rFonts w:ascii="Arial" w:cs="Arial" w:eastAsia="Arial" w:hAnsi="Arial"/>
                <w:sz w:val="17"/>
                <w:szCs w:val="17"/>
                <w:b w:val="1"/>
                <w:bCs w:val="1"/>
                <w:color w:val="auto"/>
              </w:rPr>
              <w:t>* * * * *</w:t>
            </w:r>
          </w:p>
        </w:tc>
        <w:tc>
          <w:tcPr>
            <w:tcW w:w="1220" w:type="dxa"/>
            <w:vAlign w:val="bottom"/>
          </w:tcPr>
          <w:p>
            <w:pPr>
              <w:spacing w:after="0"/>
              <w:rPr>
                <w:sz w:val="24"/>
                <w:szCs w:val="24"/>
                <w:color w:val="auto"/>
              </w:rPr>
            </w:pPr>
          </w:p>
        </w:tc>
      </w:tr>
      <w:tr>
        <w:trPr>
          <w:trHeight w:val="419"/>
        </w:trPr>
        <w:tc>
          <w:tcPr>
            <w:tcW w:w="7980" w:type="dxa"/>
            <w:vAlign w:val="bottom"/>
            <w:gridSpan w:val="2"/>
          </w:tcPr>
          <w:p>
            <w:pPr>
              <w:spacing w:after="0"/>
              <w:rPr>
                <w:sz w:val="20"/>
                <w:szCs w:val="20"/>
                <w:color w:val="auto"/>
              </w:rPr>
            </w:pPr>
            <w:r>
              <w:rPr>
                <w:rFonts w:ascii="Arial" w:cs="Arial" w:eastAsia="Arial" w:hAnsi="Arial"/>
                <w:sz w:val="17"/>
                <w:szCs w:val="17"/>
                <w:color w:val="auto"/>
              </w:rPr>
              <w:t>I hereby certify that the foregoing Plan was approved by the stockholders of Medpace Holdings, Inc. on</w:t>
            </w:r>
          </w:p>
        </w:tc>
        <w:tc>
          <w:tcPr>
            <w:tcW w:w="1220" w:type="dxa"/>
            <w:vAlign w:val="bottom"/>
          </w:tcPr>
          <w:p>
            <w:pPr>
              <w:jc w:val="right"/>
              <w:ind w:right="593"/>
              <w:spacing w:after="0"/>
              <w:rPr>
                <w:sz w:val="20"/>
                <w:szCs w:val="20"/>
                <w:color w:val="auto"/>
              </w:rPr>
            </w:pPr>
            <w:r>
              <w:rPr>
                <w:rFonts w:ascii="Arial" w:cs="Arial" w:eastAsia="Arial" w:hAnsi="Arial"/>
                <w:sz w:val="17"/>
                <w:szCs w:val="17"/>
                <w:color w:val="auto"/>
                <w:w w:val="99"/>
              </w:rPr>
              <w:t>, 2016.</w:t>
            </w:r>
          </w:p>
        </w:tc>
      </w:tr>
      <w:tr>
        <w:trPr>
          <w:trHeight w:val="419"/>
        </w:trPr>
        <w:tc>
          <w:tcPr>
            <w:tcW w:w="2160" w:type="dxa"/>
            <w:vAlign w:val="bottom"/>
          </w:tcPr>
          <w:p>
            <w:pPr>
              <w:spacing w:after="0"/>
              <w:rPr>
                <w:sz w:val="20"/>
                <w:szCs w:val="20"/>
                <w:color w:val="auto"/>
              </w:rPr>
            </w:pPr>
            <w:r>
              <w:rPr>
                <w:rFonts w:ascii="Arial" w:cs="Arial" w:eastAsia="Arial" w:hAnsi="Arial"/>
                <w:sz w:val="17"/>
                <w:szCs w:val="17"/>
                <w:color w:val="auto"/>
              </w:rPr>
              <w:t>Executed on this   day of</w:t>
            </w:r>
          </w:p>
        </w:tc>
        <w:tc>
          <w:tcPr>
            <w:tcW w:w="5820" w:type="dxa"/>
            <w:vAlign w:val="bottom"/>
          </w:tcPr>
          <w:p>
            <w:pPr>
              <w:jc w:val="right"/>
              <w:ind w:right="4973"/>
              <w:spacing w:after="0"/>
              <w:rPr>
                <w:sz w:val="20"/>
                <w:szCs w:val="20"/>
                <w:color w:val="auto"/>
              </w:rPr>
            </w:pPr>
            <w:r>
              <w:rPr>
                <w:rFonts w:ascii="Arial" w:cs="Arial" w:eastAsia="Arial" w:hAnsi="Arial"/>
                <w:sz w:val="17"/>
                <w:szCs w:val="17"/>
                <w:color w:val="auto"/>
              </w:rPr>
              <w:t>, 2016.</w:t>
            </w: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283210</wp:posOffset>
            </wp:positionV>
            <wp:extent cx="28936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440"/>
        <w:spacing w:after="0"/>
        <w:rPr>
          <w:sz w:val="20"/>
          <w:szCs w:val="20"/>
          <w:color w:val="auto"/>
        </w:rPr>
      </w:pPr>
      <w:r>
        <w:rPr>
          <w:rFonts w:ascii="Arial" w:cs="Arial" w:eastAsia="Arial" w:hAnsi="Arial"/>
          <w:sz w:val="17"/>
          <w:szCs w:val="17"/>
          <w:color w:val="auto"/>
        </w:rPr>
        <w:t>Corporate Secretary</w:t>
      </w:r>
    </w:p>
    <w:p>
      <w:pPr>
        <w:sectPr>
          <w:pgSz w:w="11900" w:h="16838" w:orient="portrait"/>
          <w:cols w:equalWidth="0" w:num="1">
            <w:col w:w="11400"/>
          </w:cols>
          <w:pgMar w:left="240" w:top="271" w:right="259" w:bottom="1440" w:gutter="0" w:footer="0" w:header="0"/>
        </w:sectPr>
      </w:pPr>
    </w:p>
    <w:bookmarkStart w:id="263" w:name="page264"/>
    <w:bookmarkEnd w:id="263"/>
    <w:p>
      <w:pPr>
        <w:jc w:val="right"/>
        <w:spacing w:after="0"/>
        <w:rPr>
          <w:sz w:val="20"/>
          <w:szCs w:val="20"/>
          <w:color w:val="auto"/>
        </w:rPr>
      </w:pPr>
      <w:r>
        <w:rPr>
          <w:rFonts w:ascii="Arial" w:cs="Arial" w:eastAsia="Arial" w:hAnsi="Arial"/>
          <w:sz w:val="17"/>
          <w:szCs w:val="17"/>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w:t>
      </w:r>
    </w:p>
    <w:p>
      <w:pPr>
        <w:spacing w:after="0" w:line="230"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 2016 by and among Medpace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Fifth Cinven Fund (No. 1) Limited Partnership, a Guernsey limited partnership, Fifth Cinven Fund (No. 2) Limited Partnership, a Guernsey limited partnership, Fifth Cinven Fund (No. 3) Limited Partnership, a Guernsey limited partnership, Fifth Cinven Fund (No. 4) Limited Partnership, a Guernsey limited partnership, Fifth Cinven Fund (No. 5) Limited Partnership, a Guernsey limited partnership, Fifth Cinven Fund (No. 6) Limited Partnership, a Guernsey limited partnership, Fifth Cinven Fund Co-Investment Partnership, a general partnership formed under the laws of England and Wales, and Fifth Cinven Fund FCP-SIF, a Luxembourg fond commun de placement (collectively, “</w:t>
      </w:r>
      <w:r>
        <w:rPr>
          <w:rFonts w:ascii="Arial" w:cs="Arial" w:eastAsia="Arial" w:hAnsi="Arial"/>
          <w:sz w:val="16"/>
          <w:szCs w:val="16"/>
          <w:b w:val="1"/>
          <w:bCs w:val="1"/>
          <w:i w:val="1"/>
          <w:iCs w:val="1"/>
          <w:color w:val="auto"/>
        </w:rPr>
        <w:t>Cinven</w:t>
      </w:r>
      <w:r>
        <w:rPr>
          <w:rFonts w:ascii="Arial" w:cs="Arial" w:eastAsia="Arial" w:hAnsi="Arial"/>
          <w:sz w:val="16"/>
          <w:szCs w:val="16"/>
          <w:color w:val="auto"/>
        </w:rPr>
        <w:t>”), and Dr. August J. Troendle (“</w:t>
      </w:r>
      <w:r>
        <w:rPr>
          <w:rFonts w:ascii="Arial" w:cs="Arial" w:eastAsia="Arial" w:hAnsi="Arial"/>
          <w:sz w:val="16"/>
          <w:szCs w:val="16"/>
          <w:b w:val="1"/>
          <w:bCs w:val="1"/>
          <w:i w:val="1"/>
          <w:iCs w:val="1"/>
          <w:color w:val="auto"/>
        </w:rPr>
        <w:t>Dr. Troendle</w:t>
      </w:r>
      <w:r>
        <w:rPr>
          <w:rFonts w:ascii="Arial" w:cs="Arial" w:eastAsia="Arial" w:hAnsi="Arial"/>
          <w:sz w:val="16"/>
          <w:szCs w:val="16"/>
          <w:color w:val="auto"/>
        </w:rPr>
        <w:t>”) as of the date hereof.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ECITALS</w:t>
      </w:r>
    </w:p>
    <w:p>
      <w:pPr>
        <w:spacing w:after="0" w:line="230"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WHEREAS, the Company is contemplating an offer and sale of its shares of common stock, par value $0.01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such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to the public in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and</w:t>
      </w:r>
    </w:p>
    <w:p>
      <w:pPr>
        <w:spacing w:after="0" w:line="158"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WHEREAS, in connection with the IPO, the Company has agreed to grant to the Holders (as defined below) certain rights with respect to the registration of the Registrable Securities (as defined below) on the terms and conditions set forth herein.</w:t>
      </w:r>
    </w:p>
    <w:p>
      <w:pPr>
        <w:spacing w:after="0" w:line="158"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Agreement, the following terms shall have the meanings specified in this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Acquired Common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224" w:lineRule="exact"/>
        <w:rPr>
          <w:sz w:val="20"/>
          <w:szCs w:val="20"/>
          <w:color w:val="auto"/>
        </w:rPr>
      </w:pPr>
    </w:p>
    <w:p>
      <w:pPr>
        <w:ind w:right="3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Investor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and shall be deemed to include each such Person’s Affiliates, immediate family members, heirs, successors and assigns who may succeed to such Person as a Holder hereunder.</w:t>
      </w:r>
    </w:p>
    <w:p>
      <w:pPr>
        <w:spacing w:after="0" w:line="158"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of any Person means any other Person controlled by, controlling or under common control with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Automatic Shelf Registration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264" w:name="page265"/>
    <w:bookmarkEnd w:id="264"/>
    <w:p>
      <w:pPr>
        <w:ind w:right="22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of the year on which national banking institutions in New York are open to the public for conducting business and are not required or authorized to close.</w:t>
      </w:r>
    </w:p>
    <w:p>
      <w:pPr>
        <w:spacing w:after="0" w:line="158"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xml:space="preserve">”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Demand Registrations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End of Suspension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2(d)(ii)</w:t>
      </w:r>
      <w:r>
        <w:rPr>
          <w:rFonts w:ascii="Arial" w:cs="Arial" w:eastAsia="Arial" w:hAnsi="Arial"/>
          <w:sz w:val="17"/>
          <w:szCs w:val="17"/>
          <w:color w:val="auto"/>
        </w:rPr>
        <w:t>.</w:t>
      </w:r>
    </w:p>
    <w:p>
      <w:pPr>
        <w:spacing w:after="0" w:line="224"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from time to time, or any successor federal law then in force, together with all rules and regulations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means the Financial Industry Regulatory Authority, Inc.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Free Writing Prospectus</w:t>
      </w:r>
      <w:r>
        <w:rPr>
          <w:rFonts w:ascii="Arial" w:cs="Arial" w:eastAsia="Arial" w:hAnsi="Arial"/>
          <w:sz w:val="17"/>
          <w:szCs w:val="17"/>
          <w:color w:val="auto"/>
        </w:rPr>
        <w:t>” means a free-writing prospectus, as defined in Rule 405.</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means Cinven, Dr. Troendle and any Additional Investor as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who are the registered holders of Registrable Securities.</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 Indemnified Parties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Joinder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Long-Form Registrations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MNPI</w:t>
      </w:r>
      <w:r>
        <w:rPr>
          <w:rFonts w:ascii="Arial" w:cs="Arial" w:eastAsia="Arial" w:hAnsi="Arial"/>
          <w:sz w:val="16"/>
          <w:szCs w:val="16"/>
          <w:color w:val="auto"/>
        </w:rPr>
        <w:t xml:space="preserve">” means material non-public information within the meaning of Regulation FD promulgated under the Exchange Act, which shall in any case include the receipt of the notice of a Demand Registration or Shelf Offering Notice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and the information contained in such notice.</w:t>
      </w:r>
    </w:p>
    <w:p>
      <w:pPr>
        <w:spacing w:after="0" w:line="135"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Piggyback Registrations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265" w:name="page266"/>
    <w:bookmarkEnd w:id="265"/>
    <w:p>
      <w:pPr>
        <w:ind w:right="10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means any sale or distribution to the public of Capital Stock of the Company pursuant to an offering registered under the Securities Act, whether by the Company, by Holders and/or by any other holders of the Company’s Capital Stock.</w:t>
      </w:r>
    </w:p>
    <w:p>
      <w:pPr>
        <w:spacing w:after="0" w:line="158"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xml:space="preserve">” means (i) Common Stock, (ii) any common Capital Stock of the Company or of any Subsidiary of the Company issued or issuable with respect to the securities referred to in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by way of dividend, distribution, split or combination of securities, or any recapitalization, merger, consolidation or other reorganization, and (iii) any other Shares owned or acquired after the date hereof by Persons that are the registered holders of securities described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to any particular Registrable Securities owned by any Person, such securities shall cease to be Registrable Securities on the date such securities have been (a) sold or distributed pursuant to a Public Offering, (b) sold in compliance with Rule 144 following the consummation of the IPO or (c) repurchased by the Company or a Subsidiary of the Company. For purposes of this Agreement, a Person shall be deemed to be a Holder, and the Registrable Securities shall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shall be entitled to exercise the rights of a Holder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Holder may only request that Registrable Securities in the form of Capital Stock of the Company that is registered or to be registered as a class under Section 12 of the Exchange Act be registered pursuant to this Agreement. Notwithstanding the foregoing, with the consent of the Company and the Holders, any Registrable Securities held by any Person that may be sold under Rule 144(b)(1)(i) without limitation under any other of the requirements of Rule 144 (including the aggregation rules thereof) shall not be deemed to be Registrable Securities upon notice from the Company to such Person.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6(a)</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144</w:t>
      </w:r>
      <w:r>
        <w:rPr>
          <w:rFonts w:ascii="Arial" w:cs="Arial" w:eastAsia="Arial" w:hAnsi="Arial"/>
          <w:sz w:val="17"/>
          <w:szCs w:val="17"/>
          <w:color w:val="auto"/>
        </w:rPr>
        <w:t>,” “</w:t>
      </w:r>
      <w:r>
        <w:rPr>
          <w:rFonts w:ascii="Arial" w:cs="Arial" w:eastAsia="Arial" w:hAnsi="Arial"/>
          <w:sz w:val="17"/>
          <w:szCs w:val="17"/>
          <w:b w:val="1"/>
          <w:bCs w:val="1"/>
          <w:i w:val="1"/>
          <w:iCs w:val="1"/>
          <w:color w:val="auto"/>
        </w:rPr>
        <w:t>Rule 158</w:t>
      </w:r>
      <w:r>
        <w:rPr>
          <w:rFonts w:ascii="Arial" w:cs="Arial" w:eastAsia="Arial" w:hAnsi="Arial"/>
          <w:sz w:val="17"/>
          <w:szCs w:val="17"/>
          <w:color w:val="auto"/>
        </w:rPr>
        <w:t>,” “</w:t>
      </w:r>
      <w:r>
        <w:rPr>
          <w:rFonts w:ascii="Arial" w:cs="Arial" w:eastAsia="Arial" w:hAnsi="Arial"/>
          <w:sz w:val="17"/>
          <w:szCs w:val="17"/>
          <w:b w:val="1"/>
          <w:bCs w:val="1"/>
          <w:i w:val="1"/>
          <w:iCs w:val="1"/>
          <w:color w:val="auto"/>
        </w:rPr>
        <w:t>Rule 405</w:t>
      </w:r>
      <w:r>
        <w:rPr>
          <w:rFonts w:ascii="Arial" w:cs="Arial" w:eastAsia="Arial" w:hAnsi="Arial"/>
          <w:sz w:val="17"/>
          <w:szCs w:val="17"/>
          <w:color w:val="auto"/>
        </w:rPr>
        <w:t>” and “</w:t>
      </w:r>
      <w:r>
        <w:rPr>
          <w:rFonts w:ascii="Arial" w:cs="Arial" w:eastAsia="Arial" w:hAnsi="Arial"/>
          <w:sz w:val="17"/>
          <w:szCs w:val="17"/>
          <w:b w:val="1"/>
          <w:bCs w:val="1"/>
          <w:i w:val="1"/>
          <w:iCs w:val="1"/>
          <w:color w:val="auto"/>
        </w:rPr>
        <w:t>Rule 415</w:t>
      </w:r>
      <w:r>
        <w:rPr>
          <w:rFonts w:ascii="Arial" w:cs="Arial" w:eastAsia="Arial" w:hAnsi="Arial"/>
          <w:sz w:val="17"/>
          <w:szCs w:val="17"/>
          <w:color w:val="auto"/>
        </w:rPr>
        <w:t>” mean, in each case, such rule promulgated under the Securities Act (or any successor provision) by the Securities and Exchange Commission, as the same shall be amended from time to time, or any successor rule then in force.</w:t>
      </w:r>
    </w:p>
    <w:p>
      <w:pPr>
        <w:spacing w:after="0" w:line="158"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Schedule of Investors</w:t>
      </w:r>
      <w:r>
        <w:rPr>
          <w:rFonts w:ascii="Arial" w:cs="Arial" w:eastAsia="Arial" w:hAnsi="Arial"/>
          <w:sz w:val="17"/>
          <w:szCs w:val="17"/>
          <w:color w:val="auto"/>
        </w:rPr>
        <w:t>” means the schedule attached to this Agreement entitled “Schedule of Investors,” which shall reflect each Holder from time to time party to this Agreement and each such Holder’s address.</w:t>
      </w:r>
    </w:p>
    <w:p>
      <w:pPr>
        <w:spacing w:after="0" w:line="15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U.S. Securities Act of 1933, as amended from time to time, or any successor federal law then in force, together with all rules and regulations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Offering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Offering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2(c)(iii)</w:t>
      </w:r>
      <w:r>
        <w:rPr>
          <w:rFonts w:ascii="Arial" w:cs="Arial" w:eastAsia="Arial" w:hAnsi="Arial"/>
          <w:sz w:val="17"/>
          <w:szCs w:val="17"/>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72" w:right="279" w:bottom="1440" w:gutter="0" w:footer="0" w:header="0"/>
        </w:sectPr>
      </w:pPr>
    </w:p>
    <w:bookmarkStart w:id="266" w:name="page267"/>
    <w:bookmarkEnd w:id="26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Shelf Offering Request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Registrable Securities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Registration Filing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Registration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Registration Participation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Registration Request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Short-Form Registrations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Company,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Company or (y) the Company or one of its Subsidiaries is the sole manager or general partner of such Person.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Suspension Event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2(d)(ii)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Suspension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2(d)(ii)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Suspension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2(d)(i)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Underwritten Takedown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2(c)(iii)</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Violation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WKSI</w:t>
      </w:r>
      <w:r>
        <w:rPr>
          <w:rFonts w:ascii="Arial" w:cs="Arial" w:eastAsia="Arial" w:hAnsi="Arial"/>
          <w:sz w:val="17"/>
          <w:szCs w:val="17"/>
          <w:color w:val="auto"/>
        </w:rPr>
        <w:t>” means a “well-known seasoned issuer” as defined under Rule 405.</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Demand Registrations</w:t>
      </w:r>
      <w:r>
        <w:rPr>
          <w:rFonts w:ascii="Arial" w:cs="Arial" w:eastAsia="Arial" w:hAnsi="Arial"/>
          <w:sz w:val="17"/>
          <w:szCs w:val="17"/>
          <w:color w:val="auto"/>
        </w:rPr>
        <w:t>.</w:t>
      </w:r>
    </w:p>
    <w:p>
      <w:pPr>
        <w:spacing w:after="0" w:line="119" w:lineRule="exact"/>
        <w:rPr>
          <w:sz w:val="20"/>
          <w:szCs w:val="20"/>
          <w:color w:val="auto"/>
        </w:rPr>
      </w:pPr>
    </w:p>
    <w:p>
      <w:pPr>
        <w:ind w:right="120" w:firstLine="461"/>
        <w:spacing w:after="0" w:line="297" w:lineRule="auto"/>
        <w:tabs>
          <w:tab w:leader="none" w:pos="694"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Requests for Registration</w:t>
      </w:r>
      <w:r>
        <w:rPr>
          <w:rFonts w:ascii="Arial" w:cs="Arial" w:eastAsia="Arial" w:hAnsi="Arial"/>
          <w:sz w:val="16"/>
          <w:szCs w:val="16"/>
          <w:color w:val="auto"/>
        </w:rPr>
        <w:t>. Subject to the terms and conditions of this Agreement, each Holder may request registration under the Securities Act of all or any portion of their Registrable Securities on Form S-1 or any similar long-form registration (“</w:t>
      </w:r>
      <w:r>
        <w:rPr>
          <w:rFonts w:ascii="Arial" w:cs="Arial" w:eastAsia="Arial" w:hAnsi="Arial"/>
          <w:sz w:val="16"/>
          <w:szCs w:val="16"/>
          <w:b w:val="1"/>
          <w:bCs w:val="1"/>
          <w:i w:val="1"/>
          <w:iCs w:val="1"/>
          <w:color w:val="auto"/>
        </w:rPr>
        <w:t>Long-Form Registrations</w:t>
      </w:r>
      <w:r>
        <w:rPr>
          <w:rFonts w:ascii="Arial" w:cs="Arial" w:eastAsia="Arial" w:hAnsi="Arial"/>
          <w:sz w:val="16"/>
          <w:szCs w:val="16"/>
          <w:color w:val="auto"/>
        </w:rPr>
        <w:t>”), and each Holder may request registration under the Securities Act of all or any portion of their Registrable Securities on Form S-3 or any similar short-form registration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2" w:right="239" w:bottom="1440" w:gutter="0" w:footer="0" w:header="0"/>
        </w:sectPr>
      </w:pPr>
    </w:p>
    <w:bookmarkStart w:id="267" w:name="page268"/>
    <w:bookmarkEnd w:id="267"/>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b w:val="1"/>
          <w:bCs w:val="1"/>
          <w:i w:val="1"/>
          <w:iCs w:val="1"/>
          <w:color w:val="auto"/>
        </w:rPr>
        <w:t>Short-Form Registrations</w:t>
      </w:r>
      <w:r>
        <w:rPr>
          <w:rFonts w:ascii="Arial" w:cs="Arial" w:eastAsia="Arial" w:hAnsi="Arial"/>
          <w:sz w:val="16"/>
          <w:szCs w:val="16"/>
          <w:color w:val="auto"/>
        </w:rPr>
        <w:t xml:space="preserve">”) if available. All registrations requested pursuant to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are referred to herein as “</w:t>
      </w:r>
      <w:r>
        <w:rPr>
          <w:rFonts w:ascii="Arial" w:cs="Arial" w:eastAsia="Arial" w:hAnsi="Arial"/>
          <w:sz w:val="16"/>
          <w:szCs w:val="16"/>
          <w:b w:val="1"/>
          <w:bCs w:val="1"/>
          <w:i w:val="1"/>
          <w:iCs w:val="1"/>
          <w:color w:val="auto"/>
        </w:rPr>
        <w:t>Demand Registrations</w:t>
      </w:r>
      <w:r>
        <w:rPr>
          <w:rFonts w:ascii="Arial" w:cs="Arial" w:eastAsia="Arial" w:hAnsi="Arial"/>
          <w:sz w:val="16"/>
          <w:szCs w:val="16"/>
          <w:color w:val="auto"/>
        </w:rPr>
        <w:t>.” The Holder making a Demand Registration may request that the registration be made pursuant to Rule 415 under the Securities Act (a “</w:t>
      </w:r>
      <w:r>
        <w:rPr>
          <w:rFonts w:ascii="Arial" w:cs="Arial" w:eastAsia="Arial" w:hAnsi="Arial"/>
          <w:sz w:val="16"/>
          <w:szCs w:val="16"/>
          <w:b w:val="1"/>
          <w:bCs w:val="1"/>
          <w:i w:val="1"/>
          <w:iCs w:val="1"/>
          <w:color w:val="auto"/>
        </w:rPr>
        <w:t>Shelf Registration</w:t>
      </w:r>
      <w:r>
        <w:rPr>
          <w:rFonts w:ascii="Arial" w:cs="Arial" w:eastAsia="Arial" w:hAnsi="Arial"/>
          <w:sz w:val="16"/>
          <w:szCs w:val="16"/>
          <w:color w:val="auto"/>
        </w:rPr>
        <w:t>”) and, if the Company is a WKSI at the time any request for a Demand Registration is submitted to the Company, that such Shelf Registration be an automatic shelf registration statement (as defined in Rule 405 under the Securities Act) (an “</w:t>
      </w:r>
      <w:r>
        <w:rPr>
          <w:rFonts w:ascii="Arial" w:cs="Arial" w:eastAsia="Arial" w:hAnsi="Arial"/>
          <w:sz w:val="16"/>
          <w:szCs w:val="16"/>
          <w:b w:val="1"/>
          <w:bCs w:val="1"/>
          <w:i w:val="1"/>
          <w:iCs w:val="1"/>
          <w:color w:val="auto"/>
        </w:rPr>
        <w:t>Automatic Shelf Registration Statement</w:t>
      </w:r>
      <w:r>
        <w:rPr>
          <w:rFonts w:ascii="Arial" w:cs="Arial" w:eastAsia="Arial" w:hAnsi="Arial"/>
          <w:sz w:val="16"/>
          <w:szCs w:val="16"/>
          <w:color w:val="auto"/>
        </w:rPr>
        <w:t xml:space="preserve">”). Except to the extent that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applies, promptly upon receipt of a request for a Demand Registration (but in no event more than five Business Days thereafter), the Company shall give written notice of the Demand Registration to all other Holders. Notwithstanding the foregoing, other than delivery to each Holder of the written notice in accordance with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the Company shall not be required to take any action that would otherwise be required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if such action would violate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hereof or any similar provision contained in the underwriting agreement entered into in connection with any underwritten Public Offering.</w:t>
      </w:r>
    </w:p>
    <w:p>
      <w:pPr>
        <w:spacing w:after="0" w:line="168" w:lineRule="exact"/>
        <w:rPr>
          <w:sz w:val="20"/>
          <w:szCs w:val="20"/>
          <w:color w:val="auto"/>
        </w:rPr>
      </w:pPr>
    </w:p>
    <w:p>
      <w:pPr>
        <w:ind w:right="60" w:firstLine="461"/>
        <w:spacing w:after="0" w:line="263" w:lineRule="auto"/>
        <w:tabs>
          <w:tab w:leader="none" w:pos="70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Demand Registrations</w:t>
      </w:r>
      <w:r>
        <w:rPr>
          <w:rFonts w:ascii="Arial" w:cs="Arial" w:eastAsia="Arial" w:hAnsi="Arial"/>
          <w:sz w:val="17"/>
          <w:szCs w:val="17"/>
          <w:color w:val="auto"/>
        </w:rPr>
        <w:t>. Each Holder shall be entitled to request an unlimited number of Demand Registrations in which the Company shall pay all Registration Expenses, regardless of whether any registration statement is filed or any such Demand Registration is consummated. Demand Registrations shall be Short-Form Registrations whenever the Company is permitted to use any applicable short form and the managing underwriters (if any) agree to the use of a Short-Form Registration. After the Company has become subject to the reporting requirements of the Exchange Act, the Company shall use its reasonable best efforts to make Short-Form Registrations available for the sale of Registrable Securities. All Long-Form Registrations shall be underwritten registrations unless otherwise approved by the applicable Holder.</w:t>
      </w:r>
    </w:p>
    <w:p>
      <w:pPr>
        <w:spacing w:after="0" w:line="286" w:lineRule="exact"/>
        <w:rPr>
          <w:rFonts w:ascii="Arial" w:cs="Arial" w:eastAsia="Arial" w:hAnsi="Arial"/>
          <w:sz w:val="17"/>
          <w:szCs w:val="17"/>
          <w:color w:val="auto"/>
        </w:rPr>
      </w:pPr>
    </w:p>
    <w:p>
      <w:pPr>
        <w:ind w:left="700" w:hanging="239"/>
        <w:spacing w:after="0"/>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Shelf Registrations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460" w:firstLine="440"/>
        <w:spacing w:after="0" w:line="278" w:lineRule="auto"/>
        <w:tabs>
          <w:tab w:leader="none" w:pos="110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Subject to the availability of required financial information, as promptly as practicable after the Company receives written notice of a request for a Shelf Registration from a Holder (a “</w:t>
      </w:r>
      <w:r>
        <w:rPr>
          <w:rFonts w:ascii="Arial" w:cs="Arial" w:eastAsia="Arial" w:hAnsi="Arial"/>
          <w:sz w:val="16"/>
          <w:szCs w:val="16"/>
          <w:b w:val="1"/>
          <w:bCs w:val="1"/>
          <w:i w:val="1"/>
          <w:iCs w:val="1"/>
          <w:color w:val="auto"/>
        </w:rPr>
        <w:t>Shelf Registration Request</w:t>
      </w:r>
      <w:r>
        <w:rPr>
          <w:rFonts w:ascii="Arial" w:cs="Arial" w:eastAsia="Arial" w:hAnsi="Arial"/>
          <w:sz w:val="16"/>
          <w:szCs w:val="16"/>
          <w:color w:val="auto"/>
        </w:rPr>
        <w:t>”) and the expiration of the Shelf Registration Participation Deadline (as defined below), the Company shall file with the Securities and Exchange Commission a registration statement under the Securities Act for the Shelf Registration (a “</w:t>
      </w:r>
      <w:r>
        <w:rPr>
          <w:rFonts w:ascii="Arial" w:cs="Arial" w:eastAsia="Arial" w:hAnsi="Arial"/>
          <w:sz w:val="16"/>
          <w:szCs w:val="16"/>
          <w:b w:val="1"/>
          <w:bCs w:val="1"/>
          <w:i w:val="1"/>
          <w:iCs w:val="1"/>
          <w:color w:val="auto"/>
        </w:rPr>
        <w:t>Shelf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As promptly as practicable, but no later than two Business Days after receipt of a Shelf Registration Request, the Company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give written notice (the “</w:t>
      </w:r>
      <w:r>
        <w:rPr>
          <w:rFonts w:ascii="Arial" w:cs="Arial" w:eastAsia="Arial" w:hAnsi="Arial"/>
          <w:sz w:val="16"/>
          <w:szCs w:val="16"/>
          <w:b w:val="1"/>
          <w:bCs w:val="1"/>
          <w:i w:val="1"/>
          <w:iCs w:val="1"/>
          <w:color w:val="auto"/>
        </w:rPr>
        <w:t>Shelf Registration Notice</w:t>
      </w:r>
      <w:r>
        <w:rPr>
          <w:rFonts w:ascii="Arial" w:cs="Arial" w:eastAsia="Arial" w:hAnsi="Arial"/>
          <w:sz w:val="16"/>
          <w:szCs w:val="16"/>
          <w:color w:val="auto"/>
        </w:rPr>
        <w:t xml:space="preserve">”) of such Shelf Registration Request to all other Holders. The Company, subject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shall include in such Shelf Registration (and in all related registrations and qualifications under state blue sky laws) all Registrable Securities of each Holder with respect to which the Company has received a written request for inclusion therein within two Business Days after the Shelf Registration Notice was delivered (such deadline, the “</w:t>
      </w:r>
      <w:r>
        <w:rPr>
          <w:rFonts w:ascii="Arial" w:cs="Arial" w:eastAsia="Arial" w:hAnsi="Arial"/>
          <w:sz w:val="16"/>
          <w:szCs w:val="16"/>
          <w:b w:val="1"/>
          <w:bCs w:val="1"/>
          <w:i w:val="1"/>
          <w:iCs w:val="1"/>
          <w:color w:val="auto"/>
        </w:rPr>
        <w:t>Shelf Registration Participation Deadline</w:t>
      </w:r>
      <w:r>
        <w:rPr>
          <w:rFonts w:ascii="Arial" w:cs="Arial" w:eastAsia="Arial" w:hAnsi="Arial"/>
          <w:sz w:val="16"/>
          <w:szCs w:val="16"/>
          <w:color w:val="auto"/>
        </w:rPr>
        <w:t xml:space="preserve">”). The Company shall use its reasonable best efforts to cause any Shelf Registration Statement filed in accordance with this </w:t>
      </w:r>
      <w:r>
        <w:rPr>
          <w:rFonts w:ascii="Arial" w:cs="Arial" w:eastAsia="Arial" w:hAnsi="Arial"/>
          <w:sz w:val="16"/>
          <w:szCs w:val="16"/>
          <w:u w:val="single" w:color="auto"/>
          <w:color w:val="auto"/>
        </w:rPr>
        <w:t>Section 2(c)(i)</w:t>
      </w:r>
      <w:r>
        <w:rPr>
          <w:rFonts w:ascii="Arial" w:cs="Arial" w:eastAsia="Arial" w:hAnsi="Arial"/>
          <w:sz w:val="16"/>
          <w:szCs w:val="16"/>
          <w:color w:val="auto"/>
        </w:rPr>
        <w:t xml:space="preserve"> to be declared effective under the Securities Act as soon as practicable after the initial filing of such Shelf Registration Statement and, once effective, the Company shall cause such Shelf Registration Statement to remain continuously effective for such time period as is specified in the request by the Holders, but for no time period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2" w:right="259" w:bottom="1440" w:gutter="0" w:footer="0" w:header="0"/>
        </w:sectPr>
      </w:pPr>
    </w:p>
    <w:bookmarkStart w:id="268" w:name="page269"/>
    <w:bookmarkEnd w:id="26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longer than the period ending on the earliest of (A) the date on which all Registrable Securities covered by such Shelf Registration Statement have been sold pursuant to the Shelf Registration Statement and (B) the date as of which there are no longer any Registrable Securities covered by such Shelf Registration Statement in existence.</w:t>
      </w:r>
    </w:p>
    <w:p>
      <w:pPr>
        <w:spacing w:after="0" w:line="66" w:lineRule="exact"/>
        <w:rPr>
          <w:sz w:val="20"/>
          <w:szCs w:val="20"/>
          <w:color w:val="auto"/>
        </w:rPr>
      </w:pPr>
    </w:p>
    <w:p>
      <w:pPr>
        <w:ind w:firstLine="440"/>
        <w:spacing w:after="0" w:line="277"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Notwithstanding the rights of each Holder under </w:t>
      </w:r>
      <w:r>
        <w:rPr>
          <w:rFonts w:ascii="Arial" w:cs="Arial" w:eastAsia="Arial" w:hAnsi="Arial"/>
          <w:sz w:val="16"/>
          <w:szCs w:val="16"/>
          <w:u w:val="single" w:color="auto"/>
          <w:color w:val="auto"/>
        </w:rPr>
        <w:t>Section 2(c)(i)</w:t>
      </w:r>
      <w:r>
        <w:rPr>
          <w:rFonts w:ascii="Arial" w:cs="Arial" w:eastAsia="Arial" w:hAnsi="Arial"/>
          <w:sz w:val="16"/>
          <w:szCs w:val="16"/>
          <w:color w:val="auto"/>
        </w:rPr>
        <w:t xml:space="preserve">, subject to the availability of required financial information, as promptly as practicable after the Company becomes eligible to file a Shelf Registration Statement on Form S-3 the Company shall file with the Securities and Exchange Commission a Shelf Registration Statement on Form S-3 that includes in such Shelf Registration Statement (and in all related registrations and qualifications under state blue sky laws) all Registrable Securities held by each Holder. No later than five Business Days prior to the initial filing of the Shelf Registration Statement pursuant to this </w:t>
      </w:r>
      <w:r>
        <w:rPr>
          <w:rFonts w:ascii="Arial" w:cs="Arial" w:eastAsia="Arial" w:hAnsi="Arial"/>
          <w:sz w:val="16"/>
          <w:szCs w:val="16"/>
          <w:u w:val="single" w:color="auto"/>
          <w:color w:val="auto"/>
        </w:rPr>
        <w:t>Section 2(c)(ii)</w:t>
      </w:r>
      <w:r>
        <w:rPr>
          <w:rFonts w:ascii="Arial" w:cs="Arial" w:eastAsia="Arial" w:hAnsi="Arial"/>
          <w:sz w:val="16"/>
          <w:szCs w:val="16"/>
          <w:color w:val="auto"/>
        </w:rPr>
        <w:t>, the Company shall give written notice of such filing to each Holder (the “</w:t>
      </w:r>
      <w:r>
        <w:rPr>
          <w:rFonts w:ascii="Arial" w:cs="Arial" w:eastAsia="Arial" w:hAnsi="Arial"/>
          <w:sz w:val="16"/>
          <w:szCs w:val="16"/>
          <w:b w:val="1"/>
          <w:bCs w:val="1"/>
          <w:i w:val="1"/>
          <w:iCs w:val="1"/>
          <w:color w:val="auto"/>
        </w:rPr>
        <w:t>Shelf 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Filing Notice</w:t>
      </w:r>
      <w:r>
        <w:rPr>
          <w:rFonts w:ascii="Arial" w:cs="Arial" w:eastAsia="Arial" w:hAnsi="Arial"/>
          <w:sz w:val="16"/>
          <w:szCs w:val="16"/>
          <w:color w:val="auto"/>
        </w:rPr>
        <w:t>”). Within two Business Days after the receipt of the Shelf Registration Filing Notice each holder shall send the Company a written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specifying the number of Registrable Securities then held by each Holder or, at the option of such Holder, a lesser number of Registrable Securities to be included in such Shelf Registration Statement, as well as any additional information requested by the Company pursuant to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 Company shall use its reasonable best efforts to cause any Shelf Registration Statement filed in accordance with this </w:t>
      </w:r>
      <w:r>
        <w:rPr>
          <w:rFonts w:ascii="Arial" w:cs="Arial" w:eastAsia="Arial" w:hAnsi="Arial"/>
          <w:sz w:val="16"/>
          <w:szCs w:val="16"/>
          <w:u w:val="single" w:color="auto"/>
          <w:color w:val="auto"/>
        </w:rPr>
        <w:t>Section 2(c)(ii)</w:t>
      </w:r>
      <w:r>
        <w:rPr>
          <w:rFonts w:ascii="Arial" w:cs="Arial" w:eastAsia="Arial" w:hAnsi="Arial"/>
          <w:sz w:val="16"/>
          <w:szCs w:val="16"/>
          <w:color w:val="auto"/>
        </w:rPr>
        <w:t xml:space="preserve"> to be declared effective under the Securities Act as soon as practicable after the initial filing of such Shelf Registration Statement and, once effective, the Company shall cause such Shelf Registration Statement to remain continuously effective for such time period ending on the earliest of (A) the date on which all Registrable Securities covered by such Shelf Registration Statement have been sold pursuant to the Shelf Registration Statement and (B) the date as of which there are no longer any Registrable Securities covered by such Shelf Registration Statement in existence.</w:t>
      </w:r>
    </w:p>
    <w:p>
      <w:pPr>
        <w:spacing w:after="0" w:line="67" w:lineRule="exact"/>
        <w:rPr>
          <w:rFonts w:ascii="Arial" w:cs="Arial" w:eastAsia="Arial" w:hAnsi="Arial"/>
          <w:sz w:val="16"/>
          <w:szCs w:val="16"/>
          <w:color w:val="auto"/>
        </w:rPr>
      </w:pPr>
    </w:p>
    <w:p>
      <w:pPr>
        <w:ind w:right="100" w:firstLine="440"/>
        <w:spacing w:after="0" w:line="278" w:lineRule="auto"/>
        <w:tabs>
          <w:tab w:leader="none" w:pos="74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event that a Shelf Registration Statement is effective, Holders representing Registrable Securities with a market value of at least $15 million (or such lesser amount if all Registrable Securities available for sale pursuant to such registration statement held by a Holder are requested to be included) shall have the right at any time or from time to time to elect to offer and sell (including pursuant to an underwritten offering (an “</w:t>
      </w:r>
      <w:r>
        <w:rPr>
          <w:rFonts w:ascii="Arial" w:cs="Arial" w:eastAsia="Arial" w:hAnsi="Arial"/>
          <w:sz w:val="16"/>
          <w:szCs w:val="16"/>
          <w:b w:val="1"/>
          <w:bCs w:val="1"/>
          <w:i w:val="1"/>
          <w:iCs w:val="1"/>
          <w:color w:val="auto"/>
        </w:rPr>
        <w:t>Underwritten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Takedown</w:t>
      </w:r>
      <w:r>
        <w:rPr>
          <w:rFonts w:ascii="Arial" w:cs="Arial" w:eastAsia="Arial" w:hAnsi="Arial"/>
          <w:sz w:val="16"/>
          <w:szCs w:val="16"/>
          <w:color w:val="auto"/>
        </w:rPr>
        <w:t>”)) Registrable Securities available for sale pursuant to such Shelf Registration Statement (“</w:t>
      </w:r>
      <w:r>
        <w:rPr>
          <w:rFonts w:ascii="Arial" w:cs="Arial" w:eastAsia="Arial" w:hAnsi="Arial"/>
          <w:sz w:val="16"/>
          <w:szCs w:val="16"/>
          <w:b w:val="1"/>
          <w:bCs w:val="1"/>
          <w:i w:val="1"/>
          <w:iCs w:val="1"/>
          <w:color w:val="auto"/>
        </w:rPr>
        <w:t>Shelf Registrable Securities</w:t>
      </w:r>
      <w:r>
        <w:rPr>
          <w:rFonts w:ascii="Arial" w:cs="Arial" w:eastAsia="Arial" w:hAnsi="Arial"/>
          <w:sz w:val="16"/>
          <w:szCs w:val="16"/>
          <w:color w:val="auto"/>
        </w:rPr>
        <w:t>”), so long as the Shelf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remains effective, and the Company shall pay all Registration Expenses in connection therewith. The applicable Holders shall make such election by delivering to the Company a written request (a “</w:t>
      </w:r>
      <w:r>
        <w:rPr>
          <w:rFonts w:ascii="Arial" w:cs="Arial" w:eastAsia="Arial" w:hAnsi="Arial"/>
          <w:sz w:val="16"/>
          <w:szCs w:val="16"/>
          <w:b w:val="1"/>
          <w:bCs w:val="1"/>
          <w:i w:val="1"/>
          <w:iCs w:val="1"/>
          <w:color w:val="auto"/>
        </w:rPr>
        <w:t>Shelf Offering Request</w:t>
      </w:r>
      <w:r>
        <w:rPr>
          <w:rFonts w:ascii="Arial" w:cs="Arial" w:eastAsia="Arial" w:hAnsi="Arial"/>
          <w:sz w:val="16"/>
          <w:szCs w:val="16"/>
          <w:color w:val="auto"/>
        </w:rPr>
        <w:t>”) for such offering specifying the number of Shelf Registrable Securities that such Holders desire to sell pursuant to such offering (the “</w:t>
      </w:r>
      <w:r>
        <w:rPr>
          <w:rFonts w:ascii="Arial" w:cs="Arial" w:eastAsia="Arial" w:hAnsi="Arial"/>
          <w:sz w:val="16"/>
          <w:szCs w:val="16"/>
          <w:b w:val="1"/>
          <w:bCs w:val="1"/>
          <w:i w:val="1"/>
          <w:iCs w:val="1"/>
          <w:color w:val="auto"/>
        </w:rPr>
        <w:t>Shelf Offering</w:t>
      </w:r>
      <w:r>
        <w:rPr>
          <w:rFonts w:ascii="Arial" w:cs="Arial" w:eastAsia="Arial" w:hAnsi="Arial"/>
          <w:sz w:val="16"/>
          <w:szCs w:val="16"/>
          <w:color w:val="auto"/>
        </w:rPr>
        <w:t>”). As promptly as practicable, but no later than two Business Days after receipt of a Shelf Offering Request, the Company shall give written notice (the “</w:t>
      </w:r>
      <w:r>
        <w:rPr>
          <w:rFonts w:ascii="Arial" w:cs="Arial" w:eastAsia="Arial" w:hAnsi="Arial"/>
          <w:sz w:val="16"/>
          <w:szCs w:val="16"/>
          <w:b w:val="1"/>
          <w:bCs w:val="1"/>
          <w:i w:val="1"/>
          <w:iCs w:val="1"/>
          <w:color w:val="auto"/>
        </w:rPr>
        <w:t>Shelf Offering Notice</w:t>
      </w:r>
      <w:r>
        <w:rPr>
          <w:rFonts w:ascii="Arial" w:cs="Arial" w:eastAsia="Arial" w:hAnsi="Arial"/>
          <w:sz w:val="16"/>
          <w:szCs w:val="16"/>
          <w:color w:val="auto"/>
        </w:rPr>
        <w:t>”) of such Shelf Offering Request to all other holders of Shelf Registrable Securities. The Company shall, as expeditiously as possible (and in any event within 10 days after the receipt of a Shelf Offering Request, unless a longer period is agreed to by the Holders of the Registrable Securities that made the Shelf Offering Request), use its reasonable best efforts to facilitate such Shelf Offering.</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700" w:top="271" w:right="259" w:bottom="1440" w:gutter="0" w:footer="0" w:header="0"/>
        </w:sectPr>
      </w:pPr>
    </w:p>
    <w:bookmarkStart w:id="269" w:name="page270"/>
    <w:bookmarkEnd w:id="269"/>
    <w:p>
      <w:pPr>
        <w:ind w:right="220" w:firstLine="440"/>
        <w:spacing w:after="0" w:line="325" w:lineRule="auto"/>
        <w:tabs>
          <w:tab w:leader="none" w:pos="734" w:val="left"/>
        </w:tabs>
        <w:numPr>
          <w:ilvl w:val="1"/>
          <w:numId w:val="1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shall, at the request of any Holder of the Registrable Securities covered by a Shelf Registration Statement, file any prospectus supplement or, if the applicable Shelf Registration Statement is an Automatic Shelf Registration Statement, any post-effective amendments and otherwise take any action necessary to include therein all disclosure and language deemed necessary or advisable by such Holders to effect such Shelf Offering.</w:t>
      </w:r>
    </w:p>
    <w:p>
      <w:pPr>
        <w:spacing w:after="0" w:line="242" w:lineRule="exact"/>
        <w:rPr>
          <w:rFonts w:ascii="Arial" w:cs="Arial" w:eastAsia="Arial" w:hAnsi="Arial"/>
          <w:sz w:val="15"/>
          <w:szCs w:val="15"/>
          <w:color w:val="auto"/>
        </w:rPr>
      </w:pPr>
    </w:p>
    <w:p>
      <w:pPr>
        <w:ind w:left="240" w:hanging="239"/>
        <w:spacing w:after="0"/>
        <w:tabs>
          <w:tab w:leader="none" w:pos="24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Restrictions on Demand Registration and Shelf Offerings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firstLine="440"/>
        <w:spacing w:after="0" w:line="277" w:lineRule="auto"/>
        <w:tabs>
          <w:tab w:leader="none" w:pos="64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Notwithstanding the foregoing, the Company shall not be obligated to effect any Demand Registration within 45 days after the consummation of another Demand Registration. Further notwithstanding the foregoing, the Company may postpone, for up to 90 days from the date of the request, the filing or the effectiveness of a registration statement for a Demand Registration or suspend the filing of a Shelf Registration Statement or the use of a prospectus that is part of a Shelf Registration Statement for up to 90 days from the date of the Suspension Notice (as defined below) and therefore suspend sales of the Shelf Registrable Securities (such period, the “</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xml:space="preserve">”) by providing written notice to the Holders if (A) the Company’s board of directors determines in its reasonable good faith judgment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or other transaction involving the Company or any Subsidiary, or (B) upon advice of counsel, the sale of Registrable Securities pursuant to the registration statement would require disclosure of MNPI not otherwise required to be disclosed under applicable law, and either (x) the Company has a bona fide business purpose for preserving the confidentiality of such transaction or (y) disclosure of such MNPI would have a material adverse effect on the Company or the Company’s ability to consummate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such event, the Holders shall be entitled to withdraw such request for a Demand Registration or underwritten Shelf Offering and the Company shall pay all Registration Expenses in connection with such Demand Registration or Shelf Offering. The Company may delay a Demand Registration hereunder only once in any twelve-month period, except with the consent of the applicable Holder.</w:t>
      </w:r>
    </w:p>
    <w:p>
      <w:pPr>
        <w:spacing w:after="0" w:line="65" w:lineRule="exact"/>
        <w:rPr>
          <w:rFonts w:ascii="Arial" w:cs="Arial" w:eastAsia="Arial" w:hAnsi="Arial"/>
          <w:sz w:val="16"/>
          <w:szCs w:val="16"/>
          <w:color w:val="auto"/>
        </w:rPr>
      </w:pPr>
    </w:p>
    <w:p>
      <w:pPr>
        <w:ind w:right="20" w:firstLine="440"/>
        <w:spacing w:after="0" w:line="308" w:lineRule="auto"/>
        <w:tabs>
          <w:tab w:leader="none" w:pos="695" w:val="left"/>
        </w:tabs>
        <w:numPr>
          <w:ilvl w:val="1"/>
          <w:numId w:val="132"/>
        </w:numPr>
        <w:rPr>
          <w:rFonts w:ascii="Arial" w:cs="Arial" w:eastAsia="Arial" w:hAnsi="Arial"/>
          <w:sz w:val="15"/>
          <w:szCs w:val="15"/>
          <w:color w:val="auto"/>
        </w:rPr>
      </w:pPr>
      <w:r>
        <w:rPr>
          <w:rFonts w:ascii="Arial" w:cs="Arial" w:eastAsia="Arial" w:hAnsi="Arial"/>
          <w:sz w:val="15"/>
          <w:szCs w:val="15"/>
          <w:color w:val="auto"/>
        </w:rPr>
        <w:t xml:space="preserve">In the case of an event that causes the Company to suspend the filing or use of a Shelf Registration Statement as set forth in paragraph (d)(i) above or pursuant to applicable subsections of </w:t>
      </w:r>
      <w:r>
        <w:rPr>
          <w:rFonts w:ascii="Arial" w:cs="Arial" w:eastAsia="Arial" w:hAnsi="Arial"/>
          <w:sz w:val="15"/>
          <w:szCs w:val="15"/>
          <w:u w:val="single" w:color="auto"/>
          <w:color w:val="auto"/>
        </w:rPr>
        <w:t>Section 5(a)(vi)</w:t>
      </w:r>
      <w:r>
        <w:rPr>
          <w:rFonts w:ascii="Arial" w:cs="Arial" w:eastAsia="Arial" w:hAnsi="Arial"/>
          <w:sz w:val="15"/>
          <w:szCs w:val="15"/>
          <w:color w:val="auto"/>
        </w:rPr>
        <w:t xml:space="preserve"> (a “</w:t>
      </w:r>
      <w:r>
        <w:rPr>
          <w:rFonts w:ascii="Arial" w:cs="Arial" w:eastAsia="Arial" w:hAnsi="Arial"/>
          <w:sz w:val="15"/>
          <w:szCs w:val="15"/>
          <w:b w:val="1"/>
          <w:bCs w:val="1"/>
          <w:i w:val="1"/>
          <w:iCs w:val="1"/>
          <w:color w:val="auto"/>
        </w:rPr>
        <w:t>Suspension Event</w:t>
      </w:r>
      <w:r>
        <w:rPr>
          <w:rFonts w:ascii="Arial" w:cs="Arial" w:eastAsia="Arial" w:hAnsi="Arial"/>
          <w:sz w:val="15"/>
          <w:szCs w:val="15"/>
          <w:color w:val="auto"/>
        </w:rPr>
        <w:t>”), the Company shall give a notice to the Holders of Registrable Securities registered pursuant to such Shelf Registration Statement (a “</w:t>
      </w:r>
      <w:r>
        <w:rPr>
          <w:rFonts w:ascii="Arial" w:cs="Arial" w:eastAsia="Arial" w:hAnsi="Arial"/>
          <w:sz w:val="15"/>
          <w:szCs w:val="15"/>
          <w:b w:val="1"/>
          <w:bCs w:val="1"/>
          <w:i w:val="1"/>
          <w:iCs w:val="1"/>
          <w:color w:val="auto"/>
        </w:rPr>
        <w:t>Suspension Notice</w:t>
      </w:r>
      <w:r>
        <w:rPr>
          <w:rFonts w:ascii="Arial" w:cs="Arial" w:eastAsia="Arial" w:hAnsi="Arial"/>
          <w:sz w:val="15"/>
          <w:szCs w:val="15"/>
          <w:color w:val="auto"/>
        </w:rPr>
        <w:t>”) to suspend sales of the Registrable Securities and such notice shall state generally the basis for the notice and that such suspension shall continue only for so long as the Suspension Event or its effect is continuing. If the basis of such suspension is nondisclosure of MNPI, the Company shall not be required to disclose the subject matter of such MNPI to Holders. A Holder shall</w:t>
      </w:r>
    </w:p>
    <w:p>
      <w:pPr>
        <w:spacing w:after="0" w:line="8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700" w:top="271" w:right="239" w:bottom="1440" w:gutter="0" w:footer="0" w:header="0"/>
        </w:sectPr>
      </w:pPr>
    </w:p>
    <w:bookmarkStart w:id="270" w:name="page271"/>
    <w:bookmarkEnd w:id="270"/>
    <w:p>
      <w:pPr>
        <w:ind w:left="4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 effect any sales of the Registrable Securities pursuant to such Shelf Registration Statement (or such filings) at any time after it has received a Suspension Notice from the Company and prior to receipt of an End of Suspension Notice (as defined below). Holders may recommence effecting sales of the Registrable Securities pursuant to the Shelf Registration Statement (or such filings) following written notice to such effect (an “</w:t>
      </w:r>
      <w:r>
        <w:rPr>
          <w:rFonts w:ascii="Arial" w:cs="Arial" w:eastAsia="Arial" w:hAnsi="Arial"/>
          <w:sz w:val="17"/>
          <w:szCs w:val="17"/>
          <w:b w:val="1"/>
          <w:bCs w:val="1"/>
          <w:i w:val="1"/>
          <w:iCs w:val="1"/>
          <w:color w:val="auto"/>
        </w:rPr>
        <w:t>End of Suspension Notice</w:t>
      </w:r>
      <w:r>
        <w:rPr>
          <w:rFonts w:ascii="Arial" w:cs="Arial" w:eastAsia="Arial" w:hAnsi="Arial"/>
          <w:sz w:val="17"/>
          <w:szCs w:val="17"/>
          <w:color w:val="auto"/>
        </w:rPr>
        <w:t>”) from the Company, which End of Suspension Notice shall be given by the Company to the Holders promptly following the conclusion of any Suspension Event.</w:t>
      </w:r>
    </w:p>
    <w:p>
      <w:pPr>
        <w:spacing w:after="0" w:line="73" w:lineRule="exact"/>
        <w:rPr>
          <w:sz w:val="20"/>
          <w:szCs w:val="20"/>
          <w:color w:val="auto"/>
        </w:rPr>
      </w:pPr>
    </w:p>
    <w:p>
      <w:pPr>
        <w:ind w:left="440" w:right="40" w:firstLine="440"/>
        <w:spacing w:after="0" w:line="273" w:lineRule="auto"/>
        <w:tabs>
          <w:tab w:leader="none" w:pos="118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Notwithstanding any provision herein to the contrary, if the Company gives a Suspension Notice with respect to any Shelf Registration Statement pursuant to this </w:t>
      </w:r>
      <w:r>
        <w:rPr>
          <w:rFonts w:ascii="Arial" w:cs="Arial" w:eastAsia="Arial" w:hAnsi="Arial"/>
          <w:sz w:val="17"/>
          <w:szCs w:val="17"/>
          <w:u w:val="single" w:color="auto"/>
          <w:color w:val="auto"/>
        </w:rPr>
        <w:t>Section 2(d)</w:t>
      </w:r>
      <w:r>
        <w:rPr>
          <w:rFonts w:ascii="Arial" w:cs="Arial" w:eastAsia="Arial" w:hAnsi="Arial"/>
          <w:sz w:val="17"/>
          <w:szCs w:val="17"/>
          <w:color w:val="auto"/>
        </w:rPr>
        <w:t>, the Company agrees that it shall provide copies of any supplemented or amended prospectus necessary to resume sales, with respect to each Suspension Event.</w:t>
      </w:r>
    </w:p>
    <w:p>
      <w:pPr>
        <w:spacing w:after="0" w:line="171" w:lineRule="exact"/>
        <w:rPr>
          <w:rFonts w:ascii="Arial" w:cs="Arial" w:eastAsia="Arial" w:hAnsi="Arial"/>
          <w:sz w:val="17"/>
          <w:szCs w:val="17"/>
          <w:color w:val="auto"/>
        </w:rPr>
      </w:pPr>
    </w:p>
    <w:p>
      <w:pPr>
        <w:ind w:left="-20" w:right="460" w:firstLine="461"/>
        <w:spacing w:after="0" w:line="273" w:lineRule="auto"/>
        <w:tabs>
          <w:tab w:leader="none" w:pos="674"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Selection of Underwriters</w:t>
      </w:r>
      <w:r>
        <w:rPr>
          <w:rFonts w:ascii="Arial" w:cs="Arial" w:eastAsia="Arial" w:hAnsi="Arial"/>
          <w:sz w:val="17"/>
          <w:szCs w:val="17"/>
          <w:color w:val="auto"/>
        </w:rPr>
        <w:t>. The Holder requesting the Demand Registration or Underwritten Takedown shall have the right to select the investment banker(s) and manager(s) to administer such offering (including assignment of titles), subject to the Company’s approval not be unreasonably withheld, conditioned or delayed.</w:t>
      </w:r>
    </w:p>
    <w:p>
      <w:pPr>
        <w:spacing w:after="0" w:line="171" w:lineRule="exact"/>
        <w:rPr>
          <w:rFonts w:ascii="Arial" w:cs="Arial" w:eastAsia="Arial" w:hAnsi="Arial"/>
          <w:sz w:val="17"/>
          <w:szCs w:val="17"/>
          <w:color w:val="auto"/>
        </w:rPr>
      </w:pPr>
    </w:p>
    <w:p>
      <w:pPr>
        <w:ind w:left="-20" w:right="280" w:firstLine="461"/>
        <w:spacing w:after="0" w:line="267" w:lineRule="auto"/>
        <w:tabs>
          <w:tab w:leader="none" w:pos="655"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it is not a party to, or otherwise subject to, any other agreement granting registration rights to any other Person with respect to any securities of the Company. Except as provided in this Agreement, the Company shall not grant to any Persons the right to request the Company or any Subsidiary to register any Capital Stock of the Company or of any Subsidiary, or any securities convertible or exchangeable into or exercisable for such securities.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Piggyback Registrations</w:t>
      </w:r>
      <w:r>
        <w:rPr>
          <w:rFonts w:ascii="Arial" w:cs="Arial" w:eastAsia="Arial" w:hAnsi="Arial"/>
          <w:sz w:val="17"/>
          <w:szCs w:val="17"/>
          <w:color w:val="auto"/>
        </w:rPr>
        <w:t>.</w:t>
      </w:r>
    </w:p>
    <w:p>
      <w:pPr>
        <w:spacing w:after="0" w:line="119" w:lineRule="exact"/>
        <w:rPr>
          <w:sz w:val="20"/>
          <w:szCs w:val="20"/>
          <w:color w:val="auto"/>
        </w:rPr>
      </w:pPr>
    </w:p>
    <w:p>
      <w:pPr>
        <w:ind w:left="-20" w:right="40" w:firstLine="461"/>
        <w:spacing w:after="0" w:line="261" w:lineRule="auto"/>
        <w:tabs>
          <w:tab w:leader="none" w:pos="67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Right to Piggyback</w:t>
      </w:r>
      <w:r>
        <w:rPr>
          <w:rFonts w:ascii="Arial" w:cs="Arial" w:eastAsia="Arial" w:hAnsi="Arial"/>
          <w:sz w:val="17"/>
          <w:szCs w:val="17"/>
          <w:color w:val="auto"/>
        </w:rPr>
        <w:t>. Following the IPO, whenever the Company proposes to register any of its securities under the Securities Act (other than (i) pursuant to a Demand Registration, (ii) in connection with registrations on Form S-4 or S-8 promulgated by the Securities and Exchange Commission or any successor or similar forms or (iii) a registration on any form that does not include substantially the same information as would be required to be included in a registration statement covering the sale of Registrable Securities) and the registration form to be used may be used for the registration of Registrable Securities (a “</w:t>
      </w:r>
      <w:r>
        <w:rPr>
          <w:rFonts w:ascii="Arial" w:cs="Arial" w:eastAsia="Arial" w:hAnsi="Arial"/>
          <w:sz w:val="17"/>
          <w:szCs w:val="17"/>
          <w:b w:val="1"/>
          <w:bCs w:val="1"/>
          <w:i w:val="1"/>
          <w:iCs w:val="1"/>
          <w:color w:val="auto"/>
        </w:rPr>
        <w:t>Piggyback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the Company shall give prompt written notice to all Holders of its intention to effect such Piggyback Registration and, subject to the terms of</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shall include in such Piggyback Registration (and in all related registrations or qualifications under blue sky laws and in any related underwriting) all Registrable Securities of each Holder with respect to which the Company has received a written request for inclusion therein within 5 days after delivery of the Company’s notice.</w:t>
      </w:r>
    </w:p>
    <w:p>
      <w:pPr>
        <w:spacing w:after="0" w:line="185" w:lineRule="exact"/>
        <w:rPr>
          <w:rFonts w:ascii="Arial" w:cs="Arial" w:eastAsia="Arial" w:hAnsi="Arial"/>
          <w:sz w:val="17"/>
          <w:szCs w:val="17"/>
          <w:color w:val="auto"/>
        </w:rPr>
      </w:pPr>
    </w:p>
    <w:p>
      <w:pPr>
        <w:ind w:left="-20" w:right="220" w:firstLine="461"/>
        <w:spacing w:after="0" w:line="289" w:lineRule="auto"/>
        <w:tabs>
          <w:tab w:leader="none" w:pos="68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Piggyback Expenses</w:t>
      </w:r>
      <w:r>
        <w:rPr>
          <w:rFonts w:ascii="Arial" w:cs="Arial" w:eastAsia="Arial" w:hAnsi="Arial"/>
          <w:sz w:val="17"/>
          <w:szCs w:val="17"/>
          <w:color w:val="auto"/>
        </w:rPr>
        <w:t>. The Registration Expenses of the Holders shall be paid by the Company in all Piggyback Registrations, whether or not any such registration became effective.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60" w:top="271" w:right="259" w:bottom="1440" w:gutter="0" w:footer="0" w:header="0"/>
        </w:sectPr>
      </w:pPr>
    </w:p>
    <w:bookmarkStart w:id="271" w:name="page272"/>
    <w:bookmarkEnd w:id="271"/>
    <w:p>
      <w:pPr>
        <w:ind w:right="80" w:firstLine="461"/>
        <w:spacing w:after="0" w:line="281" w:lineRule="auto"/>
        <w:tabs>
          <w:tab w:leader="none" w:pos="694"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Priority on Registrations</w:t>
      </w:r>
      <w:r>
        <w:rPr>
          <w:rFonts w:ascii="Arial" w:cs="Arial" w:eastAsia="Arial" w:hAnsi="Arial"/>
          <w:sz w:val="16"/>
          <w:szCs w:val="16"/>
          <w:color w:val="auto"/>
        </w:rPr>
        <w:t>. If a Piggyback Registration is an underwritten primary registration on behalf of the Company, and the managing underwriters advise the Company in writing that in their opinion the number of securities requested to be included in such registration exceeds the number which can be sold in such offering without adversely affecting the marketability, proposed offering price, timing or method of distribution of the offering, the Company shall include in such registration (i) first, the securities the Company proposes to sell, (ii) second, the Registrable Securities requested to be included in such registration which, in the opinion of the underwriters, can be sold without any such adverse effect, pro rata among the Holders on the basis of the number of Registrable Securities then owned by each such Holder that such Holder of Registrable Securities shall have requested to be included therein, and (iii) third, other securities requested to be included in such registration which, in the opinion of the underwriters, can be sold without any such adverse effect.</w:t>
      </w:r>
    </w:p>
    <w:p>
      <w:pPr>
        <w:spacing w:after="0" w:line="168" w:lineRule="exact"/>
        <w:rPr>
          <w:rFonts w:ascii="Arial" w:cs="Arial" w:eastAsia="Arial" w:hAnsi="Arial"/>
          <w:sz w:val="16"/>
          <w:szCs w:val="16"/>
          <w:color w:val="auto"/>
        </w:rPr>
      </w:pPr>
    </w:p>
    <w:p>
      <w:pPr>
        <w:ind w:firstLine="461"/>
        <w:spacing w:after="0" w:line="267" w:lineRule="auto"/>
        <w:tabs>
          <w:tab w:leader="none" w:pos="704"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Selection of Underwriters</w:t>
      </w:r>
      <w:r>
        <w:rPr>
          <w:rFonts w:ascii="Arial" w:cs="Arial" w:eastAsia="Arial" w:hAnsi="Arial"/>
          <w:sz w:val="17"/>
          <w:szCs w:val="17"/>
          <w:color w:val="auto"/>
        </w:rPr>
        <w:t xml:space="preserve">. If any Piggyback Registration is an underwritten offering, the selection of investment banker(s) and manager(s) for the offering shall be at the election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representing a majority of the Registrable Securities included in such Piggyback Registration may request that one or more investment banker(s) or manager(s) be included in such offering (such request not to be binding on the Company or such other initiating holders of Company securities).</w:t>
      </w:r>
    </w:p>
    <w:p>
      <w:pPr>
        <w:spacing w:after="0" w:line="177" w:lineRule="exact"/>
        <w:rPr>
          <w:rFonts w:ascii="Arial" w:cs="Arial" w:eastAsia="Arial" w:hAnsi="Arial"/>
          <w:sz w:val="17"/>
          <w:szCs w:val="17"/>
          <w:color w:val="auto"/>
        </w:rPr>
      </w:pPr>
    </w:p>
    <w:p>
      <w:pPr>
        <w:ind w:firstLine="461"/>
        <w:spacing w:after="0" w:line="273" w:lineRule="auto"/>
        <w:tabs>
          <w:tab w:leader="none" w:pos="694"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xml:space="preserve">. The Company shall have the right to terminate or withdraw any registration initiated by it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whether or not any Holder has elected to include securities in such registration. The Registration Expenses of such withdrawn registration shall be borne by the Company in accordance with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Holdback Agreements</w:t>
      </w:r>
      <w:r>
        <w:rPr>
          <w:rFonts w:ascii="Arial" w:cs="Arial" w:eastAsia="Arial" w:hAnsi="Arial"/>
          <w:sz w:val="17"/>
          <w:szCs w:val="17"/>
          <w:color w:val="auto"/>
        </w:rPr>
        <w:t>.</w:t>
      </w:r>
    </w:p>
    <w:p>
      <w:pPr>
        <w:spacing w:after="0" w:line="119" w:lineRule="exact"/>
        <w:rPr>
          <w:sz w:val="20"/>
          <w:szCs w:val="20"/>
          <w:color w:val="auto"/>
        </w:rPr>
      </w:pPr>
    </w:p>
    <w:p>
      <w:pPr>
        <w:ind w:right="100" w:firstLine="461"/>
        <w:spacing w:after="0" w:line="276" w:lineRule="auto"/>
        <w:tabs>
          <w:tab w:leader="none" w:pos="694"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Holders of Registrable Securities</w:t>
      </w:r>
      <w:r>
        <w:rPr>
          <w:rFonts w:ascii="Arial" w:cs="Arial" w:eastAsia="Arial" w:hAnsi="Arial"/>
          <w:sz w:val="16"/>
          <w:szCs w:val="16"/>
          <w:color w:val="auto"/>
        </w:rPr>
        <w:t xml:space="preserve">. If requested by the managing underwriter(s), each Holder participating in an underwritten Public Offering shall enter into customary lock-up agreements, substantially consistent with the lock-up agreements entered into by such Holders in connection with the IPO, with the managing underwriter(s) of such Public Offering. Each Holder not participating in an offering pursuant to this Agreement agrees to be bound by the terms of such customary lock-up agreement entered into by the participating Holders in connection therewith as if such Holder had been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terms of the customary lock-up agreement entered into by the participating Holders, non-participating Holders shall not be prohibited from</w:t>
      </w:r>
    </w:p>
    <w:p>
      <w:pPr>
        <w:spacing w:after="0" w:line="1" w:lineRule="exact"/>
        <w:rPr>
          <w:rFonts w:ascii="Arial" w:cs="Arial" w:eastAsia="Arial" w:hAnsi="Arial"/>
          <w:sz w:val="16"/>
          <w:szCs w:val="16"/>
          <w:color w:val="auto"/>
        </w:rPr>
      </w:pPr>
    </w:p>
    <w:p>
      <w:pPr>
        <w:ind w:right="280" w:firstLine="5"/>
        <w:spacing w:after="0" w:line="260" w:lineRule="auto"/>
        <w:tabs>
          <w:tab w:leader="none" w:pos="20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establishing any contract, instruction or plan (a “</w:t>
      </w:r>
      <w:r>
        <w:rPr>
          <w:rFonts w:ascii="Arial" w:cs="Arial" w:eastAsia="Arial" w:hAnsi="Arial"/>
          <w:sz w:val="17"/>
          <w:szCs w:val="17"/>
          <w:u w:val="single" w:color="auto"/>
          <w:color w:val="auto"/>
        </w:rPr>
        <w:t>Plan</w:t>
      </w:r>
      <w:r>
        <w:rPr>
          <w:rFonts w:ascii="Arial" w:cs="Arial" w:eastAsia="Arial" w:hAnsi="Arial"/>
          <w:sz w:val="17"/>
          <w:szCs w:val="17"/>
          <w:color w:val="auto"/>
        </w:rPr>
        <w:t>”) that satisfies all of the requirements of Rule 10b5-1(c)(1) under the Exchange Act during the lock-up period set forth in such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sales may be made pursuant to such a Plan prior to the expiration of the lock-up period set forth in such agreements and no public announcement of the establishment or existence of a Plan or filing in respect thereof is required or made voluntarily prior to the expiration of the lock-up period set forth in such agreements) or (ii) making sales pursuant to a Plan that exists on the date of the customary lock-up agreement entered into by the participating Holders. The Company may impose stop-transfer instructions with respect to the Shares (or other securities) subject to the restrictions set forth in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until the end of the lock-up period set forth in such agreements, including any extension thereof as may be required to comply with FINRA Rule 2711(f)(4).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272" w:name="page273"/>
    <w:bookmarkEnd w:id="272"/>
    <w:p>
      <w:pPr>
        <w:ind w:left="-40" w:right="40" w:firstLine="461"/>
        <w:spacing w:after="0" w:line="273" w:lineRule="auto"/>
        <w:tabs>
          <w:tab w:leader="none" w:pos="66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Exceptions</w:t>
      </w:r>
      <w:r>
        <w:rPr>
          <w:rFonts w:ascii="Arial" w:cs="Arial" w:eastAsia="Arial" w:hAnsi="Arial"/>
          <w:sz w:val="17"/>
          <w:szCs w:val="17"/>
          <w:color w:val="auto"/>
        </w:rPr>
        <w:t xml:space="preserve">. The foregoing holdback agreements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shall not apply to a registration on Form S-8 or any successor or similar form or otherwise in connection with an employee benefit plan or in connection with any registration on Form S-4 or any successor or similar form in connection with any type of acquisition transaction or exchange offer.</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Registration Procedures</w:t>
      </w:r>
      <w:r>
        <w:rPr>
          <w:rFonts w:ascii="Arial" w:cs="Arial" w:eastAsia="Arial" w:hAnsi="Arial"/>
          <w:sz w:val="17"/>
          <w:szCs w:val="17"/>
          <w:color w:val="auto"/>
        </w:rPr>
        <w:t>.</w:t>
      </w:r>
    </w:p>
    <w:p>
      <w:pPr>
        <w:spacing w:after="0" w:line="119" w:lineRule="exact"/>
        <w:rPr>
          <w:sz w:val="20"/>
          <w:szCs w:val="20"/>
          <w:color w:val="auto"/>
        </w:rPr>
      </w:pPr>
    </w:p>
    <w:p>
      <w:pPr>
        <w:ind w:left="-40" w:right="340" w:firstLine="461"/>
        <w:spacing w:after="0" w:line="273" w:lineRule="auto"/>
        <w:tabs>
          <w:tab w:leader="none" w:pos="65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Whenever the Holders have requested that any Registrable Securities be registered pursuant to this Agreement or have initiated a Shelf Offering, the Company shall use its reasonable best efforts to effect the registration and the sale of such Registrable Securities in accordance with the intended method of disposition thereof, and pursuant thereto the Company shall as expeditiously as possible:</w:t>
      </w:r>
    </w:p>
    <w:p>
      <w:pPr>
        <w:spacing w:after="0" w:line="66" w:lineRule="exact"/>
        <w:rPr>
          <w:rFonts w:ascii="Arial" w:cs="Arial" w:eastAsia="Arial" w:hAnsi="Arial"/>
          <w:sz w:val="17"/>
          <w:szCs w:val="17"/>
          <w:color w:val="auto"/>
        </w:rPr>
      </w:pPr>
    </w:p>
    <w:p>
      <w:pPr>
        <w:ind w:left="420" w:right="120" w:firstLine="440"/>
        <w:spacing w:after="0" w:line="285" w:lineRule="auto"/>
        <w:tabs>
          <w:tab w:leader="none" w:pos="106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accordance with the Securities Act and all applicable rules and regulations promulgated thereunder, prepare and file with the Securities and Exchange Commission a registration statement, and all amendments and supplements thereto and related prospectuses with respect to such Registrable Securities and use its reasonable best efforts to cause such registration statement to become effective (provided that before filing a registration statement or prospectus or any amendments or supplements thereto, the Company shall furnish to the counsel selected by the Holders copies of all such documents proposed to be filed, which documents shall be subject to the review and comment of such counsel);</w:t>
      </w:r>
    </w:p>
    <w:p>
      <w:pPr>
        <w:spacing w:after="0" w:line="59" w:lineRule="exact"/>
        <w:rPr>
          <w:rFonts w:ascii="Arial" w:cs="Arial" w:eastAsia="Arial" w:hAnsi="Arial"/>
          <w:sz w:val="16"/>
          <w:szCs w:val="16"/>
          <w:color w:val="auto"/>
        </w:rPr>
      </w:pPr>
    </w:p>
    <w:p>
      <w:pPr>
        <w:ind w:left="420" w:firstLine="440"/>
        <w:spacing w:after="0" w:line="267" w:lineRule="auto"/>
        <w:tabs>
          <w:tab w:leader="none" w:pos="111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notify each Holder of (A) the issuance by the Securities and Exchange Commission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72" w:lineRule="exact"/>
        <w:rPr>
          <w:rFonts w:ascii="Arial" w:cs="Arial" w:eastAsia="Arial" w:hAnsi="Arial"/>
          <w:sz w:val="17"/>
          <w:szCs w:val="17"/>
          <w:color w:val="auto"/>
        </w:rPr>
      </w:pPr>
    </w:p>
    <w:p>
      <w:pPr>
        <w:ind w:left="420" w:right="60" w:firstLine="440"/>
        <w:spacing w:after="0" w:line="261" w:lineRule="auto"/>
        <w:tabs>
          <w:tab w:leader="none" w:pos="1164" w:val="left"/>
        </w:tabs>
        <w:numPr>
          <w:ilvl w:val="1"/>
          <w:numId w:val="140"/>
        </w:numPr>
        <w:rPr>
          <w:rFonts w:ascii="Arial" w:cs="Arial" w:eastAsia="Arial" w:hAnsi="Arial"/>
          <w:sz w:val="17"/>
          <w:szCs w:val="17"/>
          <w:color w:val="auto"/>
        </w:rPr>
      </w:pPr>
      <w:r>
        <w:rPr>
          <w:rFonts w:ascii="Arial" w:cs="Arial" w:eastAsia="Arial" w:hAnsi="Arial"/>
          <w:sz w:val="17"/>
          <w:szCs w:val="17"/>
          <w:color w:val="auto"/>
        </w:rPr>
        <w:t>prepare and file with the Securities and Exchange Commission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in any event not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80" w:lineRule="exact"/>
        <w:rPr>
          <w:rFonts w:ascii="Arial" w:cs="Arial" w:eastAsia="Arial" w:hAnsi="Arial"/>
          <w:sz w:val="17"/>
          <w:szCs w:val="17"/>
          <w:color w:val="auto"/>
        </w:rPr>
      </w:pPr>
    </w:p>
    <w:p>
      <w:pPr>
        <w:ind w:left="420" w:right="60" w:firstLine="440"/>
        <w:spacing w:after="0" w:line="289" w:lineRule="auto"/>
        <w:tabs>
          <w:tab w:leader="none" w:pos="1154" w:val="left"/>
        </w:tabs>
        <w:numPr>
          <w:ilvl w:val="1"/>
          <w:numId w:val="140"/>
        </w:numPr>
        <w:rPr>
          <w:rFonts w:ascii="Arial" w:cs="Arial" w:eastAsia="Arial" w:hAnsi="Arial"/>
          <w:sz w:val="17"/>
          <w:szCs w:val="17"/>
          <w:color w:val="auto"/>
        </w:rPr>
      </w:pPr>
      <w:r>
        <w:rPr>
          <w:rFonts w:ascii="Arial" w:cs="Arial" w:eastAsia="Arial" w:hAnsi="Arial"/>
          <w:sz w:val="17"/>
          <w:szCs w:val="17"/>
          <w:color w:val="auto"/>
        </w:rPr>
        <w:t>furnish to each seller of Registrable Securities thereunder such number of copies of such registration statement, each amendment and supplement thereto,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80" w:top="271" w:right="259" w:bottom="1440" w:gutter="0" w:footer="0" w:header="0"/>
        </w:sectPr>
      </w:pPr>
    </w:p>
    <w:bookmarkStart w:id="273" w:name="page274"/>
    <w:bookmarkEnd w:id="273"/>
    <w:p>
      <w:pPr>
        <w:ind w:right="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prospectus included in such registration statement (including each preliminary prospectus), each Free Writing Prospectus and such other documents as such seller may reasonably request in order to facilitate the disposition of the Registrable Securities owned by such seller;</w:t>
      </w:r>
    </w:p>
    <w:p>
      <w:pPr>
        <w:spacing w:after="0" w:line="53" w:lineRule="exact"/>
        <w:rPr>
          <w:sz w:val="20"/>
          <w:szCs w:val="20"/>
          <w:color w:val="auto"/>
        </w:rPr>
      </w:pPr>
    </w:p>
    <w:p>
      <w:pPr>
        <w:ind w:right="60" w:firstLine="440"/>
        <w:spacing w:after="0" w:line="265" w:lineRule="auto"/>
        <w:tabs>
          <w:tab w:leader="none" w:pos="68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use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(provided that the Company shall not be required to (A) qualify generally to do business in any jurisdiction where it would not otherwise be required to qualify but for this subparagraph or (B) subject itself to taxation in any such jurisdiction);</w:t>
      </w:r>
    </w:p>
    <w:p>
      <w:pPr>
        <w:spacing w:after="0" w:line="73" w:lineRule="exact"/>
        <w:rPr>
          <w:rFonts w:ascii="Arial" w:cs="Arial" w:eastAsia="Arial" w:hAnsi="Arial"/>
          <w:sz w:val="17"/>
          <w:szCs w:val="17"/>
          <w:color w:val="auto"/>
        </w:rPr>
      </w:pPr>
    </w:p>
    <w:p>
      <w:pPr>
        <w:ind w:firstLine="440"/>
        <w:spacing w:after="0" w:line="277" w:lineRule="auto"/>
        <w:tabs>
          <w:tab w:leader="none" w:pos="73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notify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written comments by the Securities and Exchange Commission, or any request by the Securities and Exchange Commission or other federal or state governmental authority for amendments or supplements to such registration statement or such prospectus, or for additional information (whether before or after the effective date of the registration statement) or any other correspondence with the Securities and Exchange Commission relating to, or which may affect, the registration and (C)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subject to </w:t>
      </w:r>
      <w:r>
        <w:rPr>
          <w:rFonts w:ascii="Arial" w:cs="Arial" w:eastAsia="Arial" w:hAnsi="Arial"/>
          <w:sz w:val="16"/>
          <w:szCs w:val="16"/>
          <w:u w:val="single" w:color="auto"/>
          <w:color w:val="auto"/>
        </w:rPr>
        <w:t>Section 2(d)</w:t>
      </w:r>
      <w:r>
        <w:rPr>
          <w:rFonts w:ascii="Arial" w:cs="Arial" w:eastAsia="Arial" w:hAnsi="Arial"/>
          <w:sz w:val="16"/>
          <w:szCs w:val="16"/>
          <w:color w:val="auto"/>
        </w:rPr>
        <w:t>,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70" w:lineRule="exact"/>
        <w:rPr>
          <w:rFonts w:ascii="Arial" w:cs="Arial" w:eastAsia="Arial" w:hAnsi="Arial"/>
          <w:sz w:val="16"/>
          <w:szCs w:val="16"/>
          <w:color w:val="auto"/>
        </w:rPr>
      </w:pPr>
    </w:p>
    <w:p>
      <w:pPr>
        <w:ind w:right="160" w:firstLine="440"/>
        <w:spacing w:after="0" w:line="289" w:lineRule="auto"/>
        <w:tabs>
          <w:tab w:leader="none" w:pos="78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use reasonable best efforts to cause all such Registrable Securities to be listed on each securities exchange on which similar securities issued by the Company are then listed and, if not so listed, to be listed on a securities exchange;</w:t>
      </w:r>
    </w:p>
    <w:p>
      <w:pPr>
        <w:spacing w:after="0" w:line="53" w:lineRule="exact"/>
        <w:rPr>
          <w:rFonts w:ascii="Arial" w:cs="Arial" w:eastAsia="Arial" w:hAnsi="Arial"/>
          <w:sz w:val="17"/>
          <w:szCs w:val="17"/>
          <w:color w:val="auto"/>
        </w:rPr>
      </w:pPr>
    </w:p>
    <w:p>
      <w:pPr>
        <w:ind w:right="60" w:firstLine="440"/>
        <w:spacing w:after="0" w:line="289" w:lineRule="auto"/>
        <w:tabs>
          <w:tab w:leader="none" w:pos="83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use reasonable best efforts to provide a transfer agent, registrar and CUSIP number for all such Registrable Securities not later than the effective date of such registration statement;</w:t>
      </w:r>
    </w:p>
    <w:p>
      <w:pPr>
        <w:spacing w:after="0" w:line="53" w:lineRule="exact"/>
        <w:rPr>
          <w:rFonts w:ascii="Arial" w:cs="Arial" w:eastAsia="Arial" w:hAnsi="Arial"/>
          <w:sz w:val="17"/>
          <w:szCs w:val="17"/>
          <w:color w:val="auto"/>
        </w:rPr>
      </w:pPr>
    </w:p>
    <w:p>
      <w:pPr>
        <w:ind w:right="180" w:firstLine="440"/>
        <w:spacing w:after="0" w:line="273" w:lineRule="auto"/>
        <w:tabs>
          <w:tab w:leader="none" w:pos="73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enter into and perform such customary agreements (including underwriting agreements in customary form), which may include indemnification provisions in favor of underwriters and other Persons in addition to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make such representations and warranties to the Holders registering</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60"/>
          </w:cols>
          <w:pgMar w:left="700" w:top="271" w:right="239" w:bottom="1440" w:gutter="0" w:footer="0" w:header="0"/>
        </w:sectPr>
      </w:pPr>
    </w:p>
    <w:bookmarkStart w:id="274" w:name="page275"/>
    <w:bookmarkEnd w:id="274"/>
    <w:p>
      <w:pPr>
        <w:jc w:val="both"/>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securities and the underwriters or agents, if any, in form, substance and scope as are customarily made by issuers in public offerings similar to the offering then being undertaken, and take all such other actions as the Holders of the Registrable Securities being sold or the underwriters, if any, reasonably request in order to expedite or facilitate the disposition of such Registrable Securities;</w:t>
      </w:r>
    </w:p>
    <w:p>
      <w:pPr>
        <w:spacing w:after="0" w:line="66" w:lineRule="exact"/>
        <w:rPr>
          <w:sz w:val="20"/>
          <w:szCs w:val="20"/>
          <w:color w:val="auto"/>
        </w:rPr>
      </w:pPr>
    </w:p>
    <w:p>
      <w:pPr>
        <w:ind w:firstLine="440"/>
        <w:spacing w:after="0" w:line="263" w:lineRule="auto"/>
        <w:tabs>
          <w:tab w:leader="none" w:pos="68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and business documents and properties of the Company as shall be necessary to enable them to exercise their due diligence responsibility, and cause the Company’s officers, directors, employees, agents, representatives and independent accountants to make themselves available to discuss the business of the Company and to supply all information reasonably requested by any such seller, underwriter, attorney, accountant or agent in connection with such registration statement;</w:t>
      </w:r>
    </w:p>
    <w:p>
      <w:pPr>
        <w:spacing w:after="0" w:line="76" w:lineRule="exact"/>
        <w:rPr>
          <w:rFonts w:ascii="Arial" w:cs="Arial" w:eastAsia="Arial" w:hAnsi="Arial"/>
          <w:sz w:val="17"/>
          <w:szCs w:val="17"/>
          <w:color w:val="auto"/>
        </w:rPr>
      </w:pPr>
    </w:p>
    <w:p>
      <w:pPr>
        <w:ind w:firstLine="440"/>
        <w:spacing w:after="0" w:line="265" w:lineRule="auto"/>
        <w:tabs>
          <w:tab w:leader="none" w:pos="73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use reasonable best efforts to ensure that any Free Writing Prospectus utilized in connection with any Demand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73" w:lineRule="exact"/>
        <w:rPr>
          <w:rFonts w:ascii="Arial" w:cs="Arial" w:eastAsia="Arial" w:hAnsi="Arial"/>
          <w:sz w:val="17"/>
          <w:szCs w:val="17"/>
          <w:color w:val="auto"/>
        </w:rPr>
      </w:pPr>
    </w:p>
    <w:p>
      <w:pPr>
        <w:ind w:right="60" w:firstLine="440"/>
        <w:spacing w:after="0" w:line="267" w:lineRule="auto"/>
        <w:tabs>
          <w:tab w:leader="none" w:pos="78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otherwise use reasonable best efforts to comply with all applicable rules and regulations of the Securities and Exchange Commission,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shall satisfy the provisions of Section 11(a) of the Securities Act and Rule 158;</w:t>
      </w:r>
    </w:p>
    <w:p>
      <w:pPr>
        <w:spacing w:after="0" w:line="72" w:lineRule="exact"/>
        <w:rPr>
          <w:rFonts w:ascii="Arial" w:cs="Arial" w:eastAsia="Arial" w:hAnsi="Arial"/>
          <w:sz w:val="17"/>
          <w:szCs w:val="17"/>
          <w:color w:val="auto"/>
        </w:rPr>
      </w:pPr>
    </w:p>
    <w:p>
      <w:pPr>
        <w:ind w:firstLine="440"/>
        <w:spacing w:after="0" w:line="267" w:lineRule="auto"/>
        <w:tabs>
          <w:tab w:leader="none" w:pos="83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the extent that a Holder, in its sole and exclusive judgment, might be deemed to be an underwriter of any Registrable Securities or a controlling person of the Company, permit such Holder to participate in the preparation of such registration or comparable statement and allow such Holder to provide language for insertion therein, in form and substance satisfactory to the Company, which in the reasonable judgment of such Holder and its counsel should be included;</w:t>
      </w:r>
    </w:p>
    <w:p>
      <w:pPr>
        <w:spacing w:after="0" w:line="72" w:lineRule="exact"/>
        <w:rPr>
          <w:rFonts w:ascii="Arial" w:cs="Arial" w:eastAsia="Arial" w:hAnsi="Arial"/>
          <w:sz w:val="17"/>
          <w:szCs w:val="17"/>
          <w:color w:val="auto"/>
        </w:rPr>
      </w:pPr>
    </w:p>
    <w:p>
      <w:pPr>
        <w:ind w:firstLine="440"/>
        <w:spacing w:after="0" w:line="273" w:lineRule="auto"/>
        <w:tabs>
          <w:tab w:leader="none" w:pos="82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the event of the issuance of any stop order suspending the effectiveness of a registration statement, or the issuance of any order suspending or preventing the use of any related prospectus or suspending the qualification of any Common Stock included in such registration statement for sale in any jurisdiction, use reasonable best efforts promptly to obtain the withdrawal of such order;</w:t>
      </w:r>
    </w:p>
    <w:p>
      <w:pPr>
        <w:spacing w:after="0" w:line="10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80"/>
          </w:cols>
          <w:pgMar w:left="700" w:top="271" w:right="319" w:bottom="1440" w:gutter="0" w:footer="0" w:header="0"/>
        </w:sectPr>
      </w:pPr>
    </w:p>
    <w:bookmarkStart w:id="275" w:name="page276"/>
    <w:bookmarkEnd w:id="275"/>
    <w:p>
      <w:pPr>
        <w:ind w:right="120" w:firstLine="440"/>
        <w:spacing w:after="0" w:line="359" w:lineRule="auto"/>
        <w:tabs>
          <w:tab w:leader="none" w:pos="773" w:val="left"/>
        </w:tabs>
        <w:numPr>
          <w:ilvl w:val="0"/>
          <w:numId w:val="14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use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7" w:lineRule="exact"/>
        <w:rPr>
          <w:rFonts w:ascii="Arial" w:cs="Arial" w:eastAsia="Arial" w:hAnsi="Arial"/>
          <w:sz w:val="15"/>
          <w:szCs w:val="15"/>
          <w:color w:val="auto"/>
        </w:rPr>
      </w:pPr>
    </w:p>
    <w:p>
      <w:pPr>
        <w:ind w:right="120" w:firstLine="440"/>
        <w:spacing w:after="0" w:line="267" w:lineRule="auto"/>
        <w:tabs>
          <w:tab w:leader="none" w:pos="82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cooperate with the Holders of Registrable Securities covered by such registration statement and the managing underwriter or agent, if any, to facilitate the timely preparation and delivery of certificates (not bearing any restrictive legends) representing the Registrable Securities to be sold under the registration statement and enable such Registrable Securities to be in such denominations and registered in such names as the managing underwriter, or agent, if any, or such Holders may request;</w:t>
      </w:r>
    </w:p>
    <w:p>
      <w:pPr>
        <w:spacing w:after="0" w:line="72" w:lineRule="exact"/>
        <w:rPr>
          <w:rFonts w:ascii="Arial" w:cs="Arial" w:eastAsia="Arial" w:hAnsi="Arial"/>
          <w:sz w:val="17"/>
          <w:szCs w:val="17"/>
          <w:color w:val="auto"/>
        </w:rPr>
      </w:pPr>
    </w:p>
    <w:p>
      <w:pPr>
        <w:ind w:right="160" w:firstLine="440"/>
        <w:spacing w:after="0" w:line="322" w:lineRule="auto"/>
        <w:tabs>
          <w:tab w:leader="none" w:pos="87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cooperate with each Holder of Registrable Securities covered by such registration statement and each underwriter or agent participating in the disposition of such Registrable Securities and their respective counsel in connection with any filings required to be made with FINRA;</w:t>
      </w:r>
    </w:p>
    <w:p>
      <w:pPr>
        <w:spacing w:after="0" w:line="30" w:lineRule="exact"/>
        <w:rPr>
          <w:rFonts w:ascii="Arial" w:cs="Arial" w:eastAsia="Arial" w:hAnsi="Arial"/>
          <w:sz w:val="16"/>
          <w:szCs w:val="16"/>
          <w:color w:val="auto"/>
        </w:rPr>
      </w:pPr>
    </w:p>
    <w:p>
      <w:pPr>
        <w:ind w:right="60" w:firstLine="440"/>
        <w:spacing w:after="0" w:line="273" w:lineRule="auto"/>
        <w:tabs>
          <w:tab w:leader="none" w:pos="91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use reasonable best efforts to make available the executive officers of the Company to participate with the Holders of Registrable Securities covered by such registration statement and any underwriters in any “road shows” or other selling efforts that may be reasonably requested by the Holders in connection with the methods of distribution for the Registrable Securities;</w:t>
      </w:r>
    </w:p>
    <w:p>
      <w:pPr>
        <w:spacing w:after="0" w:line="66" w:lineRule="exact"/>
        <w:rPr>
          <w:rFonts w:ascii="Arial" w:cs="Arial" w:eastAsia="Arial" w:hAnsi="Arial"/>
          <w:sz w:val="17"/>
          <w:szCs w:val="17"/>
          <w:color w:val="auto"/>
        </w:rPr>
      </w:pPr>
    </w:p>
    <w:p>
      <w:pPr>
        <w:ind w:right="80" w:firstLine="440"/>
        <w:spacing w:after="0" w:line="265" w:lineRule="auto"/>
        <w:tabs>
          <w:tab w:leader="none" w:pos="82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the case of any underwritten Public Offering, use its reasonable best efforts to obtain one or more cold comfort letters from the Company’s independent certified public accountants (and, if necessary, any other independent certified public accountants or independent auditors of any Subsidiary of the Company or any business acquired by the Company for which financial statements and financial data are, or are required to be, included in the registration statement) in customary form and covering such matters of the type customarily covered by cold comfort letters as the Holders of the Registrable Securities being sold reasonably request;</w:t>
      </w:r>
    </w:p>
    <w:p>
      <w:pPr>
        <w:spacing w:after="0" w:line="73" w:lineRule="exact"/>
        <w:rPr>
          <w:rFonts w:ascii="Arial" w:cs="Arial" w:eastAsia="Arial" w:hAnsi="Arial"/>
          <w:sz w:val="17"/>
          <w:szCs w:val="17"/>
          <w:color w:val="auto"/>
        </w:rPr>
      </w:pPr>
    </w:p>
    <w:p>
      <w:pPr>
        <w:ind w:firstLine="440"/>
        <w:spacing w:after="0" w:line="280" w:lineRule="auto"/>
        <w:tabs>
          <w:tab w:leader="none" w:pos="77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case of any underwritten Public Offering, use its reasonable best efforts to provide (i) a legal opinion of the Company’s outside counsel, dated the effective date of such registration statement and the date of the closing under the underwriting agreement,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 and the Holders of such Registrable Securities being sold and (ii) a legal opinion of the Company’s general counsel, dated the date of the closing under the underwriting agreement,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 and the Holders of such Registrable Securities being sold;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40"/>
          </w:cols>
          <w:pgMar w:left="700" w:top="272" w:right="259" w:bottom="1440" w:gutter="0" w:footer="0" w:header="0"/>
        </w:sectPr>
      </w:pPr>
    </w:p>
    <w:bookmarkStart w:id="276" w:name="page277"/>
    <w:bookmarkEnd w:id="276"/>
    <w:p>
      <w:pPr>
        <w:ind w:left="460" w:right="180" w:firstLine="440"/>
        <w:spacing w:after="0" w:line="273" w:lineRule="auto"/>
        <w:tabs>
          <w:tab w:leader="none" w:pos="1281" w:val="left"/>
        </w:tabs>
        <w:numPr>
          <w:ilvl w:val="1"/>
          <w:numId w:val="1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Company files an Automatic Shelf Registration Statement covering any Registrable Securities, use its reasonable best efforts to remain a WKSI (and not become an ineligible issuer (as defined in Rule 405 under the Securities Act)) during the period during which such Automatic Shelf Registration Statement is required to remain effective;</w:t>
      </w:r>
    </w:p>
    <w:p>
      <w:pPr>
        <w:spacing w:after="0" w:line="66" w:lineRule="exact"/>
        <w:rPr>
          <w:rFonts w:ascii="Arial" w:cs="Arial" w:eastAsia="Arial" w:hAnsi="Arial"/>
          <w:sz w:val="17"/>
          <w:szCs w:val="17"/>
          <w:color w:val="auto"/>
        </w:rPr>
      </w:pPr>
    </w:p>
    <w:p>
      <w:pPr>
        <w:ind w:left="460" w:right="280" w:firstLine="440"/>
        <w:spacing w:after="0" w:line="289" w:lineRule="auto"/>
        <w:tabs>
          <w:tab w:leader="none" w:pos="133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if the Company does not pay the filing fee covering the Registrable Securities at the time an Automatic Shelf Registration Statement is filed, pay such fee at such time or times as the Registrable Securities are to be sold;</w:t>
      </w:r>
    </w:p>
    <w:p>
      <w:pPr>
        <w:spacing w:after="0" w:line="53" w:lineRule="exact"/>
        <w:rPr>
          <w:rFonts w:ascii="Arial" w:cs="Arial" w:eastAsia="Arial" w:hAnsi="Arial"/>
          <w:sz w:val="17"/>
          <w:szCs w:val="17"/>
          <w:color w:val="auto"/>
        </w:rPr>
      </w:pPr>
    </w:p>
    <w:p>
      <w:pPr>
        <w:ind w:left="460" w:firstLine="440"/>
        <w:spacing w:after="0" w:line="314" w:lineRule="auto"/>
        <w:tabs>
          <w:tab w:leader="none" w:pos="137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if an Automatic Shelf Registration Statement has been outstanding for at least three (3) years, at the end of the third year, file a new Automatic Shelf Registration Statement covering the Registrable Securities, and, if at any time when the Company is required to re-evaluate its WKSI status the Company determines that it is not a WKSI, use its reasonable best efforts to refile the Shelf Registration Statement on Form S-3 and, if such form is not available, Form S-1 and keep such registration statement effective during the period during which such registration statement is required to be kept effective;</w:t>
      </w:r>
    </w:p>
    <w:p>
      <w:pPr>
        <w:spacing w:after="0" w:line="40" w:lineRule="exact"/>
        <w:rPr>
          <w:rFonts w:ascii="Arial" w:cs="Arial" w:eastAsia="Arial" w:hAnsi="Arial"/>
          <w:sz w:val="15"/>
          <w:szCs w:val="15"/>
          <w:color w:val="auto"/>
        </w:rPr>
      </w:pPr>
    </w:p>
    <w:p>
      <w:pPr>
        <w:ind w:left="460" w:right="480" w:firstLine="440"/>
        <w:spacing w:after="0" w:line="289" w:lineRule="auto"/>
        <w:tabs>
          <w:tab w:leader="none" w:pos="136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provide all such other certificates, letters, opinions and other requested documents customarily provided in public offerings similar to the offering then being undertaken; and</w:t>
      </w:r>
    </w:p>
    <w:p>
      <w:pPr>
        <w:spacing w:after="0" w:line="53" w:lineRule="exact"/>
        <w:rPr>
          <w:rFonts w:ascii="Arial" w:cs="Arial" w:eastAsia="Arial" w:hAnsi="Arial"/>
          <w:sz w:val="17"/>
          <w:szCs w:val="17"/>
          <w:color w:val="auto"/>
        </w:rPr>
      </w:pPr>
    </w:p>
    <w:p>
      <w:pPr>
        <w:ind w:left="460" w:firstLine="440"/>
        <w:spacing w:after="0" w:line="289" w:lineRule="auto"/>
        <w:tabs>
          <w:tab w:leader="none" w:pos="13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take all such other reasonable actions as are necessary or advisable in order to expedite or facilitate the disposition of such Registrable Securities in accordance with the terms of this Agreement.</w:t>
      </w:r>
    </w:p>
    <w:p>
      <w:pPr>
        <w:spacing w:after="0" w:line="157" w:lineRule="exact"/>
        <w:rPr>
          <w:rFonts w:ascii="Arial" w:cs="Arial" w:eastAsia="Arial" w:hAnsi="Arial"/>
          <w:sz w:val="17"/>
          <w:szCs w:val="17"/>
          <w:color w:val="auto"/>
        </w:rPr>
      </w:pPr>
    </w:p>
    <w:p>
      <w:pPr>
        <w:ind w:right="60" w:firstLine="461"/>
        <w:spacing w:after="0" w:line="325" w:lineRule="auto"/>
        <w:tabs>
          <w:tab w:leader="none" w:pos="70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Any officer of the Company who is a Holder agrees that if and for so long as he or she is employed by the Company or any Subsidiary thereof, he or she shall participate fully in the sale process in a manner customary and reasonable for persons in like positions and consistent with his or her other duties with the Company and in accordance with applicable law, including the preparation of the registration statement and the preparation and presentation of any road shows.</w:t>
      </w:r>
    </w:p>
    <w:p>
      <w:pPr>
        <w:spacing w:after="0" w:line="137" w:lineRule="exact"/>
        <w:rPr>
          <w:rFonts w:ascii="Arial" w:cs="Arial" w:eastAsia="Arial" w:hAnsi="Arial"/>
          <w:sz w:val="15"/>
          <w:szCs w:val="15"/>
          <w:color w:val="auto"/>
        </w:rPr>
      </w:pPr>
    </w:p>
    <w:p>
      <w:pPr>
        <w:ind w:right="60" w:firstLine="461"/>
        <w:spacing w:after="0" w:line="273" w:lineRule="auto"/>
        <w:tabs>
          <w:tab w:leader="none" w:pos="69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Company may require each Holder requesting, or electing to participate in, any registration or filing pursuant to this Agreement to furnish the Company such information regarding such Holder and the distribution of such Registrable Securities as the Company may from time to time reasonably request in writing.</w:t>
      </w:r>
    </w:p>
    <w:p>
      <w:pPr>
        <w:spacing w:after="0" w:line="170" w:lineRule="exact"/>
        <w:rPr>
          <w:rFonts w:ascii="Arial" w:cs="Arial" w:eastAsia="Arial" w:hAnsi="Arial"/>
          <w:sz w:val="17"/>
          <w:szCs w:val="17"/>
          <w:color w:val="auto"/>
        </w:rPr>
      </w:pPr>
    </w:p>
    <w:p>
      <w:pPr>
        <w:ind w:right="60" w:firstLine="461"/>
        <w:spacing w:after="0" w:line="273" w:lineRule="auto"/>
        <w:tabs>
          <w:tab w:leader="none" w:pos="70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the Holders or any of their respective Affiliates seek to effectuate an in-kind distribution of all or part of their respective Registrable Securities to their respective direct or indirect equityholders, the Company shall, subject to any applicable lock-ups, use reasonable best efforts to facilitate such in-kind distribution in the manner reasonably requested.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w:t>
      </w:r>
    </w:p>
    <w:p>
      <w:pPr>
        <w:spacing w:after="0" w:line="119" w:lineRule="exact"/>
        <w:rPr>
          <w:sz w:val="20"/>
          <w:szCs w:val="20"/>
          <w:color w:val="auto"/>
        </w:rPr>
      </w:pPr>
    </w:p>
    <w:p>
      <w:pPr>
        <w:ind w:left="700" w:hanging="239"/>
        <w:spacing w:after="0"/>
        <w:tabs>
          <w:tab w:leader="none" w:pos="700"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The Company’s Obligation</w:t>
      </w:r>
      <w:r>
        <w:rPr>
          <w:rFonts w:ascii="Arial" w:cs="Arial" w:eastAsia="Arial" w:hAnsi="Arial"/>
          <w:sz w:val="16"/>
          <w:szCs w:val="16"/>
          <w:color w:val="auto"/>
        </w:rPr>
        <w:t>. All expenses incident to the Company’s performance of or compliance with this Agreement (including, without limitation,</w:t>
      </w:r>
    </w:p>
    <w:p>
      <w:pPr>
        <w:spacing w:after="0" w:line="37" w:lineRule="exact"/>
        <w:rPr>
          <w:rFonts w:ascii="Arial" w:cs="Arial" w:eastAsia="Arial" w:hAnsi="Arial"/>
          <w:sz w:val="16"/>
          <w:szCs w:val="16"/>
          <w:color w:val="auto"/>
        </w:rPr>
      </w:pPr>
    </w:p>
    <w:p>
      <w:pPr>
        <w:ind w:left="220" w:hanging="215"/>
        <w:spacing w:after="0"/>
        <w:tabs>
          <w:tab w:leader="none" w:pos="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all registration,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1" w:right="239" w:bottom="1440" w:gutter="0" w:footer="0" w:header="0"/>
        </w:sectPr>
      </w:pPr>
    </w:p>
    <w:bookmarkStart w:id="277" w:name="page278"/>
    <w:bookmarkEnd w:id="277"/>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qualification and filing fees (including filings with FINRA and the reasonable fees and disbursements of counsel for the underwriters in connection with FINRA qualification of the Registrable Securities), (ii) fees and expenses of compliance with securities or blue sky laws (including reasonable fees and disbursements of counsel for the underwriters in connection with blue sky qualification of the Registrable Securities), (iii) printing expenses (including expenses of printing certificates for Registrable Securities in a form eligible for deposit with The Depositary Trust Company and of printing prospectuses if the printing of prospectuses is requested by the managing underwriters or by the Holders of the Registrable Securities included in such registration), (iv) messenger, telephone and delivery expenses, (v) fees and disbursements of custodians, (vi) any other reasonable fees and disbursements of underwriters customarily paid by issuers or sellers of securities, (vii) all expenses related to the “road show” for any underwritten Public Offering, including the cost of any aircraft chartered for such purpose,</w:t>
      </w:r>
    </w:p>
    <w:p>
      <w:pPr>
        <w:spacing w:after="0" w:line="5" w:lineRule="exact"/>
        <w:rPr>
          <w:sz w:val="20"/>
          <w:szCs w:val="20"/>
          <w:color w:val="auto"/>
        </w:rPr>
      </w:pPr>
    </w:p>
    <w:p>
      <w:pPr>
        <w:ind w:firstLine="5"/>
        <w:spacing w:after="0" w:line="259" w:lineRule="auto"/>
        <w:tabs>
          <w:tab w:leader="none" w:pos="39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fees and expenses of the transfer agent and registrar of the Company’s Common Stock and (ix) fees and disbursements of counsel for the Company and all independent certified public accountants (including the expenses of any special audit and comfort letters required by or incident to such performance), the underwriters (excluding underwriting discounts and commissions) and other Persons retained by the Company) (all such expenses being herein called “</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shall be borne as provided in this Agreement, except that the Company shall, in any event, pay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the Company are then listed or quotation of the Registrable Securities on any inter-dealer quotation system. Each Person that sells securities pursuant to a Demand Registration or Piggyback Registration hereunder shall bear and pay all underwriting discounts and commissions applicable to the securities sold for such Person’s account.</w:t>
      </w:r>
    </w:p>
    <w:p>
      <w:pPr>
        <w:spacing w:after="0" w:line="184" w:lineRule="exact"/>
        <w:rPr>
          <w:rFonts w:ascii="Arial" w:cs="Arial" w:eastAsia="Arial" w:hAnsi="Arial"/>
          <w:sz w:val="17"/>
          <w:szCs w:val="17"/>
          <w:color w:val="auto"/>
        </w:rPr>
      </w:pPr>
    </w:p>
    <w:p>
      <w:pPr>
        <w:ind w:right="140" w:firstLine="461"/>
        <w:spacing w:after="0" w:line="263" w:lineRule="auto"/>
        <w:tabs>
          <w:tab w:leader="none" w:pos="704"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Counsel Fees and Disbursements</w:t>
      </w:r>
      <w:r>
        <w:rPr>
          <w:rFonts w:ascii="Arial" w:cs="Arial" w:eastAsia="Arial" w:hAnsi="Arial"/>
          <w:sz w:val="17"/>
          <w:szCs w:val="17"/>
          <w:color w:val="auto"/>
        </w:rPr>
        <w:t>. In connection with each Demand Registration, each Piggyback Registration and each Shelf Offering that is an underwritten Public Offering, the Company shall reimburse the Holders of Registrable Securities included in such registration for the reasonable fees and disbursements of (i) one counsel chosen by the Holders representing a majority of the Registrable Securities included in such registration or participating in such Shelf Offering, and (ii) each additional counsel retained by any Holder for the purpose of rendering an opinion on behalf of such Holder in connection with any Demand Registration, Piggyback Registration or Shelf Offering that is an underwritten Public Offering, where the counsel referred to in clause (i) is unable or unwilling to render an opinion on behalf of such Holder.</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w:t>
      </w:r>
    </w:p>
    <w:p>
      <w:pPr>
        <w:spacing w:after="0" w:line="119" w:lineRule="exact"/>
        <w:rPr>
          <w:sz w:val="20"/>
          <w:szCs w:val="20"/>
          <w:color w:val="auto"/>
        </w:rPr>
      </w:pPr>
    </w:p>
    <w:p>
      <w:pPr>
        <w:ind w:firstLine="461"/>
        <w:spacing w:after="0" w:line="285" w:lineRule="auto"/>
        <w:tabs>
          <w:tab w:leader="none" w:pos="694"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By the Company</w:t>
      </w:r>
      <w:r>
        <w:rPr>
          <w:rFonts w:ascii="Arial" w:cs="Arial" w:eastAsia="Arial" w:hAnsi="Arial"/>
          <w:sz w:val="16"/>
          <w:szCs w:val="16"/>
          <w:color w:val="auto"/>
        </w:rPr>
        <w:t>. The Company shall indemnify and hold harmless, to the extent permitted by law, each Holder, such Holder’s officers, directors, managers, employees, agents and representatives, and each Person who controls such Holder (within the meaning of the Securities Act) (the “</w:t>
      </w:r>
      <w:r>
        <w:rPr>
          <w:rFonts w:ascii="Arial" w:cs="Arial" w:eastAsia="Arial" w:hAnsi="Arial"/>
          <w:sz w:val="16"/>
          <w:szCs w:val="16"/>
          <w:b w:val="1"/>
          <w:bCs w:val="1"/>
          <w:i w:val="1"/>
          <w:iCs w:val="1"/>
          <w:color w:val="auto"/>
        </w:rPr>
        <w:t>Holder Indemnified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against all losses, claims, actions, damages, liabilities and expenses (including with respect to actions or proceedings, whether commenced or threatened,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including reasonable attorney fees and expenses) caused by, resulting from, arising out of, based upon or related to any of the following statements, omissions or violations (each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by the Company: (i) any untrue or alleged untrue statement of material fact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271" w:right="279" w:bottom="1440" w:gutter="0" w:footer="0" w:header="0"/>
        </w:sectPr>
      </w:pPr>
    </w:p>
    <w:bookmarkStart w:id="278" w:name="page279"/>
    <w:bookmarkEnd w:id="2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contained in (A) any registration statement, prospectus, preliminary prospectus or Free Writing Prospectus, or any amendment thereof or supplement thereto or</w:t>
      </w:r>
    </w:p>
    <w:p>
      <w:pPr>
        <w:spacing w:after="0" w:line="38" w:lineRule="exact"/>
        <w:rPr>
          <w:sz w:val="20"/>
          <w:szCs w:val="20"/>
          <w:color w:val="auto"/>
        </w:rPr>
      </w:pPr>
    </w:p>
    <w:p>
      <w:pPr>
        <w:ind w:firstLine="5"/>
        <w:spacing w:after="0" w:line="295" w:lineRule="auto"/>
        <w:tabs>
          <w:tab w:leader="none" w:pos="276"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any application or other document or communication (in this </w:t>
      </w:r>
      <w:r>
        <w:rPr>
          <w:rFonts w:ascii="Arial" w:cs="Arial" w:eastAsia="Arial" w:hAnsi="Arial"/>
          <w:sz w:val="15"/>
          <w:szCs w:val="15"/>
          <w:u w:val="single" w:color="auto"/>
          <w:color w:val="auto"/>
        </w:rPr>
        <w:t>Section 7</w:t>
      </w:r>
      <w:r>
        <w:rPr>
          <w:rFonts w:ascii="Arial" w:cs="Arial" w:eastAsia="Arial" w:hAnsi="Arial"/>
          <w:sz w:val="15"/>
          <w:szCs w:val="15"/>
          <w:color w:val="auto"/>
        </w:rPr>
        <w:t>, collectively called an “</w:t>
      </w:r>
      <w:r>
        <w:rPr>
          <w:rFonts w:ascii="Arial" w:cs="Arial" w:eastAsia="Arial" w:hAnsi="Arial"/>
          <w:sz w:val="15"/>
          <w:szCs w:val="15"/>
          <w:b w:val="1"/>
          <w:bCs w:val="1"/>
          <w:i w:val="1"/>
          <w:iCs w:val="1"/>
          <w:color w:val="auto"/>
        </w:rPr>
        <w:t>application</w:t>
      </w:r>
      <w:r>
        <w:rPr>
          <w:rFonts w:ascii="Arial" w:cs="Arial" w:eastAsia="Arial" w:hAnsi="Arial"/>
          <w:sz w:val="15"/>
          <w:szCs w:val="15"/>
          <w:color w:val="auto"/>
        </w:rPr>
        <w:t>”) executed by or on behalf of the Company or based upon written information furnished by or on behalf of the Company filed in any jurisdiction in order to qualify any securities covered by such registration under the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Holder Indemnified Party for any legal or any other expenses reasonably incurred by them in connection with investigating or defending any such losses. Notwithstanding the foregoing, the Company shall not be liable in any such case to the extent that any such losses result from, arise out of, are based upon, or relate to an untrue statement or alleged untrue statement, or omission or alleged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such Holder Indemnified Party expressly for use therein or by such Holder Indemnified Party’s failure to deliver a copy of the registration statement or prospectus or any amendments or supplements thereto after the Company has furnished such Holder Indemnified Party with a sufficient number of copies of the same. In connection with an underwritten offering, the Company shall indemnify such underwriters, their officers and directors, and each Person who controls such underwriters (within the meaning of the Securities Act) to the same extent as provided above with respect to the indemnification of the Holder Indemnified Parties.</w:t>
      </w:r>
    </w:p>
    <w:p>
      <w:pPr>
        <w:spacing w:after="0" w:line="374" w:lineRule="exact"/>
        <w:rPr>
          <w:rFonts w:ascii="Arial" w:cs="Arial" w:eastAsia="Arial" w:hAnsi="Arial"/>
          <w:sz w:val="15"/>
          <w:szCs w:val="15"/>
          <w:color w:val="auto"/>
        </w:rPr>
      </w:pPr>
    </w:p>
    <w:p>
      <w:pPr>
        <w:ind w:right="60" w:firstLine="461"/>
        <w:spacing w:after="0" w:line="279" w:lineRule="auto"/>
        <w:tabs>
          <w:tab w:leader="none" w:pos="704"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By Each Holder</w:t>
      </w:r>
      <w:r>
        <w:rPr>
          <w:rFonts w:ascii="Arial" w:cs="Arial" w:eastAsia="Arial" w:hAnsi="Arial"/>
          <w:sz w:val="16"/>
          <w:szCs w:val="16"/>
          <w:color w:val="auto"/>
        </w:rPr>
        <w:t xml:space="preserve">. In connection with any registration statement in which a Holder is participating, each such Holder shall furnish to the Company in writing such information and affidavits as the Company reasonably requests for use in connection with any such registration statement or prospectus and, to the extent permitted by law, shall indemnify the Company, its officers, directors, managers, employees, agents and representatives, and each Person who controls the Company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obligation to indemnify shall be individual, not joint and several, for each Holder and shall be limited to the net amount of proceeds received by such Holder from the sale of Registrable Securities pursuant to such registration statement.</w:t>
      </w:r>
    </w:p>
    <w:p>
      <w:pPr>
        <w:spacing w:after="0" w:line="170" w:lineRule="exact"/>
        <w:rPr>
          <w:rFonts w:ascii="Arial" w:cs="Arial" w:eastAsia="Arial" w:hAnsi="Arial"/>
          <w:sz w:val="16"/>
          <w:szCs w:val="16"/>
          <w:color w:val="auto"/>
        </w:rPr>
      </w:pPr>
    </w:p>
    <w:p>
      <w:pPr>
        <w:ind w:right="140" w:firstLine="461"/>
        <w:spacing w:after="0" w:line="297" w:lineRule="auto"/>
        <w:tabs>
          <w:tab w:leader="none" w:pos="694"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Claim Procedure</w:t>
      </w:r>
      <w:r>
        <w:rPr>
          <w:rFonts w:ascii="Arial" w:cs="Arial" w:eastAsia="Arial" w:hAnsi="Arial"/>
          <w:sz w:val="16"/>
          <w:szCs w:val="16"/>
          <w:color w:val="auto"/>
        </w:rPr>
        <w:t>. Any Person entitled to indemnification hereunder shall (i) give prompt written notice to the indemnifying party of any claim with respect to which it seeks indemnification (provided that the failure to give prompt notice shall impair any Person’s right to indemnification hereunder only to the extent such failure has prejudiced the indemnifying party) and (ii) unless in such indemnified party’s reasonable judgment a conflict of interest between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60"/>
          </w:cols>
          <w:pgMar w:left="240" w:top="271" w:right="299" w:bottom="1440" w:gutter="0" w:footer="0" w:header="0"/>
        </w:sectPr>
      </w:pPr>
    </w:p>
    <w:bookmarkStart w:id="279" w:name="page280"/>
    <w:bookmarkEnd w:id="279"/>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representing a majority of the Registrable Securities included in the registration if such Holders are indemnified parties, at the expense of the indemnifying party.</w:t>
      </w:r>
    </w:p>
    <w:p>
      <w:pPr>
        <w:spacing w:after="0" w:line="185" w:lineRule="exact"/>
        <w:rPr>
          <w:sz w:val="20"/>
          <w:szCs w:val="20"/>
          <w:color w:val="auto"/>
        </w:rPr>
      </w:pPr>
    </w:p>
    <w:p>
      <w:pPr>
        <w:ind w:firstLine="461"/>
        <w:spacing w:after="0" w:line="276" w:lineRule="auto"/>
        <w:tabs>
          <w:tab w:leader="none" w:pos="704"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held by a court of competent jurisdiction to be unavailable to, or is insufficient to hold harmless, an indemnified party or is otherwise unenforceable with respect to any loss, claim, damage, liability or action referred to herein, then the indemnifying party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which resulted in such loss, claim, damage, liability or action as well as any other relevant equitable considerations;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maximum amount of liability in respect of such contribution shall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were to be determined by pro rata allocation or by any other method of allocation that does not take into account such equitable considerations. The amount paid or payable by an indemnified party as a result of the losses, claims, damages, liabilities or expenses referred to herein shall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11(t) of the Securities Act) shall be entitled to contribution from any Person who is not guilty of such fraudulent misrepresentation.</w:t>
      </w:r>
    </w:p>
    <w:p>
      <w:pPr>
        <w:spacing w:after="0" w:line="178" w:lineRule="exact"/>
        <w:rPr>
          <w:rFonts w:ascii="Arial" w:cs="Arial" w:eastAsia="Arial" w:hAnsi="Arial"/>
          <w:sz w:val="16"/>
          <w:szCs w:val="16"/>
          <w:color w:val="auto"/>
        </w:rPr>
      </w:pPr>
    </w:p>
    <w:p>
      <w:pPr>
        <w:ind w:right="40" w:firstLine="461"/>
        <w:spacing w:after="0" w:line="265" w:lineRule="auto"/>
        <w:tabs>
          <w:tab w:leader="none" w:pos="694"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No indemnifying party shall,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Notwithstanding anything to the contrary in this </w:t>
      </w:r>
      <w:r>
        <w:rPr>
          <w:rFonts w:ascii="Arial" w:cs="Arial" w:eastAsia="Arial" w:hAnsi="Arial"/>
          <w:sz w:val="17"/>
          <w:szCs w:val="17"/>
          <w:u w:val="single" w:color="auto"/>
          <w:color w:val="auto"/>
        </w:rPr>
        <w:t>Section 7</w:t>
      </w:r>
      <w:r>
        <w:rPr>
          <w:rFonts w:ascii="Arial" w:cs="Arial" w:eastAsia="Arial" w:hAnsi="Arial"/>
          <w:sz w:val="17"/>
          <w:szCs w:val="17"/>
          <w:color w:val="auto"/>
        </w:rPr>
        <w:t>, an indemnifying party shall not be liable for any amounts paid in settlement of any loss, claim, damage, liability or action if such settlement is effected without the consent of the indemnifying party, such consent not to be unreasonably withheld, conditioned or delayed.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271" w:right="259" w:bottom="1440" w:gutter="0" w:footer="0" w:header="0"/>
        </w:sectPr>
      </w:pPr>
    </w:p>
    <w:bookmarkStart w:id="280" w:name="page281"/>
    <w:bookmarkEnd w:id="280"/>
    <w:p>
      <w:pPr>
        <w:ind w:left="-20" w:right="40" w:firstLine="461"/>
        <w:spacing w:after="0" w:line="263" w:lineRule="auto"/>
        <w:tabs>
          <w:tab w:leader="none" w:pos="655"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2975" cy="38100"/>
                    </a:xfrm>
                    <a:prstGeom prst="rect">
                      <a:avLst/>
                    </a:prstGeom>
                    <a:noFill/>
                  </pic:spPr>
                </pic:pic>
              </a:graphicData>
            </a:graphic>
          </wp:anchor>
        </w:drawing>
        <w:t>Non-exclusive Remedy; Survival</w:t>
      </w:r>
      <w:r>
        <w:rPr>
          <w:rFonts w:ascii="Arial" w:cs="Arial" w:eastAsia="Arial" w:hAnsi="Arial"/>
          <w:sz w:val="17"/>
          <w:szCs w:val="17"/>
          <w:color w:val="auto"/>
        </w:rPr>
        <w:t>. The indemnification and contribution provided for under this Agreement shall be in addition to any other rights to indemnification or contribution that any indemnified party may have pursuant to law or contract and shall remain in full force and effect regardless of any investigation made by or on behalf of the indemnified party or any officer, director or controlling Person of such indemnified party and shall survive the transfer of Registrable Securities and the termination or expiration of this Agreement. Notwithstanding the foregoing, to the extent that the provisions on indemnification and contribution contained in the underwriting agreement entered into in connection with the IPO are in conflict with the foregoing provisions, the provisions in the underwriting agreement shall control.</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Underwritten Registrations</w:t>
      </w:r>
      <w:r>
        <w:rPr>
          <w:rFonts w:ascii="Arial" w:cs="Arial" w:eastAsia="Arial" w:hAnsi="Arial"/>
          <w:sz w:val="17"/>
          <w:szCs w:val="17"/>
          <w:color w:val="auto"/>
        </w:rPr>
        <w:t>.</w:t>
      </w:r>
    </w:p>
    <w:p>
      <w:pPr>
        <w:spacing w:after="0" w:line="119" w:lineRule="exact"/>
        <w:rPr>
          <w:sz w:val="20"/>
          <w:szCs w:val="20"/>
          <w:color w:val="auto"/>
        </w:rPr>
      </w:pPr>
    </w:p>
    <w:p>
      <w:pPr>
        <w:ind w:left="-20" w:right="20" w:firstLine="461"/>
        <w:spacing w:after="0" w:line="299" w:lineRule="auto"/>
        <w:tabs>
          <w:tab w:leader="none" w:pos="674" w:val="left"/>
        </w:tabs>
        <w:numPr>
          <w:ilvl w:val="0"/>
          <w:numId w:val="153"/>
        </w:numPr>
        <w:rPr>
          <w:rFonts w:ascii="Arial" w:cs="Arial" w:eastAsia="Arial" w:hAnsi="Arial"/>
          <w:sz w:val="15"/>
          <w:szCs w:val="15"/>
          <w:color w:val="auto"/>
        </w:rPr>
      </w:pPr>
      <w:r>
        <w:rPr>
          <w:rFonts w:ascii="Arial" w:cs="Arial" w:eastAsia="Arial" w:hAnsi="Arial"/>
          <w:sz w:val="15"/>
          <w:szCs w:val="15"/>
          <w:u w:val="single" w:color="auto"/>
          <w:color w:val="auto"/>
        </w:rPr>
        <w:t>Participation</w:t>
      </w:r>
      <w:r>
        <w:rPr>
          <w:rFonts w:ascii="Arial" w:cs="Arial" w:eastAsia="Arial" w:hAnsi="Arial"/>
          <w:sz w:val="15"/>
          <w:szCs w:val="15"/>
          <w:color w:val="auto"/>
        </w:rPr>
        <w:t xml:space="preserve">. No Person may participate in any Public Offering hereunder which is underwritten unless such Person (i)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Holder shall be required to sell more than the number of Registrable Securities such Holder has requested to include) and (ii) completes and executes all questionnaires, powers of attorney, indemnities, underwriting agreements and other documents required under the terms of such underwriting arrangements and that are consistent in all material respects with the documents to be completed and executed by the Holders. Each Holder shall execute and deliver such other agreements as may be reasonably requested by the Company and the lead managing underwriter(s) that are consistent with such Holder’s obligations under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or that are necessary to give further effect thereto and that are consistent in all material respects with the documents to be completed and executed by the Holders. To the extent that any such agreement is entered into pursuant to, and consistent with,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the respective rights and obligations created under such agreement shall supersede the respective rights and obligations of the Holders, the Company and the underwriters created pursuant to this </w:t>
      </w:r>
      <w:r>
        <w:rPr>
          <w:rFonts w:ascii="Arial" w:cs="Arial" w:eastAsia="Arial" w:hAnsi="Arial"/>
          <w:sz w:val="15"/>
          <w:szCs w:val="15"/>
          <w:u w:val="single" w:color="auto"/>
          <w:color w:val="auto"/>
        </w:rPr>
        <w:t>Section 8(a)</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ind w:left="-20" w:firstLine="461"/>
        <w:spacing w:after="0" w:line="273" w:lineRule="auto"/>
        <w:tabs>
          <w:tab w:leader="none" w:pos="684"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Price and Underwriting Discounts</w:t>
      </w:r>
      <w:r>
        <w:rPr>
          <w:rFonts w:ascii="Arial" w:cs="Arial" w:eastAsia="Arial" w:hAnsi="Arial"/>
          <w:sz w:val="17"/>
          <w:szCs w:val="17"/>
          <w:color w:val="auto"/>
        </w:rPr>
        <w:t>. In the case of an underwritten Demand Registration or Underwritten Takedown requested by a Holder pursuant to this Agreement, the price, underwriting discount and other financial terms of the related underwriting agreement for the Registrable Securities shall be determined by such Holder.</w:t>
      </w:r>
    </w:p>
    <w:p>
      <w:pPr>
        <w:spacing w:after="0" w:line="171" w:lineRule="exact"/>
        <w:rPr>
          <w:rFonts w:ascii="Arial" w:cs="Arial" w:eastAsia="Arial" w:hAnsi="Arial"/>
          <w:sz w:val="17"/>
          <w:szCs w:val="17"/>
          <w:color w:val="auto"/>
        </w:rPr>
      </w:pPr>
    </w:p>
    <w:p>
      <w:pPr>
        <w:ind w:left="-20" w:right="80" w:firstLine="461"/>
        <w:spacing w:after="0" w:line="297" w:lineRule="auto"/>
        <w:tabs>
          <w:tab w:leader="none" w:pos="674"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Suspended Distributions</w:t>
      </w:r>
      <w:r>
        <w:rPr>
          <w:rFonts w:ascii="Arial" w:cs="Arial" w:eastAsia="Arial" w:hAnsi="Arial"/>
          <w:sz w:val="16"/>
          <w:szCs w:val="16"/>
          <w:color w:val="auto"/>
        </w:rPr>
        <w:t xml:space="preserve">. Each Person that is participating in any registration under this Agreement, upon receipt of any notice from the Company of the happening of any event of the kind described in </w:t>
      </w:r>
      <w:r>
        <w:rPr>
          <w:rFonts w:ascii="Arial" w:cs="Arial" w:eastAsia="Arial" w:hAnsi="Arial"/>
          <w:sz w:val="16"/>
          <w:szCs w:val="16"/>
          <w:u w:val="single" w:color="auto"/>
          <w:color w:val="auto"/>
        </w:rPr>
        <w:t>Section 5(a)(vi)(B)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immediately discontinue the disposition of its Registrable Securities pursuant to the registration statement until such Person’s receipt of the copies of a supplemented or amended prospectus as contemplated by </w:t>
      </w:r>
      <w:r>
        <w:rPr>
          <w:rFonts w:ascii="Arial" w:cs="Arial" w:eastAsia="Arial" w:hAnsi="Arial"/>
          <w:sz w:val="16"/>
          <w:szCs w:val="16"/>
          <w:u w:val="single" w:color="auto"/>
          <w:color w:val="auto"/>
        </w:rPr>
        <w:t>Section 5(a)(vi)</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60" w:top="271" w:right="239" w:bottom="1440" w:gutter="0" w:footer="0" w:header="0"/>
        </w:sectPr>
      </w:pPr>
    </w:p>
    <w:bookmarkStart w:id="281" w:name="page282"/>
    <w:bookmarkEnd w:id="281"/>
    <w:p>
      <w:pPr>
        <w:ind w:firstLine="457"/>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9. </w:t>
      </w:r>
      <w:r>
        <w:rPr>
          <w:rFonts w:ascii="Arial" w:cs="Arial" w:eastAsia="Arial" w:hAnsi="Arial"/>
          <w:sz w:val="16"/>
          <w:szCs w:val="16"/>
          <w:u w:val="single" w:color="auto"/>
          <w:color w:val="auto"/>
        </w:rPr>
        <w:t>Additional Parties; Joinder</w:t>
      </w:r>
      <w:r>
        <w:rPr>
          <w:rFonts w:ascii="Arial" w:cs="Arial" w:eastAsia="Arial" w:hAnsi="Arial"/>
          <w:sz w:val="16"/>
          <w:szCs w:val="16"/>
          <w:color w:val="auto"/>
        </w:rPr>
        <w:t>. Subject to the prior written consent of each Holder, the Company may make any Person who acquires Common Stock or rights to acquire Common Stock from the Company after the date hereof a party to this Agreement (each such Person, an “</w:t>
      </w:r>
      <w:r>
        <w:rPr>
          <w:rFonts w:ascii="Arial" w:cs="Arial" w:eastAsia="Arial" w:hAnsi="Arial"/>
          <w:sz w:val="16"/>
          <w:szCs w:val="16"/>
          <w:b w:val="1"/>
          <w:bCs w:val="1"/>
          <w:i w:val="1"/>
          <w:iCs w:val="1"/>
          <w:color w:val="auto"/>
        </w:rPr>
        <w:t>Additional Investor</w:t>
      </w:r>
      <w:r>
        <w:rPr>
          <w:rFonts w:ascii="Arial" w:cs="Arial" w:eastAsia="Arial" w:hAnsi="Arial"/>
          <w:sz w:val="16"/>
          <w:szCs w:val="16"/>
          <w:color w:val="auto"/>
        </w:rPr>
        <w:t>”) and to succeed to all of the rights and obligations of a Holder under this Agreement by obtaining an executed joinder to this Agreement from such Additional Investor in the form of Exhibit A attached hereto (a “</w:t>
      </w:r>
      <w:r>
        <w:rPr>
          <w:rFonts w:ascii="Arial" w:cs="Arial" w:eastAsia="Arial" w:hAnsi="Arial"/>
          <w:sz w:val="16"/>
          <w:szCs w:val="16"/>
          <w:b w:val="1"/>
          <w:bCs w:val="1"/>
          <w:i w:val="1"/>
          <w:iCs w:val="1"/>
          <w:color w:val="auto"/>
        </w:rPr>
        <w:t>Joinder</w:t>
      </w:r>
      <w:r>
        <w:rPr>
          <w:rFonts w:ascii="Arial" w:cs="Arial" w:eastAsia="Arial" w:hAnsi="Arial"/>
          <w:sz w:val="16"/>
          <w:szCs w:val="16"/>
          <w:color w:val="auto"/>
        </w:rPr>
        <w:t>”). Upon the execution and delivery of a Joinder by such Additional Investor, the Common Stock of the Company acquired by such Additional Investor or to which such Additional Investor has the right to acquire (the “</w:t>
      </w:r>
      <w:r>
        <w:rPr>
          <w:rFonts w:ascii="Arial" w:cs="Arial" w:eastAsia="Arial" w:hAnsi="Arial"/>
          <w:sz w:val="16"/>
          <w:szCs w:val="16"/>
          <w:b w:val="1"/>
          <w:bCs w:val="1"/>
          <w:i w:val="1"/>
          <w:iCs w:val="1"/>
          <w:color w:val="auto"/>
        </w:rPr>
        <w:t>Acquired Common</w:t>
      </w:r>
      <w:r>
        <w:rPr>
          <w:rFonts w:ascii="Arial" w:cs="Arial" w:eastAsia="Arial" w:hAnsi="Arial"/>
          <w:sz w:val="16"/>
          <w:szCs w:val="16"/>
          <w:color w:val="auto"/>
        </w:rPr>
        <w:t>”) shall be Registrable Securities to the extent provided herein, such Additional Investor shall be a Holder under this Agreement with respect to the Acquired Common, and the Company shall add such Additional Investor’s name and address to the Schedule of Investors and circulate such information to the parties to this Agreement.</w:t>
      </w:r>
    </w:p>
    <w:p>
      <w:pPr>
        <w:spacing w:after="0" w:line="168" w:lineRule="exact"/>
        <w:rPr>
          <w:sz w:val="20"/>
          <w:szCs w:val="20"/>
          <w:color w:val="auto"/>
        </w:rPr>
      </w:pPr>
    </w:p>
    <w:p>
      <w:pPr>
        <w:ind w:right="60" w:firstLine="457"/>
        <w:spacing w:after="0" w:line="314"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Current Public Information</w:t>
      </w:r>
      <w:r>
        <w:rPr>
          <w:rFonts w:ascii="Arial" w:cs="Arial" w:eastAsia="Arial" w:hAnsi="Arial"/>
          <w:sz w:val="15"/>
          <w:szCs w:val="15"/>
          <w:color w:val="auto"/>
        </w:rPr>
        <w:t>. At all times after the Company has filed a registration statement with the Securities and Exchange Commission pursuant to the requirements of either the Securities Act or the Exchange Act, the Company shall file all reports required to be filed by it under the Securities Act and the Exchange Act and shall take such further action as any Holder may reasonably request, all to the extent required to enable such Holders to sell Registrable Securities pursuant to Rule 144. Upon request, the Company shall deliver to any Holder a written statement as to whether it has complied with such requirements.</w:t>
      </w:r>
    </w:p>
    <w:p>
      <w:pPr>
        <w:spacing w:after="0" w:line="145" w:lineRule="exact"/>
        <w:rPr>
          <w:sz w:val="20"/>
          <w:szCs w:val="20"/>
          <w:color w:val="auto"/>
        </w:rPr>
      </w:pPr>
    </w:p>
    <w:p>
      <w:pPr>
        <w:ind w:right="380" w:firstLine="457"/>
        <w:spacing w:after="0" w:line="325"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Subsidiary Public Offering</w:t>
      </w:r>
      <w:r>
        <w:rPr>
          <w:rFonts w:ascii="Arial" w:cs="Arial" w:eastAsia="Arial" w:hAnsi="Arial"/>
          <w:sz w:val="15"/>
          <w:szCs w:val="15"/>
          <w:color w:val="auto"/>
        </w:rPr>
        <w:t xml:space="preserve">. If, after an initial Public Offering of the Capital Stock of one of its Subsidiaries (including the Company), the Company distributes securities of such Subsidiary to its equityholders, then the rights and obligations of the Company pursuant to this Agreement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to such Subsidiary, and the Company shall cause such Subsidiary to comply with such Subsidiary’s obligations under this Agreement.</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MNPI Provisions</w:t>
      </w:r>
      <w:r>
        <w:rPr>
          <w:rFonts w:ascii="Arial" w:cs="Arial" w:eastAsia="Arial" w:hAnsi="Arial"/>
          <w:sz w:val="17"/>
          <w:szCs w:val="17"/>
          <w:color w:val="auto"/>
        </w:rPr>
        <w:t>.</w:t>
      </w:r>
    </w:p>
    <w:p>
      <w:pPr>
        <w:spacing w:after="0" w:line="119" w:lineRule="exact"/>
        <w:rPr>
          <w:sz w:val="20"/>
          <w:szCs w:val="20"/>
          <w:color w:val="auto"/>
        </w:rPr>
      </w:pPr>
    </w:p>
    <w:p>
      <w:pPr>
        <w:ind w:right="100" w:firstLine="461"/>
        <w:spacing w:after="0" w:line="283" w:lineRule="auto"/>
        <w:tabs>
          <w:tab w:leader="none" w:pos="69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Each Holder acknowledges that (i) the provisions of this Agreement that require communications by the Company or other Holders to such Holder may result in such Holder and its Representatives (as defined below) acquiring MNPI (which may include, solely by way of illustration, the fact that an offering of the Company’s securities is pending or the number of Company securities or the identity of the selling Holders), and (ii) there is no limitation on the duration of time that such Holder and its Representatives may be in possession of MNPI and no requirement that the Company or other Holders make any public disclosure to cause such information to cease to be MNPI;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use reasonable best efforts to promptly notify each Holder if any proposed registration or offering for which a notice has been delivered pursuant to this Agreement has been terminated or aborted.</w:t>
      </w:r>
    </w:p>
    <w:p>
      <w:pPr>
        <w:spacing w:after="0" w:line="164" w:lineRule="exact"/>
        <w:rPr>
          <w:rFonts w:ascii="Arial" w:cs="Arial" w:eastAsia="Arial" w:hAnsi="Arial"/>
          <w:sz w:val="16"/>
          <w:szCs w:val="16"/>
          <w:color w:val="auto"/>
        </w:rPr>
      </w:pPr>
    </w:p>
    <w:p>
      <w:pPr>
        <w:ind w:right="460" w:firstLine="461"/>
        <w:spacing w:after="0" w:line="265" w:lineRule="auto"/>
        <w:tabs>
          <w:tab w:leader="none" w:pos="70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may deliver or disclose MNPI to (i) its directors, officers, employees, agents, attorneys, affiliates and financial and other advisors (collectively,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but solely to the extent such disclosure reasonably relates to its evaluation of exercise of its rights under this Agreement and the sale of any Registrable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272" w:right="259" w:bottom="1440" w:gutter="0" w:footer="0" w:header="0"/>
        </w:sectPr>
      </w:pPr>
    </w:p>
    <w:bookmarkStart w:id="282" w:name="page283"/>
    <w:bookmarkEnd w:id="28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the recipients of such MNPI are subject to the Policies or agree to hold confidential the MNPI in a manner substantially consistent with the terms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that in the case of clauses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such disclosure is required by law and you promptly notify the Company of such disclosure to the extent such Holder is legally permitted to give such notice.</w:t>
      </w:r>
    </w:p>
    <w:p>
      <w:pPr>
        <w:spacing w:after="0" w:line="165" w:lineRule="exact"/>
        <w:rPr>
          <w:sz w:val="20"/>
          <w:szCs w:val="20"/>
          <w:color w:val="auto"/>
        </w:rPr>
      </w:pPr>
    </w:p>
    <w:p>
      <w:pPr>
        <w:ind w:firstLine="461"/>
        <w:spacing w:after="0" w:line="263" w:lineRule="auto"/>
        <w:tabs>
          <w:tab w:leader="none" w:pos="69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Each Holder, by its execution of a counterpart to this Agreement or of a Joinder, hereby (i) acknowledges that it is aware that the U.S. securities laws prohibit any Person who has MNPI about a company from purchasing or selling, directly or indirectly, securities of such company (including entering into hedge transactions involving such securities), or from communicating such information to any other Person under circumstances in which it is reasonably foreseeable that such Person is likely to purchase or sell such securities, and (ii) agrees that it will not use or permit any third party to use, and that it will use its reasonable best efforts to assure that none of its Representatives will use or permit any third party to use, any MNPI the Company provides in contravention of the U.S. securities laws and it will cease trading in the Company’s securities while in possession of MNPI.</w:t>
      </w:r>
    </w:p>
    <w:p>
      <w:pPr>
        <w:spacing w:after="0" w:line="181" w:lineRule="exact"/>
        <w:rPr>
          <w:rFonts w:ascii="Arial" w:cs="Arial" w:eastAsia="Arial" w:hAnsi="Arial"/>
          <w:sz w:val="17"/>
          <w:szCs w:val="17"/>
          <w:color w:val="auto"/>
        </w:rPr>
      </w:pPr>
    </w:p>
    <w:p>
      <w:pPr>
        <w:ind w:firstLine="461"/>
        <w:spacing w:after="0" w:line="302" w:lineRule="auto"/>
        <w:tabs>
          <w:tab w:leader="none" w:pos="704" w:val="left"/>
        </w:tabs>
        <w:numPr>
          <w:ilvl w:val="0"/>
          <w:numId w:val="155"/>
        </w:numPr>
        <w:rPr>
          <w:rFonts w:ascii="Arial" w:cs="Arial" w:eastAsia="Arial" w:hAnsi="Arial"/>
          <w:sz w:val="15"/>
          <w:szCs w:val="15"/>
          <w:color w:val="auto"/>
        </w:rPr>
      </w:pPr>
      <w:r>
        <w:rPr>
          <w:rFonts w:ascii="Arial" w:cs="Arial" w:eastAsia="Arial" w:hAnsi="Arial"/>
          <w:sz w:val="15"/>
          <w:szCs w:val="15"/>
          <w:color w:val="auto"/>
        </w:rPr>
        <w:t>Each Holder shall have the right, at any time and from time to time (including after receiving information regarding any potential Public Offering), to elect not to receive any notice that the Company or any other Holders otherwise are required to deliver pursuant to this Agreement by delivering to the Company a written statement signed by such Holder that it does not want to receive any notices hereunder (an “</w:t>
      </w:r>
      <w:r>
        <w:rPr>
          <w:rFonts w:ascii="Arial" w:cs="Arial" w:eastAsia="Arial" w:hAnsi="Arial"/>
          <w:sz w:val="15"/>
          <w:szCs w:val="15"/>
          <w:b w:val="1"/>
          <w:bCs w:val="1"/>
          <w:i w:val="1"/>
          <w:iCs w:val="1"/>
          <w:color w:val="auto"/>
        </w:rPr>
        <w:t>Opt-Out Request</w:t>
      </w:r>
      <w:r>
        <w:rPr>
          <w:rFonts w:ascii="Arial" w:cs="Arial" w:eastAsia="Arial" w:hAnsi="Arial"/>
          <w:sz w:val="15"/>
          <w:szCs w:val="15"/>
          <w:color w:val="auto"/>
        </w:rPr>
        <w:t>”);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MNPI.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General Provisions</w:t>
      </w:r>
      <w:r>
        <w:rPr>
          <w:rFonts w:ascii="Arial" w:cs="Arial" w:eastAsia="Arial" w:hAnsi="Arial"/>
          <w:sz w:val="17"/>
          <w:szCs w:val="17"/>
          <w:color w:val="auto"/>
        </w:rPr>
        <w:t>.</w:t>
      </w:r>
    </w:p>
    <w:p>
      <w:pPr>
        <w:spacing w:after="0" w:line="119" w:lineRule="exact"/>
        <w:rPr>
          <w:sz w:val="20"/>
          <w:szCs w:val="20"/>
          <w:color w:val="auto"/>
        </w:rPr>
      </w:pPr>
    </w:p>
    <w:p>
      <w:pPr>
        <w:ind w:right="20" w:firstLine="461"/>
        <w:spacing w:after="0" w:line="283" w:lineRule="auto"/>
        <w:tabs>
          <w:tab w:leader="none" w:pos="694"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the provisions of this Agreement may be amended, modified or waived only with the prior written consent of the Company and each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modification or waiver that would adversely affect a Holder in a manner that is different from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accession by any Additional Investor to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be deemed to adversely affect any Holder), shall be effective against such Holder without the prior written consent of such Holder.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2" w:right="239" w:bottom="1440" w:gutter="0" w:footer="0" w:header="0"/>
        </w:sectPr>
      </w:pPr>
    </w:p>
    <w:bookmarkStart w:id="283" w:name="page284"/>
    <w:bookmarkEnd w:id="283"/>
    <w:p>
      <w:pPr>
        <w:ind w:right="1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158" w:lineRule="exact"/>
        <w:rPr>
          <w:sz w:val="20"/>
          <w:szCs w:val="20"/>
          <w:color w:val="auto"/>
        </w:rPr>
      </w:pPr>
    </w:p>
    <w:p>
      <w:pPr>
        <w:ind w:right="20" w:firstLine="461"/>
        <w:spacing w:after="0" w:line="263" w:lineRule="auto"/>
        <w:tabs>
          <w:tab w:leader="none" w:pos="704"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1" w:lineRule="exact"/>
        <w:rPr>
          <w:rFonts w:ascii="Arial" w:cs="Arial" w:eastAsia="Arial" w:hAnsi="Arial"/>
          <w:sz w:val="17"/>
          <w:szCs w:val="17"/>
          <w:color w:val="auto"/>
        </w:rPr>
      </w:pPr>
    </w:p>
    <w:p>
      <w:pPr>
        <w:ind w:firstLine="461"/>
        <w:spacing w:after="0" w:line="265" w:lineRule="auto"/>
        <w:tabs>
          <w:tab w:leader="none" w:pos="694"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177" w:lineRule="exact"/>
        <w:rPr>
          <w:rFonts w:ascii="Arial" w:cs="Arial" w:eastAsia="Arial" w:hAnsi="Arial"/>
          <w:sz w:val="17"/>
          <w:szCs w:val="17"/>
          <w:color w:val="auto"/>
        </w:rPr>
      </w:pPr>
    </w:p>
    <w:p>
      <w:pPr>
        <w:ind w:right="200" w:firstLine="461"/>
        <w:spacing w:after="0" w:line="273" w:lineRule="auto"/>
        <w:tabs>
          <w:tab w:leader="none" w:pos="704"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71" w:lineRule="exact"/>
        <w:rPr>
          <w:rFonts w:ascii="Arial" w:cs="Arial" w:eastAsia="Arial" w:hAnsi="Arial"/>
          <w:sz w:val="17"/>
          <w:szCs w:val="17"/>
          <w:color w:val="auto"/>
        </w:rPr>
      </w:pPr>
    </w:p>
    <w:p>
      <w:pPr>
        <w:ind w:right="160" w:firstLine="461"/>
        <w:spacing w:after="0" w:line="297" w:lineRule="auto"/>
        <w:tabs>
          <w:tab w:leader="none" w:pos="694"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bind and inure to the benefit and be enforceable by the Company and its successors and assigns and the Holders and their respective successors and assigns (whether so expressed or not). In addition, whether or not any express assignment has been made, the provisions of this Agreement which are for the benefit Holders are also for the benefit of, and enforceable by, any subsequent or successor Holder.</w:t>
      </w:r>
    </w:p>
    <w:p>
      <w:pPr>
        <w:spacing w:after="0" w:line="155" w:lineRule="exact"/>
        <w:rPr>
          <w:rFonts w:ascii="Arial" w:cs="Arial" w:eastAsia="Arial" w:hAnsi="Arial"/>
          <w:sz w:val="16"/>
          <w:szCs w:val="16"/>
          <w:color w:val="auto"/>
        </w:rPr>
      </w:pPr>
    </w:p>
    <w:p>
      <w:pPr>
        <w:ind w:right="40" w:firstLine="461"/>
        <w:spacing w:after="0" w:line="281" w:lineRule="auto"/>
        <w:tabs>
          <w:tab w:leader="none" w:pos="67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or other communication to be given under or by reason of the provisions of this Agreement shall be in writing and shall be deemed to have been given or delivered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Company and the Holders at the addresses specified below and to any other party subject to this Agreement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60"/>
          </w:cols>
          <w:pgMar w:left="240" w:top="271" w:right="29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Company’s address is: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Medpace Holdings, Inc.</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5375 Medpace Way</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Cincinnati, Ohio 45227</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Facsimile: (513) 579-0444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or to the attention of such other Person as the Company has specified by prior written notice to the sending party.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Troendle’s address is: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Medpace Holdings, Inc.</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5375 Medpace Way</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Cincinnati, Ohio 45227</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Attn: Dr. August Troendle</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Facsimile: (513) 579-0444</w:t>
      </w:r>
    </w:p>
    <w:p>
      <w:pPr>
        <w:spacing w:after="0" w:line="212"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The address for Fifth Cinven Fund (No.1) Limited Partnership, Fifth Cinven Fund (No.2) Limited Partnership, Fifth Cinven Fund (No.3) Limited Partnership, Fifth Cinven Fund (No.4) Limited Partnership, Fifth Cinven Fund (No.5) Limited Partnership and Fifth Cinven Fund (No.6) Limited Partnership is: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East Wing,</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Trafalgar Court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Les Banques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 Peter Port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Guernsey</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GY1 3PP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Fifth Cinven Fund Co-Investment Partnership’s address is: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Warwick Court,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Paternoster Square</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London</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United Kingdom</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EC4M 7AG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Fifth Cinven Fund FCP-SIF’s address is: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 rue Lou Hemmer,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L-1748</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Luxembourg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1" w:right="239" w:bottom="1440" w:gutter="0" w:footer="0" w:header="0"/>
        </w:sectPr>
      </w:pPr>
    </w:p>
    <w:bookmarkStart w:id="285" w:name="page286"/>
    <w:bookmarkEnd w:id="285"/>
    <w:p>
      <w:pPr>
        <w:ind w:left="-20" w:right="700" w:firstLine="461"/>
        <w:spacing w:after="0" w:line="289" w:lineRule="auto"/>
        <w:tabs>
          <w:tab w:leader="none" w:pos="684"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2975" cy="38100"/>
                    </a:xfrm>
                    <a:prstGeom prst="rect">
                      <a:avLst/>
                    </a:prstGeom>
                    <a:noFill/>
                  </pic:spPr>
                </pic:pic>
              </a:graphicData>
            </a:graphic>
          </wp:anchor>
        </w:drawing>
        <w:t>Business Days</w:t>
      </w:r>
      <w:r>
        <w:rPr>
          <w:rFonts w:ascii="Arial" w:cs="Arial" w:eastAsia="Arial" w:hAnsi="Arial"/>
          <w:sz w:val="17"/>
          <w:szCs w:val="17"/>
          <w:color w:val="auto"/>
        </w:rPr>
        <w:t>. If any time period for giving notice or taking action hereunder expires on a day that is not a Business Day, the time period shall automatically be extended to the immediately following Business Day.</w:t>
      </w:r>
    </w:p>
    <w:p>
      <w:pPr>
        <w:spacing w:after="0" w:line="157" w:lineRule="exact"/>
        <w:rPr>
          <w:rFonts w:ascii="Arial" w:cs="Arial" w:eastAsia="Arial" w:hAnsi="Arial"/>
          <w:sz w:val="17"/>
          <w:szCs w:val="17"/>
          <w:color w:val="auto"/>
        </w:rPr>
      </w:pPr>
    </w:p>
    <w:p>
      <w:pPr>
        <w:ind w:left="-20" w:right="40" w:firstLine="461"/>
        <w:spacing w:after="0" w:line="273" w:lineRule="auto"/>
        <w:tabs>
          <w:tab w:leader="none" w:pos="684"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corporate law of the State of Delaware shall govern all issues and questions concerning the relative rights of the Company and its shareholders. All other issues and questions concerning the construction, validity, interpretation and enforcement of this Agreement and the exhibits and schedules hereto shall be governed by, and construed in accordance with, the laws of the State of New York.</w:t>
      </w:r>
    </w:p>
    <w:p>
      <w:pPr>
        <w:spacing w:after="0" w:line="170" w:lineRule="exact"/>
        <w:rPr>
          <w:rFonts w:ascii="Arial" w:cs="Arial" w:eastAsia="Arial" w:hAnsi="Arial"/>
          <w:sz w:val="17"/>
          <w:szCs w:val="17"/>
          <w:color w:val="auto"/>
        </w:rPr>
      </w:pPr>
    </w:p>
    <w:p>
      <w:pPr>
        <w:ind w:left="-20" w:right="320" w:firstLine="461"/>
        <w:spacing w:after="0" w:line="267" w:lineRule="auto"/>
        <w:tabs>
          <w:tab w:leader="none" w:pos="645"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77" w:lineRule="exact"/>
        <w:rPr>
          <w:rFonts w:ascii="Arial" w:cs="Arial" w:eastAsia="Arial" w:hAnsi="Arial"/>
          <w:sz w:val="17"/>
          <w:szCs w:val="17"/>
          <w:color w:val="auto"/>
        </w:rPr>
      </w:pPr>
    </w:p>
    <w:p>
      <w:pPr>
        <w:ind w:left="-20" w:firstLine="461"/>
        <w:spacing w:after="0" w:line="260" w:lineRule="auto"/>
        <w:tabs>
          <w:tab w:leader="none" w:pos="645"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AND SERVICE OF PROCESS</w:t>
      </w:r>
      <w:r>
        <w:rPr>
          <w:rFonts w:ascii="Arial" w:cs="Arial" w:eastAsia="Arial" w:hAnsi="Arial"/>
          <w:sz w:val="17"/>
          <w:szCs w:val="17"/>
          <w:color w:val="auto"/>
        </w:rPr>
        <w:t>. EACH OF THE PARTIES IRREVOCABLY SUBMITS TO THE NON-EXCLUSIVE JURISDICTION OF THE FEDERAL COURTS OF THE UNITED STATES OF AMERICA LOCATED IN THE CITY AND COUNTY OF NEW YORK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p>
    <w:p>
      <w:pPr>
        <w:spacing w:after="0" w:line="182" w:lineRule="exact"/>
        <w:rPr>
          <w:rFonts w:ascii="Arial" w:cs="Arial" w:eastAsia="Arial" w:hAnsi="Arial"/>
          <w:sz w:val="17"/>
          <w:szCs w:val="17"/>
          <w:color w:val="auto"/>
        </w:rPr>
      </w:pPr>
    </w:p>
    <w:p>
      <w:pPr>
        <w:jc w:val="both"/>
        <w:ind w:left="-20" w:right="300" w:firstLine="461"/>
        <w:spacing w:after="0" w:line="267" w:lineRule="auto"/>
        <w:tabs>
          <w:tab w:leader="none" w:pos="684"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to the contrary in this Agreement, the Company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60" w:top="271" w:right="259" w:bottom="1440" w:gutter="0" w:footer="0" w:header="0"/>
        </w:sectPr>
      </w:pPr>
    </w:p>
    <w:bookmarkStart w:id="286" w:name="page287"/>
    <w:bookmarkEnd w:id="286"/>
    <w:p>
      <w:pPr>
        <w:ind w:right="3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89535</wp:posOffset>
            </wp:positionV>
            <wp:extent cx="729297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61" w:lineRule="exact"/>
        <w:rPr>
          <w:sz w:val="20"/>
          <w:szCs w:val="20"/>
          <w:color w:val="auto"/>
        </w:rPr>
      </w:pPr>
    </w:p>
    <w:p>
      <w:pPr>
        <w:ind w:right="260" w:firstLine="461"/>
        <w:spacing w:after="0" w:line="289" w:lineRule="auto"/>
        <w:tabs>
          <w:tab w:leader="none" w:pos="665"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157" w:lineRule="exact"/>
        <w:rPr>
          <w:rFonts w:ascii="Arial" w:cs="Arial" w:eastAsia="Arial" w:hAnsi="Arial"/>
          <w:sz w:val="17"/>
          <w:szCs w:val="17"/>
          <w:color w:val="auto"/>
        </w:rPr>
      </w:pPr>
    </w:p>
    <w:p>
      <w:pPr>
        <w:ind w:right="260" w:firstLine="461"/>
        <w:spacing w:after="0" w:line="289" w:lineRule="auto"/>
        <w:tabs>
          <w:tab w:leader="none" w:pos="752"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language used in this Agreement shall be deemed to be the language chosen by the parties hereto to express their mutual intent, and no rule of strict construction shall be applied against any party.</w:t>
      </w:r>
    </w:p>
    <w:p>
      <w:pPr>
        <w:spacing w:after="0" w:line="157" w:lineRule="exact"/>
        <w:rPr>
          <w:rFonts w:ascii="Arial" w:cs="Arial" w:eastAsia="Arial" w:hAnsi="Arial"/>
          <w:sz w:val="17"/>
          <w:szCs w:val="17"/>
          <w:color w:val="auto"/>
        </w:rPr>
      </w:pPr>
    </w:p>
    <w:p>
      <w:pPr>
        <w:ind w:right="80" w:firstLine="461"/>
        <w:spacing w:after="0" w:line="289" w:lineRule="auto"/>
        <w:tabs>
          <w:tab w:leader="none" w:pos="70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any one of which need not contain the signature of more than one party, but all such counterparts taken together shall constitute one and the same agreement.</w:t>
      </w:r>
    </w:p>
    <w:p>
      <w:pPr>
        <w:spacing w:after="0" w:line="157" w:lineRule="exact"/>
        <w:rPr>
          <w:rFonts w:ascii="Arial" w:cs="Arial" w:eastAsia="Arial" w:hAnsi="Arial"/>
          <w:sz w:val="17"/>
          <w:szCs w:val="17"/>
          <w:color w:val="auto"/>
        </w:rPr>
      </w:pPr>
    </w:p>
    <w:p>
      <w:pPr>
        <w:ind w:firstLine="461"/>
        <w:spacing w:after="0" w:line="280" w:lineRule="auto"/>
        <w:tabs>
          <w:tab w:leader="none" w:pos="70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68" w:lineRule="exact"/>
        <w:rPr>
          <w:rFonts w:ascii="Arial" w:cs="Arial" w:eastAsia="Arial" w:hAnsi="Arial"/>
          <w:sz w:val="16"/>
          <w:szCs w:val="16"/>
          <w:color w:val="auto"/>
        </w:rPr>
      </w:pPr>
    </w:p>
    <w:p>
      <w:pPr>
        <w:jc w:val="both"/>
        <w:ind w:right="180" w:firstLine="461"/>
        <w:spacing w:after="0" w:line="273" w:lineRule="auto"/>
        <w:tabs>
          <w:tab w:leader="none" w:pos="70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171" w:lineRule="exact"/>
        <w:rPr>
          <w:rFonts w:ascii="Arial" w:cs="Arial" w:eastAsia="Arial" w:hAnsi="Arial"/>
          <w:sz w:val="17"/>
          <w:szCs w:val="17"/>
          <w:color w:val="auto"/>
        </w:rPr>
      </w:pPr>
    </w:p>
    <w:p>
      <w:pPr>
        <w:ind w:right="520" w:firstLine="461"/>
        <w:spacing w:after="0" w:line="289" w:lineRule="auto"/>
        <w:tabs>
          <w:tab w:leader="none" w:pos="70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No Inconsistent Agreements</w:t>
      </w:r>
      <w:r>
        <w:rPr>
          <w:rFonts w:ascii="Arial" w:cs="Arial" w:eastAsia="Arial" w:hAnsi="Arial"/>
          <w:sz w:val="17"/>
          <w:szCs w:val="17"/>
          <w:color w:val="auto"/>
        </w:rPr>
        <w:t>. The Company shall not hereafter enter into any agreement with respect to its securities which is inconsistent with or violates the rights granted to the Holders in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272" w:right="25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executed this Registration Rights Agreement as of the date first written above.</w:t>
      </w:r>
    </w:p>
    <w:p>
      <w:pPr>
        <w:spacing w:after="0" w:line="255"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MEDPACE HOLDINGS, INC.</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Its:</w:t>
      </w:r>
    </w:p>
    <w:p>
      <w:pPr>
        <w:spacing w:after="0" w:line="146"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Registration Rights Agreement</w:t>
      </w:r>
      <w:r>
        <w:rPr>
          <w:rFonts w:ascii="Arial" w:cs="Arial" w:eastAsia="Arial" w:hAnsi="Arial"/>
          <w:sz w:val="17"/>
          <w:szCs w:val="17"/>
          <w:color w:val="auto"/>
        </w:rPr>
        <w:t>]</w:t>
      </w:r>
    </w:p>
    <w:p>
      <w:pPr>
        <w:sectPr>
          <w:pgSz w:w="11900" w:h="16838" w:orient="portrait"/>
          <w:cols w:equalWidth="0" w:num="1">
            <w:col w:w="9759"/>
          </w:cols>
          <w:pgMar w:left="700" w:top="272" w:right="1440" w:bottom="1440" w:gutter="0" w:footer="0" w:header="0"/>
        </w:sectPr>
      </w:pPr>
    </w:p>
    <w:bookmarkStart w:id="288" w:name="page289"/>
    <w:bookmarkEnd w:id="28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 1) LIMITED PARTNERSHIP</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FIFTH CINVEN FUND (NO. 2) LIMITED PARTNERSHIP</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Registration Rights Agreement</w:t>
      </w:r>
      <w:r>
        <w:rPr>
          <w:rFonts w:ascii="Arial" w:cs="Arial" w:eastAsia="Arial" w:hAnsi="Arial"/>
          <w:sz w:val="17"/>
          <w:szCs w:val="17"/>
          <w:color w:val="auto"/>
        </w:rPr>
        <w:t>]</w:t>
      </w:r>
    </w:p>
    <w:p>
      <w:pPr>
        <w:sectPr>
          <w:pgSz w:w="11900" w:h="16838" w:orient="portrait"/>
          <w:cols w:equalWidth="0" w:num="1">
            <w:col w:w="10160"/>
          </w:cols>
          <w:pgMar w:left="1440" w:top="265" w:right="299" w:bottom="1440" w:gutter="0" w:footer="0" w:header="0"/>
        </w:sectPr>
      </w:pPr>
    </w:p>
    <w:bookmarkStart w:id="289" w:name="page290"/>
    <w:bookmarkEnd w:id="28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 3) LIMITED PARTNERSHIP</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FIFTH CINVEN FUND (NO. 4) LIMITED PARTNERSHIP</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Registration Rights Agreement</w:t>
      </w:r>
      <w:r>
        <w:rPr>
          <w:rFonts w:ascii="Arial" w:cs="Arial" w:eastAsia="Arial" w:hAnsi="Arial"/>
          <w:sz w:val="17"/>
          <w:szCs w:val="17"/>
          <w:color w:val="auto"/>
        </w:rPr>
        <w:t>]</w:t>
      </w:r>
    </w:p>
    <w:p>
      <w:pPr>
        <w:sectPr>
          <w:pgSz w:w="11900" w:h="16838" w:orient="portrait"/>
          <w:cols w:equalWidth="0" w:num="1">
            <w:col w:w="10160"/>
          </w:cols>
          <w:pgMar w:left="1440" w:top="265" w:right="299" w:bottom="1440" w:gutter="0" w:footer="0" w:header="0"/>
        </w:sectPr>
      </w:pPr>
    </w:p>
    <w:bookmarkStart w:id="290" w:name="page291"/>
    <w:bookmarkEnd w:id="29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(NO. 5) LIMITED PARTNERSHIP</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FIFTH CINVEN FUND (NO. 6) LIMITED PARTNERSHIP</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Limited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Capital Management (V) General Partnership</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Incorporated</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FIFTH CINVEN FUND CO-INVESTMENT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PARTNERSHIP</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CIP (V) Nominees Limited</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Registration Rights Agreement</w:t>
      </w:r>
      <w:r>
        <w:rPr>
          <w:rFonts w:ascii="Arial" w:cs="Arial" w:eastAsia="Arial" w:hAnsi="Arial"/>
          <w:sz w:val="17"/>
          <w:szCs w:val="17"/>
          <w:color w:val="auto"/>
        </w:rPr>
        <w:t>]</w:t>
      </w:r>
    </w:p>
    <w:p>
      <w:pPr>
        <w:sectPr>
          <w:pgSz w:w="11900" w:h="16838" w:orient="portrait"/>
          <w:cols w:equalWidth="0" w:num="1">
            <w:col w:w="10160"/>
          </w:cols>
          <w:pgMar w:left="1440" w:top="265" w:right="299" w:bottom="1440" w:gutter="0" w:footer="0" w:header="0"/>
        </w:sectPr>
      </w:pPr>
    </w:p>
    <w:bookmarkStart w:id="291" w:name="page292"/>
    <w:bookmarkEnd w:id="29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FIFTH CINVEN FUND FCP-SIF</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Cinven Manco S.A.R.L.</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Its: Manager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Registration Rights Agreement</w:t>
      </w:r>
      <w:r>
        <w:rPr>
          <w:rFonts w:ascii="Arial" w:cs="Arial" w:eastAsia="Arial" w:hAnsi="Arial"/>
          <w:sz w:val="15"/>
          <w:szCs w:val="15"/>
          <w:color w:val="auto"/>
        </w:rPr>
        <w:t>]</w:t>
      </w:r>
    </w:p>
    <w:p>
      <w:pPr>
        <w:sectPr>
          <w:pgSz w:w="11900" w:h="16838" w:orient="portrait"/>
          <w:cols w:equalWidth="0" w:num="1">
            <w:col w:w="9019"/>
          </w:cols>
          <w:pgMar w:left="1440" w:top="265" w:right="1440" w:bottom="1440" w:gutter="0" w:footer="0" w:header="0"/>
        </w:sectPr>
      </w:pPr>
    </w:p>
    <w:bookmarkStart w:id="292" w:name="page293"/>
    <w:bookmarkEnd w:id="29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DR. AUGUST J. TROENDLE</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16510</wp:posOffset>
            </wp:positionV>
            <wp:extent cx="25114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August J. Troendle</w:t>
      </w:r>
    </w:p>
    <w:p>
      <w:pPr>
        <w:spacing w:after="0" w:line="158"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Registration Rights Agreement</w:t>
      </w:r>
      <w:r>
        <w:rPr>
          <w:rFonts w:ascii="Arial" w:cs="Arial" w:eastAsia="Arial" w:hAnsi="Arial"/>
          <w:sz w:val="17"/>
          <w:szCs w:val="17"/>
          <w:color w:val="auto"/>
        </w:rPr>
        <w:t>]</w:t>
      </w:r>
    </w:p>
    <w:p>
      <w:pPr>
        <w:sectPr>
          <w:pgSz w:w="11900" w:h="16838" w:orient="portrait"/>
          <w:cols w:equalWidth="0" w:num="1">
            <w:col w:w="9019"/>
          </w:cols>
          <w:pgMar w:left="1440" w:top="265" w:right="1440" w:bottom="1440" w:gutter="0" w:footer="0" w:header="0"/>
        </w:sectPr>
      </w:pPr>
    </w:p>
    <w:bookmarkStart w:id="293" w:name="page294"/>
    <w:bookmarkEnd w:id="293"/>
    <w:p>
      <w:pPr>
        <w:jc w:val="right"/>
        <w:ind w:right="33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OF INVESTORS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1)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2) LIMITED PARTNERSHIP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3) LIMITED PARTNERSHIP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4) LIMITED PARTNERSHIP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5) LIMITED PARTNERSHIP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(NO. 6) LIMITED PARTNERSHIP</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East Wing,</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Trafalgar Court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Les Banques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 Peter Port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Guernsey</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GY1 3PP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CO-INVESTMENT PARTNERSHIP</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Warwick Court,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Paternoster Square</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London</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United Kingdom</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EC4M 7AG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FIFTH CINVEN FUND FCP-SIF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 rue Lou Hemmer,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L-1748</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Luxembourg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DR. AUGUST J. TROENDLE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Medpace Holdings, Inc.</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5375 Medpace Way</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Cincinnati, Ohio 45227</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Attn: Dr. August Troendle</w:t>
      </w:r>
    </w:p>
    <w:p>
      <w:pPr>
        <w:sectPr>
          <w:pgSz w:w="11900" w:h="16838" w:orient="portrait"/>
          <w:cols w:equalWidth="0" w:num="1">
            <w:col w:w="10219"/>
          </w:cols>
          <w:pgMar w:left="240" w:top="266"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 JOINDER</w:t>
      </w:r>
    </w:p>
    <w:p>
      <w:pPr>
        <w:spacing w:after="0" w:line="230"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The undersigned is executing and delivering this Joinder pursuant to the Registration Rights Agreement dated as of [●], 2016 (as the same may hereafter be amended,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among Medpace Holdings,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other person named as parties therein.</w:t>
      </w:r>
    </w:p>
    <w:p>
      <w:pPr>
        <w:spacing w:after="0" w:line="17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By executing and delivering this Joinder to the Company, and upon acceptance hereof by the Company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The Company is directed to add the address below the undersigned’s signature on this Joinder to the Schedule of Investors attached to the Registration Rights Agreement.</w:t>
      </w:r>
    </w:p>
    <w:p>
      <w:pPr>
        <w:spacing w:after="0" w:line="165" w:lineRule="exact"/>
        <w:rPr>
          <w:sz w:val="20"/>
          <w:szCs w:val="20"/>
          <w:color w:val="auto"/>
        </w:rPr>
      </w:pPr>
    </w:p>
    <w:p>
      <w:pPr>
        <w:ind w:left="460"/>
        <w:spacing w:after="0"/>
        <w:tabs>
          <w:tab w:leader="none" w:pos="6180" w:val="left"/>
          <w:tab w:leader="none" w:pos="7020" w:val="left"/>
          <w:tab w:leader="none" w:pos="7440" w:val="left"/>
        </w:tabs>
        <w:rPr>
          <w:sz w:val="20"/>
          <w:szCs w:val="20"/>
          <w:color w:val="auto"/>
        </w:rPr>
      </w:pPr>
      <w:r>
        <w:rPr>
          <w:rFonts w:ascii="Arial" w:cs="Arial" w:eastAsia="Arial" w:hAnsi="Arial"/>
          <w:sz w:val="17"/>
          <w:szCs w:val="17"/>
          <w:color w:val="auto"/>
        </w:rPr>
        <w:t>Accordingly, the undersigned has executed and delivered this Joinder as of the</w:t>
        <w:tab/>
        <w:t>day of</w:t>
      </w:r>
      <w:r>
        <w:rPr>
          <w:sz w:val="20"/>
          <w:szCs w:val="20"/>
          <w:color w:val="auto"/>
        </w:rPr>
        <w:tab/>
      </w:r>
      <w:r>
        <w:rPr>
          <w:rFonts w:ascii="Arial" w:cs="Arial" w:eastAsia="Arial" w:hAnsi="Arial"/>
          <w:sz w:val="17"/>
          <w:szCs w:val="17"/>
          <w:color w:val="auto"/>
        </w:rPr>
        <w:t>,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299720</wp:posOffset>
            </wp:positionV>
            <wp:extent cx="28936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9369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-7620</wp:posOffset>
            </wp:positionV>
            <wp:extent cx="1111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-7620</wp:posOffset>
            </wp:positionV>
            <wp:extent cx="2216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21615" cy="8255"/>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-7620</wp:posOffset>
            </wp:positionV>
            <wp:extent cx="1111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282575</wp:posOffset>
            </wp:positionV>
            <wp:extent cx="289369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Print Name of Shareholder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16510</wp:posOffset>
            </wp:positionV>
            <wp:extent cx="239458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39458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166370</wp:posOffset>
            </wp:positionV>
            <wp:extent cx="289369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9369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316230</wp:posOffset>
            </wp:positionV>
            <wp:extent cx="28936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20"/>
                <w:szCs w:val="20"/>
                <w:color w:val="auto"/>
              </w:rPr>
            </w:pPr>
            <w:r>
              <w:rPr>
                <w:rFonts w:ascii="Arial" w:cs="Arial" w:eastAsia="Arial" w:hAnsi="Arial"/>
                <w:sz w:val="17"/>
                <w:szCs w:val="17"/>
                <w:color w:val="auto"/>
                <w:w w:val="93"/>
              </w:rPr>
              <w:t>Agreed and Accepted as of</w:t>
            </w:r>
          </w:p>
        </w:tc>
        <w:tc>
          <w:tcPr>
            <w:tcW w:w="52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 20</w:t>
            </w:r>
          </w:p>
        </w:tc>
      </w:tr>
      <w:tr>
        <w:trPr>
          <w:trHeight w:val="20"/>
        </w:trPr>
        <w:tc>
          <w:tcPr>
            <w:tcW w:w="1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Medpace Holdings,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16510</wp:posOffset>
            </wp:positionV>
            <wp:extent cx="24860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Its:</w:t>
      </w:r>
    </w:p>
    <w:p>
      <w:pPr>
        <w:sectPr>
          <w:pgSz w:w="11900" w:h="16838" w:orient="portrait"/>
          <w:cols w:equalWidth="0" w:num="1">
            <w:col w:w="11420"/>
          </w:cols>
          <w:pgMar w:left="240" w:top="265"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b w:val="1"/>
          <w:bCs w:val="1"/>
          <w:color w:val="auto"/>
        </w:rPr>
        <w:t>Exhibit 10.18</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Employment Agreement</w:t>
      </w:r>
    </w:p>
    <w:p>
      <w:pPr>
        <w:spacing w:after="0" w:line="230" w:lineRule="exact"/>
        <w:rPr>
          <w:sz w:val="20"/>
          <w:szCs w:val="20"/>
          <w:color w:val="auto"/>
        </w:rPr>
      </w:pPr>
    </w:p>
    <w:p>
      <w:pPr>
        <w:ind w:right="420" w:firstLine="913"/>
        <w:spacing w:after="0" w:line="297" w:lineRule="auto"/>
        <w:rPr>
          <w:sz w:val="20"/>
          <w:szCs w:val="20"/>
          <w:color w:val="auto"/>
        </w:rPr>
      </w:pPr>
      <w:r>
        <w:rPr>
          <w:rFonts w:ascii="Arial" w:cs="Arial" w:eastAsia="Arial" w:hAnsi="Arial"/>
          <w:sz w:val="16"/>
          <w:szCs w:val="16"/>
          <w:color w:val="auto"/>
        </w:rPr>
        <w:t>This Amended and Restated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entered into on July 25, 2016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made by and between Dr. August J. Troendle (the “</w:t>
      </w:r>
      <w:r>
        <w:rPr>
          <w:rFonts w:ascii="Arial" w:cs="Arial" w:eastAsia="Arial" w:hAnsi="Arial"/>
          <w:sz w:val="16"/>
          <w:szCs w:val="16"/>
          <w:u w:val="single" w:color="auto"/>
          <w:color w:val="auto"/>
        </w:rPr>
        <w:t>Executive</w:t>
      </w:r>
      <w:r>
        <w:rPr>
          <w:rFonts w:ascii="Arial" w:cs="Arial" w:eastAsia="Arial" w:hAnsi="Arial"/>
          <w:sz w:val="16"/>
          <w:szCs w:val="16"/>
          <w:color w:val="auto"/>
        </w:rPr>
        <w:t>”) and Medpace Holdings Inc., a Delaware corporation (together with any of its subsidiaries and Affiliates (as defined below) as may employ the Executive from time to time (including Medpace Inc.), and any successor(s) thereto,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420" w:firstLine="913"/>
        <w:spacing w:after="0" w:line="289" w:lineRule="auto"/>
        <w:rPr>
          <w:sz w:val="20"/>
          <w:szCs w:val="20"/>
          <w:color w:val="auto"/>
        </w:rPr>
      </w:pPr>
      <w:r>
        <w:rPr>
          <w:rFonts w:ascii="Arial" w:cs="Arial" w:eastAsia="Arial" w:hAnsi="Arial"/>
          <w:sz w:val="17"/>
          <w:szCs w:val="17"/>
          <w:color w:val="auto"/>
        </w:rPr>
        <w:t>A. Medpace, Inc., a wholly owned subsidiary of Medpace Holdings Inc., and the Executive are parties to an employment letter agreement, dated June 17, 2011 (the “</w:t>
      </w:r>
      <w:r>
        <w:rPr>
          <w:rFonts w:ascii="Arial" w:cs="Arial" w:eastAsia="Arial" w:hAnsi="Arial"/>
          <w:sz w:val="17"/>
          <w:szCs w:val="17"/>
          <w:u w:val="single" w:color="auto"/>
          <w:color w:val="auto"/>
        </w:rPr>
        <w:t>Prior Employment Agreement</w:t>
      </w:r>
      <w:r>
        <w:rPr>
          <w:rFonts w:ascii="Arial" w:cs="Arial" w:eastAsia="Arial" w:hAnsi="Arial"/>
          <w:sz w:val="17"/>
          <w:szCs w:val="17"/>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 The Company and the Executive desire to amend and restate the Prior Employment Agreement in the form hereof.</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The Company desires to assure itself of the continued services of the Executive by engaging the Executive to perform services under the terms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hereof.</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 The Executive desires to continue to provide services to the Company on the terms herein provided.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right="540" w:firstLine="913"/>
        <w:spacing w:after="0" w:line="289" w:lineRule="auto"/>
        <w:rPr>
          <w:sz w:val="20"/>
          <w:szCs w:val="20"/>
          <w:color w:val="auto"/>
        </w:rPr>
      </w:pPr>
      <w:r>
        <w:rPr>
          <w:rFonts w:ascii="Arial" w:cs="Arial" w:eastAsia="Arial" w:hAnsi="Arial"/>
          <w:sz w:val="17"/>
          <w:szCs w:val="17"/>
          <w:color w:val="auto"/>
        </w:rPr>
        <w:t>NOW, THEREFORE, in consideration of the foregoing, and for other good and valuable consideration, including the respective covenants and agreements set forth below, the receipt and sufficiency of which are hereby acknowledged, the parties hereto agree as follows:</w:t>
      </w:r>
    </w:p>
    <w:p>
      <w:pPr>
        <w:spacing w:after="0" w:line="178" w:lineRule="exact"/>
        <w:rPr>
          <w:sz w:val="20"/>
          <w:szCs w:val="20"/>
          <w:color w:val="auto"/>
        </w:rPr>
      </w:pPr>
    </w:p>
    <w:p>
      <w:pPr>
        <w:ind w:left="900" w:hanging="450"/>
        <w:spacing w:after="0"/>
        <w:tabs>
          <w:tab w:leader="none" w:pos="90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Definitions</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right="380" w:firstLine="918"/>
        <w:spacing w:after="0" w:line="322" w:lineRule="auto"/>
        <w:tabs>
          <w:tab w:leader="none" w:pos="115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134" w:lineRule="exact"/>
        <w:rPr>
          <w:rFonts w:ascii="Arial" w:cs="Arial" w:eastAsia="Arial" w:hAnsi="Arial"/>
          <w:sz w:val="16"/>
          <w:szCs w:val="16"/>
          <w:color w:val="auto"/>
        </w:rPr>
      </w:pPr>
    </w:p>
    <w:p>
      <w:pPr>
        <w:ind w:left="1160" w:hanging="242"/>
        <w:spacing w:after="0"/>
        <w:tabs>
          <w:tab w:leader="none" w:pos="11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set forth in the preamble hereto.</w:t>
      </w:r>
    </w:p>
    <w:p>
      <w:pPr>
        <w:spacing w:after="0" w:line="223" w:lineRule="exact"/>
        <w:rPr>
          <w:rFonts w:ascii="Arial" w:cs="Arial" w:eastAsia="Arial" w:hAnsi="Arial"/>
          <w:sz w:val="17"/>
          <w:szCs w:val="17"/>
          <w:color w:val="auto"/>
        </w:rPr>
      </w:pPr>
    </w:p>
    <w:p>
      <w:pPr>
        <w:ind w:left="1160" w:hanging="242"/>
        <w:spacing w:after="0"/>
        <w:tabs>
          <w:tab w:leader="none" w:pos="11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Base Salary</w:t>
      </w:r>
      <w:r>
        <w:rPr>
          <w:rFonts w:ascii="Arial" w:cs="Arial" w:eastAsia="Arial" w:hAnsi="Arial"/>
          <w:sz w:val="17"/>
          <w:szCs w:val="17"/>
          <w:color w:val="auto"/>
        </w:rPr>
        <w:t>” shall have the meaning set forth in Section 3(a).</w:t>
      </w:r>
    </w:p>
    <w:p>
      <w:pPr>
        <w:spacing w:after="0" w:line="223" w:lineRule="exact"/>
        <w:rPr>
          <w:rFonts w:ascii="Arial" w:cs="Arial" w:eastAsia="Arial" w:hAnsi="Arial"/>
          <w:sz w:val="17"/>
          <w:szCs w:val="17"/>
          <w:color w:val="auto"/>
        </w:rPr>
      </w:pPr>
    </w:p>
    <w:p>
      <w:pPr>
        <w:ind w:left="1160" w:hanging="242"/>
        <w:spacing w:after="0"/>
        <w:tabs>
          <w:tab w:leader="none" w:pos="11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Bonus</w:t>
      </w:r>
      <w:r>
        <w:rPr>
          <w:rFonts w:ascii="Arial" w:cs="Arial" w:eastAsia="Arial" w:hAnsi="Arial"/>
          <w:sz w:val="17"/>
          <w:szCs w:val="17"/>
          <w:color w:val="auto"/>
        </w:rPr>
        <w:t>” shall have the meaning set forth in Section 3(b).</w:t>
      </w:r>
    </w:p>
    <w:p>
      <w:pPr>
        <w:spacing w:after="0" w:line="223" w:lineRule="exact"/>
        <w:rPr>
          <w:rFonts w:ascii="Arial" w:cs="Arial" w:eastAsia="Arial" w:hAnsi="Arial"/>
          <w:sz w:val="17"/>
          <w:szCs w:val="17"/>
          <w:color w:val="auto"/>
        </w:rPr>
      </w:pPr>
    </w:p>
    <w:p>
      <w:pPr>
        <w:ind w:left="1160" w:hanging="242"/>
        <w:spacing w:after="0"/>
        <w:tabs>
          <w:tab w:leader="none" w:pos="11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Directors of the Company.</w:t>
      </w:r>
    </w:p>
    <w:p>
      <w:pPr>
        <w:spacing w:after="0" w:line="223" w:lineRule="exact"/>
        <w:rPr>
          <w:rFonts w:ascii="Arial" w:cs="Arial" w:eastAsia="Arial" w:hAnsi="Arial"/>
          <w:sz w:val="17"/>
          <w:szCs w:val="17"/>
          <w:color w:val="auto"/>
        </w:rPr>
      </w:pPr>
    </w:p>
    <w:p>
      <w:pPr>
        <w:ind w:left="1140" w:hanging="222"/>
        <w:spacing w:after="0"/>
        <w:tabs>
          <w:tab w:leader="none" w:pos="11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w:t>
      </w:r>
    </w:p>
    <w:p>
      <w:pPr>
        <w:sectPr>
          <w:pgSz w:w="11900" w:h="16838" w:orient="portrait"/>
          <w:cols w:equalWidth="0" w:num="1">
            <w:col w:w="11420"/>
          </w:cols>
          <w:pgMar w:left="240" w:top="121" w:right="239" w:bottom="1440" w:gutter="0" w:footer="0" w:header="0"/>
        </w:sectPr>
      </w:pPr>
    </w:p>
    <w:bookmarkStart w:id="296" w:name="page297"/>
    <w:bookmarkEnd w:id="296"/>
    <w:p>
      <w:pPr>
        <w:ind w:left="1155" w:hanging="242"/>
        <w:spacing w:after="0"/>
        <w:tabs>
          <w:tab w:leader="none" w:pos="1155" w:val="left"/>
        </w:tabs>
        <w:numPr>
          <w:ilvl w:val="1"/>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2975" cy="38100"/>
                    </a:xfrm>
                    <a:prstGeom prst="rect">
                      <a:avLst/>
                    </a:prstGeom>
                    <a:noFill/>
                  </pic:spPr>
                </pic:pic>
              </a:graphicData>
            </a:graphic>
          </wp:anchor>
        </w:drawing>
        <w:t>“</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Compensation Committee of the Board, or if no such committee exists, the Board.</w:t>
      </w:r>
    </w:p>
    <w:p>
      <w:pPr>
        <w:spacing w:after="0" w:line="223" w:lineRule="exact"/>
        <w:rPr>
          <w:rFonts w:ascii="Arial" w:cs="Arial" w:eastAsia="Arial" w:hAnsi="Arial"/>
          <w:sz w:val="17"/>
          <w:szCs w:val="17"/>
          <w:color w:val="auto"/>
        </w:rPr>
      </w:pPr>
    </w:p>
    <w:p>
      <w:pPr>
        <w:ind w:left="1155" w:hanging="242"/>
        <w:spacing w:after="0"/>
        <w:tabs>
          <w:tab w:leader="none" w:pos="115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shall have the meaning set forth in the preamble hereto.</w:t>
      </w:r>
    </w:p>
    <w:p>
      <w:pPr>
        <w:spacing w:after="0" w:line="223" w:lineRule="exact"/>
        <w:rPr>
          <w:rFonts w:ascii="Arial" w:cs="Arial" w:eastAsia="Arial" w:hAnsi="Arial"/>
          <w:sz w:val="17"/>
          <w:szCs w:val="17"/>
          <w:color w:val="auto"/>
        </w:rPr>
      </w:pPr>
    </w:p>
    <w:p>
      <w:pPr>
        <w:ind w:left="1115" w:hanging="202"/>
        <w:spacing w:after="0"/>
        <w:tabs>
          <w:tab w:leader="none" w:pos="111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Group</w:t>
      </w:r>
      <w:r>
        <w:rPr>
          <w:rFonts w:ascii="Arial" w:cs="Arial" w:eastAsia="Arial" w:hAnsi="Arial"/>
          <w:sz w:val="17"/>
          <w:szCs w:val="17"/>
          <w:color w:val="auto"/>
        </w:rPr>
        <w:t>” shall mean the Company and its subsidiaries.</w:t>
      </w:r>
    </w:p>
    <w:p>
      <w:pPr>
        <w:spacing w:after="0" w:line="223" w:lineRule="exact"/>
        <w:rPr>
          <w:rFonts w:ascii="Arial" w:cs="Arial" w:eastAsia="Arial" w:hAnsi="Arial"/>
          <w:sz w:val="17"/>
          <w:szCs w:val="17"/>
          <w:color w:val="auto"/>
        </w:rPr>
      </w:pPr>
    </w:p>
    <w:p>
      <w:pPr>
        <w:ind w:left="1115" w:hanging="202"/>
        <w:spacing w:after="0"/>
        <w:tabs>
          <w:tab w:leader="none" w:pos="111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Group Member</w:t>
      </w:r>
      <w:r>
        <w:rPr>
          <w:rFonts w:ascii="Arial" w:cs="Arial" w:eastAsia="Arial" w:hAnsi="Arial"/>
          <w:sz w:val="17"/>
          <w:szCs w:val="17"/>
          <w:color w:val="auto"/>
        </w:rPr>
        <w:t>” shall mean each entity of the Company Group.</w:t>
      </w:r>
    </w:p>
    <w:p>
      <w:pPr>
        <w:spacing w:after="0" w:line="223" w:lineRule="exact"/>
        <w:rPr>
          <w:rFonts w:ascii="Arial" w:cs="Arial" w:eastAsia="Arial" w:hAnsi="Arial"/>
          <w:sz w:val="17"/>
          <w:szCs w:val="17"/>
          <w:color w:val="auto"/>
        </w:rPr>
      </w:pPr>
    </w:p>
    <w:p>
      <w:pPr>
        <w:ind w:left="1155" w:hanging="242"/>
        <w:spacing w:after="0"/>
        <w:tabs>
          <w:tab w:leader="none" w:pos="1155" w:val="left"/>
        </w:tabs>
        <w:numPr>
          <w:ilvl w:val="1"/>
          <w:numId w:val="16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Date of Termination</w:t>
      </w:r>
      <w:r>
        <w:rPr>
          <w:rFonts w:ascii="Arial" w:cs="Arial" w:eastAsia="Arial" w:hAnsi="Arial"/>
          <w:sz w:val="15"/>
          <w:szCs w:val="15"/>
          <w:color w:val="auto"/>
        </w:rPr>
        <w:t>” shall mean (i) if the Executive’s employment is terminated due to the Executive’s death, the date of the Executive’s death;</w:t>
      </w:r>
    </w:p>
    <w:p>
      <w:pPr>
        <w:spacing w:after="0" w:line="49" w:lineRule="exact"/>
        <w:rPr>
          <w:rFonts w:ascii="Arial" w:cs="Arial" w:eastAsia="Arial" w:hAnsi="Arial"/>
          <w:sz w:val="15"/>
          <w:szCs w:val="15"/>
          <w:color w:val="auto"/>
        </w:rPr>
      </w:pPr>
    </w:p>
    <w:p>
      <w:pPr>
        <w:ind w:left="-5" w:right="180" w:firstLine="5"/>
        <w:spacing w:after="0" w:line="265" w:lineRule="auto"/>
        <w:tabs>
          <w:tab w:leader="none" w:pos="25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the Executive’s employment is terminated due to the Executive’s Disability, the date determined pursuant to Section 4(a)(ii); (iii) if the Executive’s employment is terminated pursuant to Section 4(a)(iii)-(iv), the date indicated in the Notice of Termination; or (iv) if the Executive’s employment is terminated pursuant to Section 4(a)(v)-(vi), the date immediately following the Expiration Date.</w:t>
      </w:r>
    </w:p>
    <w:p>
      <w:pPr>
        <w:spacing w:after="0" w:line="178" w:lineRule="exact"/>
        <w:rPr>
          <w:rFonts w:ascii="Arial" w:cs="Arial" w:eastAsia="Arial" w:hAnsi="Arial"/>
          <w:sz w:val="17"/>
          <w:szCs w:val="17"/>
          <w:color w:val="auto"/>
        </w:rPr>
      </w:pPr>
    </w:p>
    <w:p>
      <w:pPr>
        <w:ind w:left="-5" w:firstLine="918"/>
        <w:spacing w:after="0" w:line="322" w:lineRule="auto"/>
        <w:tabs>
          <w:tab w:leader="none" w:pos="111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the Executive’s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34" w:lineRule="exact"/>
        <w:rPr>
          <w:rFonts w:ascii="Arial" w:cs="Arial" w:eastAsia="Arial" w:hAnsi="Arial"/>
          <w:sz w:val="16"/>
          <w:szCs w:val="16"/>
          <w:color w:val="auto"/>
        </w:rPr>
      </w:pPr>
    </w:p>
    <w:p>
      <w:pPr>
        <w:ind w:left="1215" w:hanging="302"/>
        <w:spacing w:after="0"/>
        <w:tabs>
          <w:tab w:leader="none" w:pos="121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have the meaning set forth in the preamble hereto.</w:t>
      </w:r>
    </w:p>
    <w:p>
      <w:pPr>
        <w:spacing w:after="0" w:line="223" w:lineRule="exact"/>
        <w:rPr>
          <w:rFonts w:ascii="Arial" w:cs="Arial" w:eastAsia="Arial" w:hAnsi="Arial"/>
          <w:sz w:val="17"/>
          <w:szCs w:val="17"/>
          <w:color w:val="auto"/>
        </w:rPr>
      </w:pPr>
    </w:p>
    <w:p>
      <w:pPr>
        <w:ind w:left="1155" w:hanging="242"/>
        <w:spacing w:after="0"/>
        <w:tabs>
          <w:tab w:leader="none" w:pos="115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w:t>
      </w:r>
      <w:r>
        <w:rPr>
          <w:rFonts w:ascii="Arial" w:cs="Arial" w:eastAsia="Arial" w:hAnsi="Arial"/>
          <w:sz w:val="17"/>
          <w:szCs w:val="17"/>
          <w:color w:val="auto"/>
        </w:rPr>
        <w:t>” shall have the meaning set forth in the preamble hereto.</w:t>
      </w:r>
    </w:p>
    <w:p>
      <w:pPr>
        <w:spacing w:after="0" w:line="223" w:lineRule="exact"/>
        <w:rPr>
          <w:rFonts w:ascii="Arial" w:cs="Arial" w:eastAsia="Arial" w:hAnsi="Arial"/>
          <w:sz w:val="17"/>
          <w:szCs w:val="17"/>
          <w:color w:val="auto"/>
        </w:rPr>
      </w:pPr>
    </w:p>
    <w:p>
      <w:pPr>
        <w:ind w:left="1155" w:hanging="242"/>
        <w:spacing w:after="0"/>
        <w:tabs>
          <w:tab w:leader="none" w:pos="115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Expiration Date</w:t>
      </w:r>
      <w:r>
        <w:rPr>
          <w:rFonts w:ascii="Arial" w:cs="Arial" w:eastAsia="Arial" w:hAnsi="Arial"/>
          <w:sz w:val="17"/>
          <w:szCs w:val="17"/>
          <w:color w:val="auto"/>
        </w:rPr>
        <w:t>” shall have the meaning set forth in Section 2(b).</w:t>
      </w:r>
    </w:p>
    <w:p>
      <w:pPr>
        <w:spacing w:after="0" w:line="223" w:lineRule="exact"/>
        <w:rPr>
          <w:rFonts w:ascii="Arial" w:cs="Arial" w:eastAsia="Arial" w:hAnsi="Arial"/>
          <w:sz w:val="17"/>
          <w:szCs w:val="17"/>
          <w:color w:val="auto"/>
        </w:rPr>
      </w:pPr>
    </w:p>
    <w:p>
      <w:pPr>
        <w:ind w:left="1155" w:hanging="242"/>
        <w:spacing w:after="0"/>
        <w:tabs>
          <w:tab w:leader="none" w:pos="115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Term</w:t>
      </w:r>
      <w:r>
        <w:rPr>
          <w:rFonts w:ascii="Arial" w:cs="Arial" w:eastAsia="Arial" w:hAnsi="Arial"/>
          <w:sz w:val="17"/>
          <w:szCs w:val="17"/>
          <w:color w:val="auto"/>
        </w:rPr>
        <w:t>” shall have the meaning set forth in Section 2(b).</w:t>
      </w:r>
    </w:p>
    <w:p>
      <w:pPr>
        <w:spacing w:after="0" w:line="223" w:lineRule="exact"/>
        <w:rPr>
          <w:rFonts w:ascii="Arial" w:cs="Arial" w:eastAsia="Arial" w:hAnsi="Arial"/>
          <w:sz w:val="17"/>
          <w:szCs w:val="17"/>
          <w:color w:val="auto"/>
        </w:rPr>
      </w:pPr>
    </w:p>
    <w:p>
      <w:pPr>
        <w:ind w:left="1155" w:hanging="242"/>
        <w:spacing w:after="0"/>
        <w:tabs>
          <w:tab w:leader="none" w:pos="115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w:t>
      </w:r>
      <w:r>
        <w:rPr>
          <w:rFonts w:ascii="Arial" w:cs="Arial" w:eastAsia="Arial" w:hAnsi="Arial"/>
          <w:sz w:val="17"/>
          <w:szCs w:val="17"/>
          <w:color w:val="auto"/>
        </w:rPr>
        <w:t>” shall have the meaning set forth in Section 2(b).</w:t>
      </w:r>
    </w:p>
    <w:p>
      <w:pPr>
        <w:spacing w:after="0" w:line="223" w:lineRule="exact"/>
        <w:rPr>
          <w:rFonts w:ascii="Arial" w:cs="Arial" w:eastAsia="Arial" w:hAnsi="Arial"/>
          <w:sz w:val="17"/>
          <w:szCs w:val="17"/>
          <w:color w:val="auto"/>
        </w:rPr>
      </w:pPr>
    </w:p>
    <w:p>
      <w:pPr>
        <w:ind w:left="1135" w:hanging="222"/>
        <w:spacing w:after="0"/>
        <w:tabs>
          <w:tab w:leader="none" w:pos="113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shall have the meaning set forth in Section 4(b).</w:t>
      </w:r>
    </w:p>
    <w:p>
      <w:pPr>
        <w:spacing w:after="0" w:line="223" w:lineRule="exact"/>
        <w:rPr>
          <w:rFonts w:ascii="Arial" w:cs="Arial" w:eastAsia="Arial" w:hAnsi="Arial"/>
          <w:sz w:val="17"/>
          <w:szCs w:val="17"/>
          <w:color w:val="auto"/>
        </w:rPr>
      </w:pPr>
    </w:p>
    <w:p>
      <w:pPr>
        <w:ind w:left="-5" w:right="120" w:firstLine="918"/>
        <w:spacing w:after="0" w:line="297" w:lineRule="auto"/>
        <w:tabs>
          <w:tab w:leader="none" w:pos="1136"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55" w:lineRule="exact"/>
        <w:rPr>
          <w:rFonts w:ascii="Arial" w:cs="Arial" w:eastAsia="Arial" w:hAnsi="Arial"/>
          <w:sz w:val="16"/>
          <w:szCs w:val="16"/>
          <w:color w:val="auto"/>
        </w:rPr>
      </w:pPr>
    </w:p>
    <w:p>
      <w:pPr>
        <w:ind w:left="1115" w:hanging="202"/>
        <w:spacing w:after="0"/>
        <w:tabs>
          <w:tab w:leader="none" w:pos="111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Employment Agreement</w:t>
      </w:r>
      <w:r>
        <w:rPr>
          <w:rFonts w:ascii="Arial" w:cs="Arial" w:eastAsia="Arial" w:hAnsi="Arial"/>
          <w:sz w:val="17"/>
          <w:szCs w:val="17"/>
          <w:color w:val="auto"/>
        </w:rPr>
        <w:t>” shall have the meaning set forth in the recitals hereto.</w:t>
      </w:r>
    </w:p>
    <w:p>
      <w:pPr>
        <w:spacing w:after="0" w:line="223" w:lineRule="exact"/>
        <w:rPr>
          <w:rFonts w:ascii="Arial" w:cs="Arial" w:eastAsia="Arial" w:hAnsi="Arial"/>
          <w:sz w:val="17"/>
          <w:szCs w:val="17"/>
          <w:color w:val="auto"/>
        </w:rPr>
      </w:pPr>
    </w:p>
    <w:p>
      <w:pPr>
        <w:ind w:left="-5" w:right="580" w:firstLine="918"/>
        <w:spacing w:after="0" w:line="289" w:lineRule="auto"/>
        <w:tabs>
          <w:tab w:leader="none" w:pos="1156"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57" w:lineRule="exact"/>
        <w:rPr>
          <w:rFonts w:ascii="Arial" w:cs="Arial" w:eastAsia="Arial" w:hAnsi="Arial"/>
          <w:sz w:val="17"/>
          <w:szCs w:val="17"/>
          <w:color w:val="auto"/>
        </w:rPr>
      </w:pPr>
    </w:p>
    <w:p>
      <w:pPr>
        <w:ind w:left="1155" w:hanging="242"/>
        <w:spacing w:after="0"/>
        <w:tabs>
          <w:tab w:leader="none" w:pos="115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shall have the meaning set forth in Section 2(b).</w:t>
      </w:r>
    </w:p>
    <w:p>
      <w:pPr>
        <w:spacing w:after="0" w:line="158" w:lineRule="exact"/>
        <w:rPr>
          <w:sz w:val="20"/>
          <w:szCs w:val="20"/>
          <w:color w:val="auto"/>
        </w:rPr>
      </w:pPr>
    </w:p>
    <w:p>
      <w:pPr>
        <w:jc w:val="center"/>
        <w:ind w:right="-13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95"/>
          </w:cols>
          <w:pgMar w:left="245" w:top="271" w:right="359" w:bottom="1440" w:gutter="0" w:footer="0" w:header="0"/>
        </w:sectPr>
      </w:pPr>
    </w:p>
    <w:bookmarkStart w:id="297" w:name="page298"/>
    <w:bookmarkEnd w:id="297"/>
    <w:p>
      <w:pPr>
        <w:ind w:right="40" w:firstLine="918"/>
        <w:spacing w:after="0" w:line="295" w:lineRule="auto"/>
        <w:tabs>
          <w:tab w:leader="none" w:pos="1199" w:val="left"/>
        </w:tabs>
        <w:numPr>
          <w:ilvl w:val="2"/>
          <w:numId w:val="1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5"/>
          <w:szCs w:val="15"/>
          <w:u w:val="single" w:color="auto"/>
          <w:color w:val="auto"/>
        </w:rPr>
        <w:t>Trade Secrets and Confidential Information</w:t>
      </w:r>
      <w:r>
        <w:rPr>
          <w:rFonts w:ascii="Arial" w:cs="Arial" w:eastAsia="Arial" w:hAnsi="Arial"/>
          <w:sz w:val="15"/>
          <w:szCs w:val="15"/>
          <w:color w:val="auto"/>
        </w:rPr>
        <w:t>” means information that is not generally known to the public and that is used, developed or obtained by any Company Group Member in connection with its business, including, but not limited to, information, observations and data obtained by the Executive while employed by or providing services to any Company Group Member or any predecessors thereof concerning (A) the business or affairs of the Company Group Members (or such predecessors), (B) products or services, (C) fees, costs and pricing structures, (D) designs, (E) analyses, (F) drawings, photographs and reports,</w:t>
      </w:r>
    </w:p>
    <w:p>
      <w:pPr>
        <w:spacing w:after="0" w:line="2" w:lineRule="exact"/>
        <w:rPr>
          <w:rFonts w:ascii="Arial" w:cs="Arial" w:eastAsia="Arial" w:hAnsi="Arial"/>
          <w:sz w:val="15"/>
          <w:szCs w:val="15"/>
          <w:color w:val="auto"/>
        </w:rPr>
      </w:pPr>
    </w:p>
    <w:p>
      <w:pPr>
        <w:ind w:firstLine="5"/>
        <w:spacing w:after="0" w:line="278" w:lineRule="auto"/>
        <w:tabs>
          <w:tab w:leader="none" w:pos="28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computer software, including operating systems, applications and program listings, (H) flow charts, manuals and documentation, (I) databases, (J) accounting and business methods, (K) inventions, devices, new developments, methods and processes, whether patentable or unpatentable and whether or not reduced to practice, (L) customers and clients and customer or client lists, (M) other copyrightable works, (N) all production methods, processes, technology and trade secrets, and (O) all similar and related information in whatever form. Trade Secrets and Confidential Information will not include any information that has been published (other than a disclosure by the Executive in breach of this Agreement) in a form generally available to the public prior to the date the Executive proposes to disclose or use such information. Trade Secrets and Confidential Information will not be deemed to have been published merely because individual portions of the information have been separately published, but only if all material features comprising such information have been published in combination.</w:t>
      </w:r>
    </w:p>
    <w:p>
      <w:pPr>
        <w:spacing w:after="0" w:line="172" w:lineRule="exact"/>
        <w:rPr>
          <w:rFonts w:ascii="Arial" w:cs="Arial" w:eastAsia="Arial" w:hAnsi="Arial"/>
          <w:sz w:val="16"/>
          <w:szCs w:val="16"/>
          <w:color w:val="auto"/>
        </w:rPr>
      </w:pPr>
    </w:p>
    <w:p>
      <w:pPr>
        <w:ind w:right="40" w:firstLine="918"/>
        <w:spacing w:after="0" w:line="280" w:lineRule="auto"/>
        <w:tabs>
          <w:tab w:leader="none" w:pos="116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 Product</w:t>
      </w:r>
      <w:r>
        <w:rPr>
          <w:rFonts w:ascii="Arial" w:cs="Arial" w:eastAsia="Arial" w:hAnsi="Arial"/>
          <w:sz w:val="16"/>
          <w:szCs w:val="16"/>
          <w:color w:val="auto"/>
        </w:rPr>
        <w:t>” means all inventions, innovations, improvements, technical information, systems, software developments, methods, designs, analyses, drawings, reports, service marks, trademarks, trade names, logos and all similar or related information (whether patentable or unpatentable, copyrightable, registerable as a trademark, reduced to writing, or otherwise) which relates to the Company Group’s actual or anticipated business, research and development or existing or future products or services and which are conceived, developed or made by the Executive (whether or not during usual business hours, whether or not by the use of the facilities of the Company Group, and whether or not alone or in conjunction with any other Person) while employed by, or providing services to, any Company Group Member (including those conceived, developed or made prior to the date of the Executive’s employment by or services with any Company Group Member) together with all patent applications, letters patent, trademark, trade name and service mark applications or registrations, copyrights and reissues thereof that may be granted for or upon any of the foregoing.</w:t>
      </w:r>
    </w:p>
    <w:p>
      <w:pPr>
        <w:spacing w:after="0" w:line="188" w:lineRule="exact"/>
        <w:rPr>
          <w:rFonts w:ascii="Arial" w:cs="Arial" w:eastAsia="Arial" w:hAnsi="Arial"/>
          <w:sz w:val="16"/>
          <w:szCs w:val="16"/>
          <w:color w:val="auto"/>
        </w:rPr>
      </w:pPr>
    </w:p>
    <w:p>
      <w:pPr>
        <w:ind w:left="900" w:hanging="450"/>
        <w:spacing w:after="0"/>
        <w:tabs>
          <w:tab w:leader="none" w:pos="900" w:val="left"/>
        </w:tabs>
        <w:numPr>
          <w:ilvl w:val="1"/>
          <w:numId w:val="1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right="320" w:firstLine="918"/>
        <w:spacing w:after="0" w:line="289" w:lineRule="auto"/>
        <w:tabs>
          <w:tab w:leader="none" w:pos="1150" w:val="left"/>
        </w:tabs>
        <w:numPr>
          <w:ilvl w:val="2"/>
          <w:numId w:val="165"/>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The Company shall employ the Executive and the Executive shall remain in the employ of the Company, for the period set forth in Section 2(b), in the position set forth in Section 2(c), and upon the other terms and conditions herein provided.</w:t>
      </w:r>
    </w:p>
    <w:p>
      <w:pPr>
        <w:spacing w:after="0" w:line="157" w:lineRule="exact"/>
        <w:rPr>
          <w:rFonts w:ascii="Arial" w:cs="Arial" w:eastAsia="Arial" w:hAnsi="Arial"/>
          <w:sz w:val="17"/>
          <w:szCs w:val="17"/>
          <w:color w:val="auto"/>
        </w:rPr>
      </w:pPr>
    </w:p>
    <w:p>
      <w:pPr>
        <w:ind w:right="60" w:firstLine="918"/>
        <w:spacing w:after="0" w:line="285" w:lineRule="auto"/>
        <w:tabs>
          <w:tab w:leader="none" w:pos="1160" w:val="left"/>
        </w:tabs>
        <w:numPr>
          <w:ilvl w:val="2"/>
          <w:numId w:val="165"/>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initial term of employment under this Agreement (the “</w:t>
      </w:r>
      <w:r>
        <w:rPr>
          <w:rFonts w:ascii="Arial" w:cs="Arial" w:eastAsia="Arial" w:hAnsi="Arial"/>
          <w:sz w:val="16"/>
          <w:szCs w:val="16"/>
          <w:u w:val="single" w:color="auto"/>
          <w:color w:val="auto"/>
        </w:rPr>
        <w:t>Initial Term</w:t>
      </w:r>
      <w:r>
        <w:rPr>
          <w:rFonts w:ascii="Arial" w:cs="Arial" w:eastAsia="Arial" w:hAnsi="Arial"/>
          <w:sz w:val="16"/>
          <w:szCs w:val="16"/>
          <w:color w:val="auto"/>
        </w:rPr>
        <w:t>”) shall be for the period beginning on the Effective Date and ending on the third anniversary thereof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unless earlier terminated as provided in Section 4. On the last day of the Initial Term and on each subsequent one-year anniversary thereafter, this Agreement shall automatically be extended for successive one year periods (each, an “</w:t>
      </w:r>
      <w:r>
        <w:rPr>
          <w:rFonts w:ascii="Arial" w:cs="Arial" w:eastAsia="Arial" w:hAnsi="Arial"/>
          <w:sz w:val="16"/>
          <w:szCs w:val="16"/>
          <w:u w:val="single" w:color="auto"/>
          <w:color w:val="auto"/>
        </w:rPr>
        <w:t>Extension Term</w:t>
      </w:r>
      <w:r>
        <w:rPr>
          <w:rFonts w:ascii="Arial" w:cs="Arial" w:eastAsia="Arial" w:hAnsi="Arial"/>
          <w:sz w:val="16"/>
          <w:szCs w:val="16"/>
          <w:color w:val="auto"/>
        </w:rPr>
        <w:t>” and, collectively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and the last day of such Extension Term shall become the Expiration Date, unless either party hereto gives notice of non-extension to the other no later than 90 days prior to the expiration of the then-applicable Term.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298" w:name="page299"/>
    <w:bookmarkEnd w:id="298"/>
    <w:p>
      <w:pPr>
        <w:ind w:left="-5" w:right="40" w:firstLine="918"/>
        <w:spacing w:after="0" w:line="293" w:lineRule="auto"/>
        <w:tabs>
          <w:tab w:leader="none" w:pos="1146" w:val="left"/>
        </w:tabs>
        <w:numPr>
          <w:ilvl w:val="2"/>
          <w:numId w:val="16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Position and Duties</w:t>
      </w:r>
      <w:r>
        <w:rPr>
          <w:rFonts w:ascii="Arial" w:cs="Arial" w:eastAsia="Arial" w:hAnsi="Arial"/>
          <w:sz w:val="15"/>
          <w:szCs w:val="15"/>
          <w:color w:val="auto"/>
        </w:rPr>
        <w:t>. During the Term, the Executive: (i) shall serve as Chief Executive Officer of the Company, with responsibilities, duties and authority customary for such position, subject to direction by the Board; (ii) shall report directly to the Board; (iii) shall devote substantially all the Executive’s working time and efforts to the business and affairs of the Company and its subsidiaries; and (iv) agrees to observe and comply with the Company’s rules and policies as adopted by the Company from time to time. In addition, as of the Effective Date, the Company shall cause the Executive to be appointed to the Board and, during the Term, the Board shall nominate the Executive for re-election to the Board. The parties acknowledge and agree that Executive’s duties, responsibilities and authority may include services for one or more subsidiaries or Affiliates of the Company. Notwithstanding anything contained herein: (1) the Company acknowledges that the Executive now serves on the board of directors of certain other businesses and may hereafter serve on the board of directors of such businesses and other business and that the Executive may do so in his discretion and may retain any income, fees or other remuneration received therefor and</w:t>
      </w:r>
    </w:p>
    <w:p>
      <w:pPr>
        <w:spacing w:after="0" w:line="3" w:lineRule="exact"/>
        <w:rPr>
          <w:rFonts w:ascii="Arial" w:cs="Arial" w:eastAsia="Arial" w:hAnsi="Arial"/>
          <w:sz w:val="15"/>
          <w:szCs w:val="15"/>
          <w:color w:val="auto"/>
        </w:rPr>
      </w:pPr>
    </w:p>
    <w:p>
      <w:pPr>
        <w:ind w:left="-5" w:right="140" w:firstLine="5"/>
        <w:spacing w:after="0" w:line="265" w:lineRule="auto"/>
        <w:tabs>
          <w:tab w:leader="none" w:pos="24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acknowledges that the Executive owns and/or controls certain real estate and other investments and that the Executive may continue to exercise such business activities with respect thereto as the Executive deems necessary and appropriate and may retain any income, fees or other remuneration receive therefrom.</w:t>
      </w:r>
    </w:p>
    <w:p>
      <w:pPr>
        <w:spacing w:after="0" w:line="198" w:lineRule="exact"/>
        <w:rPr>
          <w:rFonts w:ascii="Arial" w:cs="Arial" w:eastAsia="Arial" w:hAnsi="Arial"/>
          <w:sz w:val="17"/>
          <w:szCs w:val="17"/>
          <w:color w:val="auto"/>
        </w:rPr>
      </w:pPr>
    </w:p>
    <w:p>
      <w:pPr>
        <w:ind w:left="895" w:hanging="450"/>
        <w:spacing w:after="0"/>
        <w:tabs>
          <w:tab w:leader="none" w:pos="895" w:val="left"/>
        </w:tabs>
        <w:numPr>
          <w:ilvl w:val="1"/>
          <w:numId w:val="1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and Related Matters</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left="-5" w:firstLine="918"/>
        <w:spacing w:after="0" w:line="289" w:lineRule="auto"/>
        <w:tabs>
          <w:tab w:leader="none" w:pos="1146" w:val="left"/>
        </w:tabs>
        <w:numPr>
          <w:ilvl w:val="2"/>
          <w:numId w:val="167"/>
        </w:numPr>
        <w:rPr>
          <w:rFonts w:ascii="Arial" w:cs="Arial" w:eastAsia="Arial" w:hAnsi="Arial"/>
          <w:sz w:val="17"/>
          <w:szCs w:val="17"/>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Term, the Executive shall receive a base salary at a rate of $410,000 per annum, which shall be paid in accordance with the customary payroll practices of the Company, subject to review by the Board in its sole discretion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5" w:right="20" w:firstLine="918"/>
        <w:spacing w:after="0" w:line="262" w:lineRule="auto"/>
        <w:tabs>
          <w:tab w:leader="none" w:pos="1155" w:val="left"/>
        </w:tabs>
        <w:numPr>
          <w:ilvl w:val="2"/>
          <w:numId w:val="167"/>
        </w:numPr>
        <w:rPr>
          <w:rFonts w:ascii="Arial" w:cs="Arial" w:eastAsia="Arial" w:hAnsi="Arial"/>
          <w:sz w:val="17"/>
          <w:szCs w:val="17"/>
          <w:color w:val="auto"/>
        </w:rPr>
      </w:pPr>
      <w:r>
        <w:rPr>
          <w:rFonts w:ascii="Arial" w:cs="Arial" w:eastAsia="Arial" w:hAnsi="Arial"/>
          <w:sz w:val="17"/>
          <w:szCs w:val="17"/>
          <w:u w:val="single" w:color="auto"/>
          <w:color w:val="auto"/>
        </w:rPr>
        <w:t>Annual Bonuses</w:t>
      </w:r>
      <w:r>
        <w:rPr>
          <w:rFonts w:ascii="Arial" w:cs="Arial" w:eastAsia="Arial" w:hAnsi="Arial"/>
          <w:sz w:val="17"/>
          <w:szCs w:val="17"/>
          <w:color w:val="auto"/>
        </w:rPr>
        <w:t>. With respect to each fiscal year that ends during the Term, commencing with fiscal year 2016, the Executive shall be eligible to receive an annual performance-based cash bonus (the “</w:t>
      </w:r>
      <w:r>
        <w:rPr>
          <w:rFonts w:ascii="Arial" w:cs="Arial" w:eastAsia="Arial" w:hAnsi="Arial"/>
          <w:sz w:val="17"/>
          <w:szCs w:val="17"/>
          <w:u w:val="single" w:color="auto"/>
          <w:color w:val="auto"/>
        </w:rPr>
        <w:t>Annual Bonus</w:t>
      </w:r>
      <w:r>
        <w:rPr>
          <w:rFonts w:ascii="Arial" w:cs="Arial" w:eastAsia="Arial" w:hAnsi="Arial"/>
          <w:sz w:val="17"/>
          <w:szCs w:val="17"/>
          <w:color w:val="auto"/>
        </w:rPr>
        <w:t>”) which shall be payable based upon the attainment of individual and Company performance goals (which may include corporate, business unit or division, financial, strategic or other objectives) established by the Board or the Committee in consultation with the Executive. Each such Annual Bonus, if any, shall be payable on such date as is determined by the Board in its sole discretion, but in any event on or prior to March 15 of the fiscal year immediately following the fiscal year with respect to which such Annual Bonus relates. Notwithstanding any other provision of this Section 3(b), no bonus shall be payable with respect to any fiscal year unless the Executive remains continuously employed with the Company during the period beginning on the Effective Date and ending on the applicable bonus payment date.</w:t>
      </w:r>
    </w:p>
    <w:p>
      <w:pPr>
        <w:spacing w:after="0" w:line="182" w:lineRule="exact"/>
        <w:rPr>
          <w:rFonts w:ascii="Arial" w:cs="Arial" w:eastAsia="Arial" w:hAnsi="Arial"/>
          <w:sz w:val="17"/>
          <w:szCs w:val="17"/>
          <w:color w:val="auto"/>
        </w:rPr>
      </w:pPr>
    </w:p>
    <w:p>
      <w:pPr>
        <w:ind w:left="-5" w:right="60" w:firstLine="918"/>
        <w:spacing w:after="0" w:line="289" w:lineRule="auto"/>
        <w:tabs>
          <w:tab w:leader="none" w:pos="1146" w:val="left"/>
        </w:tabs>
        <w:numPr>
          <w:ilvl w:val="2"/>
          <w:numId w:val="167"/>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the Term, the Executive shall be eligible to participate in employee benefit plans, programs and arrangements of the Company in accordance with their terms, as in effect from time to time, and as are generally provided by the Company to its executive officers.</w:t>
      </w:r>
    </w:p>
    <w:p>
      <w:pPr>
        <w:spacing w:after="0" w:line="9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95"/>
          </w:cols>
          <w:pgMar w:left="245" w:top="272" w:right="259" w:bottom="1440" w:gutter="0" w:footer="0" w:header="0"/>
        </w:sectPr>
      </w:pPr>
    </w:p>
    <w:bookmarkStart w:id="299" w:name="page300"/>
    <w:bookmarkEnd w:id="299"/>
    <w:p>
      <w:pPr>
        <w:jc w:val="both"/>
        <w:ind w:right="140" w:firstLine="918"/>
        <w:spacing w:after="0" w:line="273" w:lineRule="auto"/>
        <w:tabs>
          <w:tab w:leader="none" w:pos="1160"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Business Expenses</w:t>
      </w:r>
      <w:r>
        <w:rPr>
          <w:rFonts w:ascii="Arial" w:cs="Arial" w:eastAsia="Arial" w:hAnsi="Arial"/>
          <w:sz w:val="17"/>
          <w:szCs w:val="17"/>
          <w:color w:val="auto"/>
        </w:rPr>
        <w:t>. During the Term, the Company shall reimburse the Executive for all reasonable, documented, out-of-pocket travel and other business expenses incurred by the Executive in the performance of the Executive’s duties to the Company in accordance with the Company’s applicable expense reimbursement policies and procedures.</w:t>
      </w:r>
    </w:p>
    <w:p>
      <w:pPr>
        <w:spacing w:after="0" w:line="165" w:lineRule="exact"/>
        <w:rPr>
          <w:rFonts w:ascii="Arial" w:cs="Arial" w:eastAsia="Arial" w:hAnsi="Arial"/>
          <w:sz w:val="17"/>
          <w:szCs w:val="17"/>
          <w:color w:val="auto"/>
        </w:rPr>
      </w:pPr>
    </w:p>
    <w:p>
      <w:pPr>
        <w:ind w:right="120" w:firstLine="461"/>
        <w:spacing w:after="0" w:line="296" w:lineRule="auto"/>
        <w:tabs>
          <w:tab w:leader="none" w:pos="631"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the Executive’s employment hereunder may be terminated by the Company or the Executive, as applicable, without any</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of this Agreement only under the following circumstances:</w:t>
      </w:r>
    </w:p>
    <w:p>
      <w:pPr>
        <w:spacing w:after="0" w:line="152" w:lineRule="exact"/>
        <w:rPr>
          <w:rFonts w:ascii="Arial" w:cs="Arial" w:eastAsia="Arial" w:hAnsi="Arial"/>
          <w:sz w:val="17"/>
          <w:szCs w:val="17"/>
          <w:b w:val="1"/>
          <w:bCs w:val="1"/>
          <w:color w:val="auto"/>
        </w:rPr>
      </w:pPr>
    </w:p>
    <w:p>
      <w:pPr>
        <w:ind w:left="1160" w:hanging="242"/>
        <w:spacing w:after="0"/>
        <w:tabs>
          <w:tab w:leader="none" w:pos="1160"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Circumstances</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left="1700" w:hanging="211"/>
        <w:spacing w:after="0"/>
        <w:tabs>
          <w:tab w:leader="none" w:pos="1700" w:val="left"/>
        </w:tabs>
        <w:numPr>
          <w:ilvl w:val="2"/>
          <w:numId w:val="169"/>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shall terminate upon the Executive’s death.</w:t>
      </w:r>
    </w:p>
    <w:p>
      <w:pPr>
        <w:spacing w:after="0" w:line="223" w:lineRule="exact"/>
        <w:rPr>
          <w:rFonts w:ascii="Arial" w:cs="Arial" w:eastAsia="Arial" w:hAnsi="Arial"/>
          <w:sz w:val="17"/>
          <w:szCs w:val="17"/>
          <w:color w:val="auto"/>
        </w:rPr>
      </w:pPr>
    </w:p>
    <w:p>
      <w:pPr>
        <w:ind w:right="20" w:firstLine="1489"/>
        <w:spacing w:after="0" w:line="267" w:lineRule="auto"/>
        <w:tabs>
          <w:tab w:leader="none" w:pos="1741" w:val="left"/>
        </w:tabs>
        <w:numPr>
          <w:ilvl w:val="2"/>
          <w:numId w:val="169"/>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Executive incurs a Disability, the Company may give the Executive written notice of its intention to terminate the Executive’s employment. In that event, the Executive’s employment with the Company shall terminate, effective on the later of the thirtieth (30</w:t>
      </w:r>
      <w:r>
        <w:rPr>
          <w:rFonts w:ascii="Arial" w:cs="Arial" w:eastAsia="Arial" w:hAnsi="Arial"/>
          <w:sz w:val="14"/>
          <w:szCs w:val="14"/>
          <w:color w:val="auto"/>
        </w:rPr>
        <w:t>th</w:t>
      </w:r>
      <w:r>
        <w:rPr>
          <w:rFonts w:ascii="Arial" w:cs="Arial" w:eastAsia="Arial" w:hAnsi="Arial"/>
          <w:sz w:val="17"/>
          <w:szCs w:val="17"/>
          <w:color w:val="auto"/>
        </w:rPr>
        <w:t xml:space="preserve">) day after receipt of such notice by the Executive and the date specified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within the thirty (30) day period following receipt of such notice, the Executive shall not have returned to full-time performance of the Executive’s duties hereunder.</w:t>
      </w:r>
    </w:p>
    <w:p>
      <w:pPr>
        <w:spacing w:after="0" w:line="177" w:lineRule="exact"/>
        <w:rPr>
          <w:rFonts w:ascii="Arial" w:cs="Arial" w:eastAsia="Arial" w:hAnsi="Arial"/>
          <w:sz w:val="17"/>
          <w:szCs w:val="17"/>
          <w:color w:val="auto"/>
        </w:rPr>
      </w:pPr>
    </w:p>
    <w:p>
      <w:pPr>
        <w:ind w:left="1800" w:hanging="311"/>
        <w:spacing w:after="0"/>
        <w:tabs>
          <w:tab w:leader="none" w:pos="1800" w:val="left"/>
        </w:tabs>
        <w:numPr>
          <w:ilvl w:val="2"/>
          <w:numId w:val="169"/>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at any time and for any reason upon notice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pursuant to Section 4(b).</w:t>
      </w:r>
    </w:p>
    <w:p>
      <w:pPr>
        <w:spacing w:after="0" w:line="211" w:lineRule="exact"/>
        <w:rPr>
          <w:rFonts w:ascii="Arial" w:cs="Arial" w:eastAsia="Arial" w:hAnsi="Arial"/>
          <w:sz w:val="16"/>
          <w:szCs w:val="16"/>
          <w:color w:val="auto"/>
        </w:rPr>
      </w:pPr>
    </w:p>
    <w:p>
      <w:pPr>
        <w:ind w:left="1780" w:hanging="291"/>
        <w:spacing w:after="0"/>
        <w:tabs>
          <w:tab w:leader="none" w:pos="1780" w:val="left"/>
        </w:tabs>
        <w:numPr>
          <w:ilvl w:val="2"/>
          <w:numId w:val="169"/>
        </w:numPr>
        <w:rPr>
          <w:rFonts w:ascii="Arial" w:cs="Arial" w:eastAsia="Arial" w:hAnsi="Arial"/>
          <w:sz w:val="16"/>
          <w:szCs w:val="16"/>
          <w:color w:val="auto"/>
        </w:rPr>
      </w:pPr>
      <w:r>
        <w:rPr>
          <w:rFonts w:ascii="Arial" w:cs="Arial" w:eastAsia="Arial" w:hAnsi="Arial"/>
          <w:sz w:val="16"/>
          <w:szCs w:val="16"/>
          <w:u w:val="single" w:color="auto"/>
          <w:color w:val="auto"/>
        </w:rPr>
        <w:t>Resignation by the Executive</w:t>
      </w:r>
      <w:r>
        <w:rPr>
          <w:rFonts w:ascii="Arial" w:cs="Arial" w:eastAsia="Arial" w:hAnsi="Arial"/>
          <w:sz w:val="16"/>
          <w:szCs w:val="16"/>
          <w:color w:val="auto"/>
        </w:rPr>
        <w:t>. The Executive may resign from the Executive’s employment at any time and for any reason upon notice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pursuant to Section 4(b).</w:t>
      </w:r>
    </w:p>
    <w:p>
      <w:pPr>
        <w:spacing w:after="0" w:line="211" w:lineRule="exact"/>
        <w:rPr>
          <w:rFonts w:ascii="Arial" w:cs="Arial" w:eastAsia="Arial" w:hAnsi="Arial"/>
          <w:sz w:val="16"/>
          <w:szCs w:val="16"/>
          <w:color w:val="auto"/>
        </w:rPr>
      </w:pPr>
    </w:p>
    <w:p>
      <w:pPr>
        <w:ind w:left="1740" w:hanging="251"/>
        <w:spacing w:after="0"/>
        <w:tabs>
          <w:tab w:leader="none" w:pos="1740" w:val="left"/>
        </w:tabs>
        <w:numPr>
          <w:ilvl w:val="2"/>
          <w:numId w:val="169"/>
        </w:numPr>
        <w:rPr>
          <w:rFonts w:ascii="Arial" w:cs="Arial" w:eastAsia="Arial" w:hAnsi="Arial"/>
          <w:sz w:val="16"/>
          <w:szCs w:val="16"/>
          <w:color w:val="auto"/>
        </w:rPr>
      </w:pPr>
      <w:r>
        <w:rPr>
          <w:rFonts w:ascii="Arial" w:cs="Arial" w:eastAsia="Arial" w:hAnsi="Arial"/>
          <w:sz w:val="16"/>
          <w:szCs w:val="16"/>
          <w:u w:val="single" w:color="auto"/>
          <w:color w:val="auto"/>
        </w:rPr>
        <w:t>Non-Extension of Term by the Company</w:t>
      </w:r>
      <w:r>
        <w:rPr>
          <w:rFonts w:ascii="Arial" w:cs="Arial" w:eastAsia="Arial" w:hAnsi="Arial"/>
          <w:sz w:val="16"/>
          <w:szCs w:val="16"/>
          <w:color w:val="auto"/>
        </w:rPr>
        <w:t>. The Company may give notice of non-extension to the Executive pursuant to Section 2(b).</w:t>
      </w:r>
    </w:p>
    <w:p>
      <w:pPr>
        <w:spacing w:after="0" w:line="235" w:lineRule="exact"/>
        <w:rPr>
          <w:rFonts w:ascii="Arial" w:cs="Arial" w:eastAsia="Arial" w:hAnsi="Arial"/>
          <w:sz w:val="16"/>
          <w:szCs w:val="16"/>
          <w:color w:val="auto"/>
        </w:rPr>
      </w:pPr>
    </w:p>
    <w:p>
      <w:pPr>
        <w:ind w:left="1780" w:hanging="291"/>
        <w:spacing w:after="0"/>
        <w:tabs>
          <w:tab w:leader="none" w:pos="1780" w:val="left"/>
        </w:tabs>
        <w:numPr>
          <w:ilvl w:val="2"/>
          <w:numId w:val="169"/>
        </w:numPr>
        <w:rPr>
          <w:rFonts w:ascii="Arial" w:cs="Arial" w:eastAsia="Arial" w:hAnsi="Arial"/>
          <w:sz w:val="16"/>
          <w:szCs w:val="16"/>
          <w:color w:val="auto"/>
        </w:rPr>
      </w:pPr>
      <w:r>
        <w:rPr>
          <w:rFonts w:ascii="Arial" w:cs="Arial" w:eastAsia="Arial" w:hAnsi="Arial"/>
          <w:sz w:val="16"/>
          <w:szCs w:val="16"/>
          <w:u w:val="single" w:color="auto"/>
          <w:color w:val="auto"/>
        </w:rPr>
        <w:t>Non-Extension of Term by the Executive</w:t>
      </w:r>
      <w:r>
        <w:rPr>
          <w:rFonts w:ascii="Arial" w:cs="Arial" w:eastAsia="Arial" w:hAnsi="Arial"/>
          <w:sz w:val="16"/>
          <w:szCs w:val="16"/>
          <w:color w:val="auto"/>
        </w:rPr>
        <w:t>. The Executive may give notice of non-extension to the Company pursuant to Section 2(b).</w:t>
      </w:r>
    </w:p>
    <w:p>
      <w:pPr>
        <w:spacing w:after="0" w:line="235" w:lineRule="exact"/>
        <w:rPr>
          <w:sz w:val="20"/>
          <w:szCs w:val="20"/>
          <w:color w:val="auto"/>
        </w:rPr>
      </w:pPr>
    </w:p>
    <w:p>
      <w:pPr>
        <w:ind w:firstLine="1489"/>
        <w:spacing w:after="0" w:line="265" w:lineRule="auto"/>
        <w:tabs>
          <w:tab w:leader="none" w:pos="1731" w:val="left"/>
        </w:tabs>
        <w:numPr>
          <w:ilvl w:val="2"/>
          <w:numId w:val="17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by the Company or by the Executive under this Section 4 (other than a termination pursuant to Section 4(a)(i) above) shall be communicated by a written notice to the other party hereto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specifying a Date of Termination, which shall be at least thirty (30) days following the date of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Notice of Termination delivered by the Company pursuant to Section 4(a)(ii) shall not be required to specify a Date of Termination, in which case the Date of Termination shall be determined pursuant to Section 4(a)(ii).</w:t>
      </w:r>
    </w:p>
    <w:p>
      <w:pPr>
        <w:spacing w:after="0" w:line="171" w:lineRule="exact"/>
        <w:rPr>
          <w:rFonts w:ascii="Arial" w:cs="Arial" w:eastAsia="Arial" w:hAnsi="Arial"/>
          <w:sz w:val="17"/>
          <w:szCs w:val="17"/>
          <w:color w:val="auto"/>
        </w:rPr>
      </w:pPr>
    </w:p>
    <w:p>
      <w:pPr>
        <w:ind w:right="40" w:firstLine="918"/>
        <w:spacing w:after="0" w:line="285" w:lineRule="auto"/>
        <w:tabs>
          <w:tab w:leader="none" w:pos="1088" w:val="left"/>
        </w:tabs>
        <w:numPr>
          <w:ilvl w:val="1"/>
          <w:numId w:val="1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Obligations Upon 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a termination of the Executive’s employment for any reason, the Executive (or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estate) shall be entitled to receive: (i) any portion of the Executive’s Annual Base Salary through the Date of Termination not theretofore paid,</w:t>
      </w:r>
    </w:p>
    <w:p>
      <w:pPr>
        <w:ind w:right="340" w:firstLine="5"/>
        <w:spacing w:after="0" w:line="274" w:lineRule="auto"/>
        <w:tabs>
          <w:tab w:leader="none" w:pos="25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expenses owed to the Executive under Section 3(d) and (iii) any amount arising from the Executive’s participation in, or benefits under, any employee benefit plans, programs or arrangements under Section 3(c), which amounts shall be payable in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300" w:name="page301"/>
    <w:bookmarkEnd w:id="300"/>
    <w:p>
      <w:pPr>
        <w:jc w:val="both"/>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accordance with the terms and conditions of such employee benefit plans, programs or arrangements. Any equity awards granted to the Executive shall continue to be governed by the terms and conditions of the applicable plans and agreements. The payments and benefits described in this Section 5 shall be the only payments and benefits payable in the event of the Executive’s termination of employment for any reason.</w:t>
      </w:r>
    </w:p>
    <w:p>
      <w:pPr>
        <w:spacing w:after="0" w:line="191" w:lineRule="exact"/>
        <w:rPr>
          <w:sz w:val="20"/>
          <w:szCs w:val="20"/>
          <w:color w:val="auto"/>
        </w:rPr>
      </w:pPr>
    </w:p>
    <w:p>
      <w:pPr>
        <w:ind w:left="900" w:hanging="450"/>
        <w:spacing w:after="0"/>
        <w:tabs>
          <w:tab w:leader="none" w:pos="90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Information</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firstLine="918"/>
        <w:spacing w:after="0" w:line="280" w:lineRule="auto"/>
        <w:tabs>
          <w:tab w:leader="none" w:pos="115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Executive shall not disclose or use at any time, either during his employment or thereafter, any Trade Secrets and Confidential Information of which he becomes aware, whether or not such information is developed by the Executive, except to the extent that such disclosure or use is directly related to and required by the Executive’s performance in good faith of duties for the Company Group. The Executive will take all appropriate steps to safeguard Trade Secrets and Confidential Information in his possession and to protect it against disclosure, misuse, espionage, loss and theft. The Executive shall deliver to the Company at the termination of his employment, or at any time the Company may request, all memoranda, notes, plans, records, reports, computer tapes and software and other documents and data (and copies thereof) relating to the Trade Secrets and Confidential Information or the Work Product of the business of the Company Group which the Executive may then possess or have under his control. Notwithstanding the foregoing, the Executive may truthfully respond to a lawful and valid subpoena or other legal process, but shall give the Company the earliest possible notice thereof.</w:t>
      </w:r>
    </w:p>
    <w:p>
      <w:pPr>
        <w:spacing w:after="0" w:line="168" w:lineRule="exact"/>
        <w:rPr>
          <w:rFonts w:ascii="Arial" w:cs="Arial" w:eastAsia="Arial" w:hAnsi="Arial"/>
          <w:sz w:val="16"/>
          <w:szCs w:val="16"/>
          <w:color w:val="auto"/>
        </w:rPr>
      </w:pPr>
    </w:p>
    <w:p>
      <w:pPr>
        <w:ind w:right="20" w:firstLine="918"/>
        <w:spacing w:after="0" w:line="279" w:lineRule="auto"/>
        <w:tabs>
          <w:tab w:leader="none" w:pos="11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All Work Product that the Executive may have discovered, invented or originated during his employment by any Company Group Member(s) prior to such employment, that the Executive may discover, invent or originate during his employment or at any time following the termination of his or her employment with the applicable Company Group Member(s), shall be the exclusive property of the Company Group, and the Executive hereby assigns all of his right, title and interest in and to such Work Product to the Company or the applicable Company Group Member, including all intellectual property rights therein. The Executive shall promptly disclose all Work Product to the Company, shall execute at the request of the Company any assignments or other documents the Company may deem necessary to protect or perfect its (or any Company Group Member’s as applicable) rights therein, and shall assist the Company, at the Company’s expense, in obtaining, defending and enforcing the Company’s (or any Company Group Member’s, as applicable) rights therein. The Executive hereby appoints the Company as his attorney-in-fact to execute on his behalf any assignments or other documents deemed necessary by the Company to protect or perfect each Company Group Member’s rights to any Work Product.</w:t>
      </w:r>
    </w:p>
    <w:p>
      <w:pPr>
        <w:spacing w:after="0" w:line="170" w:lineRule="exact"/>
        <w:rPr>
          <w:rFonts w:ascii="Arial" w:cs="Arial" w:eastAsia="Arial" w:hAnsi="Arial"/>
          <w:sz w:val="16"/>
          <w:szCs w:val="16"/>
          <w:color w:val="auto"/>
        </w:rPr>
      </w:pPr>
    </w:p>
    <w:p>
      <w:pPr>
        <w:ind w:right="20" w:firstLine="918"/>
        <w:spacing w:after="0" w:line="289" w:lineRule="auto"/>
        <w:tabs>
          <w:tab w:leader="none" w:pos="115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Executive acknowledges that the covenants contained in this Section 6 are an essential element of this Agreement and are being provided in consideration of the compensation provided under this Agreement, and that any breach by the Executive of any provision of this Section 6 will result in irreparable injury to the Company Group Members. The Executive acknowledges that in the event of such a breach, in addition to all other remedies available at law, the Company shall be entitled to equitable relief, including injunctive relief, without the necessity of proving actual damages or posting a bond therefor.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2" w:right="259" w:bottom="1440" w:gutter="0" w:footer="0" w:header="0"/>
        </w:sectPr>
      </w:pPr>
    </w:p>
    <w:bookmarkStart w:id="301" w:name="page302"/>
    <w:bookmarkEnd w:id="301"/>
    <w:p>
      <w:pPr>
        <w:ind w:left="-60" w:right="140" w:firstLine="461"/>
        <w:spacing w:after="0" w:line="287" w:lineRule="auto"/>
        <w:tabs>
          <w:tab w:leader="none" w:pos="571"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Assignment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its rights and obligations under this Agreement to any entity, including any successor to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157" w:lineRule="exact"/>
        <w:rPr>
          <w:rFonts w:ascii="Arial" w:cs="Arial" w:eastAsia="Arial" w:hAnsi="Arial"/>
          <w:sz w:val="16"/>
          <w:szCs w:val="16"/>
          <w:b w:val="1"/>
          <w:bCs w:val="1"/>
          <w:color w:val="auto"/>
        </w:rPr>
      </w:pPr>
    </w:p>
    <w:p>
      <w:pPr>
        <w:ind w:left="-60" w:right="160" w:firstLine="461"/>
        <w:spacing w:after="0" w:line="270" w:lineRule="auto"/>
        <w:tabs>
          <w:tab w:leader="none" w:pos="571"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All issues and questions concerning the application, construction, validity, interpretation and enforcement of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construed, interpreted and enforced in accordance with the substantive laws of the State of Ohio, without giving effect to any principles of conflicts of law, whether of the State of Ohio or any other jurisdiction, and where applicable, the laws of the United States, that would result in the application of the laws of any other jurisdiction.</w:t>
      </w:r>
    </w:p>
    <w:p>
      <w:pPr>
        <w:spacing w:after="0" w:line="272" w:lineRule="exact"/>
        <w:rPr>
          <w:rFonts w:ascii="Arial" w:cs="Arial" w:eastAsia="Arial" w:hAnsi="Arial"/>
          <w:sz w:val="17"/>
          <w:szCs w:val="17"/>
          <w:b w:val="1"/>
          <w:bCs w:val="1"/>
          <w:color w:val="auto"/>
        </w:rPr>
      </w:pPr>
    </w:p>
    <w:p>
      <w:pPr>
        <w:ind w:left="-60" w:right="260" w:firstLine="461"/>
        <w:spacing w:after="0" w:line="296" w:lineRule="auto"/>
        <w:tabs>
          <w:tab w:leader="none" w:pos="571"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or unenforceability of any provision or provisions of this Agreement shall not affect the validity or enforceability of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this Agreement, which shall remain in full force and effect.</w:t>
      </w:r>
    </w:p>
    <w:p>
      <w:pPr>
        <w:spacing w:after="0" w:line="146" w:lineRule="exact"/>
        <w:rPr>
          <w:rFonts w:ascii="Arial" w:cs="Arial" w:eastAsia="Arial" w:hAnsi="Arial"/>
          <w:sz w:val="17"/>
          <w:szCs w:val="17"/>
          <w:b w:val="1"/>
          <w:bCs w:val="1"/>
          <w:color w:val="auto"/>
        </w:rPr>
      </w:pPr>
    </w:p>
    <w:p>
      <w:pPr>
        <w:jc w:val="both"/>
        <w:ind w:left="-60" w:right="460" w:firstLine="461"/>
        <w:spacing w:after="0" w:line="276" w:lineRule="auto"/>
        <w:tabs>
          <w:tab w:leader="none" w:pos="658"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request, claim, demand, document and other communication hereunder to any party hereto shall be effective upon receipt (or</w:t>
      </w:r>
      <w:r>
        <w:rPr>
          <w:rFonts w:ascii="Arial" w:cs="Arial" w:eastAsia="Arial" w:hAnsi="Arial"/>
          <w:sz w:val="17"/>
          <w:szCs w:val="17"/>
          <w:b w:val="1"/>
          <w:bCs w:val="1"/>
          <w:color w:val="auto"/>
        </w:rPr>
        <w:t xml:space="preserve"> </w:t>
      </w:r>
      <w:r>
        <w:rPr>
          <w:rFonts w:ascii="Arial" w:cs="Arial" w:eastAsia="Arial" w:hAnsi="Arial"/>
          <w:sz w:val="17"/>
          <w:szCs w:val="17"/>
          <w:color w:val="auto"/>
        </w:rPr>
        <w:t>refusal of receipt) and shall be in writing and delivered personally or sent by telex, telecopy, or certified or registered mail, postage prepaid, to the following address (or at any other address as any party hereto shall have specified by notice in writing to the other party hereto):</w:t>
      </w:r>
    </w:p>
    <w:p>
      <w:pPr>
        <w:spacing w:after="0" w:line="195" w:lineRule="exact"/>
        <w:rPr>
          <w:rFonts w:ascii="Arial" w:cs="Arial" w:eastAsia="Arial" w:hAnsi="Arial"/>
          <w:sz w:val="17"/>
          <w:szCs w:val="17"/>
          <w:b w:val="1"/>
          <w:bCs w:val="1"/>
          <w:color w:val="auto"/>
        </w:rPr>
      </w:pPr>
    </w:p>
    <w:p>
      <w:pPr>
        <w:ind w:left="1420" w:hanging="572"/>
        <w:spacing w:after="0"/>
        <w:tabs>
          <w:tab w:leader="none" w:pos="14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If to the Company:</w:t>
      </w:r>
    </w:p>
    <w:p>
      <w:pPr>
        <w:spacing w:after="0" w:line="249"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7"/>
          <w:szCs w:val="17"/>
          <w:color w:val="auto"/>
        </w:rPr>
        <w:t>Medpace Holdings, Inc.</w:t>
      </w:r>
    </w:p>
    <w:p>
      <w:pPr>
        <w:spacing w:after="0" w:line="26" w:lineRule="exact"/>
        <w:rPr>
          <w:rFonts w:ascii="Arial" w:cs="Arial" w:eastAsia="Arial" w:hAnsi="Arial"/>
          <w:sz w:val="17"/>
          <w:szCs w:val="17"/>
          <w:color w:val="auto"/>
        </w:rPr>
      </w:pPr>
    </w:p>
    <w:p>
      <w:pPr>
        <w:ind w:left="1420" w:right="8040"/>
        <w:spacing w:after="0" w:line="284" w:lineRule="auto"/>
        <w:rPr>
          <w:rFonts w:ascii="Arial" w:cs="Arial" w:eastAsia="Arial" w:hAnsi="Arial"/>
          <w:sz w:val="17"/>
          <w:szCs w:val="17"/>
          <w:color w:val="auto"/>
        </w:rPr>
      </w:pPr>
      <w:r>
        <w:rPr>
          <w:rFonts w:ascii="Arial" w:cs="Arial" w:eastAsia="Arial" w:hAnsi="Arial"/>
          <w:sz w:val="16"/>
          <w:szCs w:val="16"/>
          <w:color w:val="auto"/>
        </w:rPr>
        <w:t>5375 Medpace Way Cincinnati, Ohio 45227 Attn: General Counsel Facsimile: (513) 579-0444</w:t>
      </w:r>
    </w:p>
    <w:p>
      <w:pPr>
        <w:spacing w:after="0" w:line="190" w:lineRule="exact"/>
        <w:rPr>
          <w:rFonts w:ascii="Arial" w:cs="Arial" w:eastAsia="Arial" w:hAnsi="Arial"/>
          <w:sz w:val="17"/>
          <w:szCs w:val="17"/>
          <w:color w:val="auto"/>
        </w:rPr>
      </w:pPr>
    </w:p>
    <w:p>
      <w:pPr>
        <w:ind w:left="1420" w:hanging="572"/>
        <w:spacing w:after="0"/>
        <w:tabs>
          <w:tab w:leader="none" w:pos="14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If to the Executive, at the address set forth on the signature page hereto.</w:t>
      </w:r>
    </w:p>
    <w:p>
      <w:pPr>
        <w:spacing w:after="0" w:line="217" w:lineRule="exact"/>
        <w:rPr>
          <w:rFonts w:ascii="Arial" w:cs="Arial" w:eastAsia="Arial" w:hAnsi="Arial"/>
          <w:sz w:val="17"/>
          <w:szCs w:val="17"/>
          <w:color w:val="auto"/>
        </w:rPr>
      </w:pPr>
    </w:p>
    <w:p>
      <w:pPr>
        <w:ind w:left="-60" w:right="60" w:firstLine="461"/>
        <w:spacing w:after="0" w:line="296" w:lineRule="auto"/>
        <w:tabs>
          <w:tab w:leader="none" w:pos="649"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several counterparts, each of which shall be deemed to be an original, but all of which together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Agreement.</w:t>
      </w:r>
    </w:p>
    <w:p>
      <w:pPr>
        <w:spacing w:after="0" w:line="146" w:lineRule="exact"/>
        <w:rPr>
          <w:rFonts w:ascii="Arial" w:cs="Arial" w:eastAsia="Arial" w:hAnsi="Arial"/>
          <w:sz w:val="17"/>
          <w:szCs w:val="17"/>
          <w:b w:val="1"/>
          <w:bCs w:val="1"/>
          <w:color w:val="auto"/>
        </w:rPr>
      </w:pPr>
    </w:p>
    <w:p>
      <w:pPr>
        <w:ind w:left="-60" w:firstLine="461"/>
        <w:spacing w:after="0" w:line="267" w:lineRule="auto"/>
        <w:tabs>
          <w:tab w:leader="none" w:pos="658"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Effective Date, this Agreement shall supersede and replace the Prior Employment Agreement, and the Prior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shall be null and void and of no further force or effect. The terms of this Agreement (together with any other agreements and instruments contemplated hereby or referred to herein (other than the Prior Employment Agreement)) are intended by the parties hereto to be the final expression of their agreement with respect to the employment of the Executive by the Company and may not be contradicted by evidence of any prior or contemporaneous agreement (including, without limitation, any term sheet or offer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in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20"/>
          </w:cols>
          <w:pgMar w:left="300" w:top="265" w:right="279" w:bottom="1440" w:gutter="0" w:footer="0" w:header="0"/>
        </w:sectPr>
      </w:pPr>
    </w:p>
    <w:bookmarkStart w:id="302" w:name="page303"/>
    <w:bookmarkEnd w:id="30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Agreement are not intended to limit or extinguish any restrictive covenants in any other agreement or arrangement between the Executive and the Company or any of its Affiliates.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49" w:lineRule="exact"/>
        <w:rPr>
          <w:sz w:val="20"/>
          <w:szCs w:val="20"/>
          <w:color w:val="auto"/>
        </w:rPr>
      </w:pPr>
    </w:p>
    <w:p>
      <w:pPr>
        <w:ind w:right="60" w:firstLine="461"/>
        <w:spacing w:after="0" w:line="284" w:lineRule="auto"/>
        <w:tabs>
          <w:tab w:leader="none" w:pos="718"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not be modified, amended, or terminated except by an instrument in writing, signed by the Executive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duly authorized officer of the Company and approved by the Board, which expressly identifies the amended provision of this Agreement. By an instrument in writing similarly executed and approved by the Board, the Executive or a duly authorized officer of the Company may waive compliance by the other party or parties hereto with any provision of this Agreement that such other party was or is obligated to comply with or perform;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60" w:lineRule="exact"/>
        <w:rPr>
          <w:rFonts w:ascii="Arial" w:cs="Arial" w:eastAsia="Arial" w:hAnsi="Arial"/>
          <w:sz w:val="16"/>
          <w:szCs w:val="16"/>
          <w:b w:val="1"/>
          <w:bCs w:val="1"/>
          <w:color w:val="auto"/>
        </w:rPr>
      </w:pPr>
    </w:p>
    <w:p>
      <w:pPr>
        <w:ind w:right="420" w:firstLine="461"/>
        <w:spacing w:after="0" w:line="276" w:lineRule="auto"/>
        <w:tabs>
          <w:tab w:leader="none" w:pos="718"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Inconsistent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shall not voluntarily undertake or fail to undertake any action or course of action inconsistent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or essential intent of this Agreement. Furthermore, it is the intent of the parties hereto to act in a fair and reasonable manner with respect to the interpretation and application of the provisions of this Agreement.</w:t>
      </w:r>
    </w:p>
    <w:p>
      <w:pPr>
        <w:spacing w:after="0" w:line="163" w:lineRule="exact"/>
        <w:rPr>
          <w:rFonts w:ascii="Arial" w:cs="Arial" w:eastAsia="Arial" w:hAnsi="Arial"/>
          <w:sz w:val="17"/>
          <w:szCs w:val="17"/>
          <w:b w:val="1"/>
          <w:bCs w:val="1"/>
          <w:color w:val="auto"/>
        </w:rPr>
      </w:pPr>
    </w:p>
    <w:p>
      <w:pPr>
        <w:ind w:firstLine="461"/>
        <w:spacing w:after="0" w:line="281" w:lineRule="auto"/>
        <w:tabs>
          <w:tab w:leader="none" w:pos="718"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w:t>
      </w:r>
      <w:r>
        <w:rPr>
          <w:rFonts w:ascii="Arial" w:cs="Arial" w:eastAsia="Arial" w:hAnsi="Arial"/>
          <w:sz w:val="16"/>
          <w:szCs w:val="16"/>
          <w:b w:val="1"/>
          <w:bCs w:val="1"/>
          <w:color w:val="auto"/>
        </w:rPr>
        <w:t xml:space="preserve"> </w:t>
      </w:r>
      <w:r>
        <w:rPr>
          <w:rFonts w:ascii="Arial" w:cs="Arial" w:eastAsia="Arial" w:hAnsi="Arial"/>
          <w:sz w:val="16"/>
          <w:szCs w:val="16"/>
          <w:color w:val="auto"/>
        </w:rPr>
        <w:t>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Persons referred to may require.</w:t>
      </w:r>
    </w:p>
    <w:p>
      <w:pPr>
        <w:spacing w:after="0" w:line="162" w:lineRule="exact"/>
        <w:rPr>
          <w:rFonts w:ascii="Arial" w:cs="Arial" w:eastAsia="Arial" w:hAnsi="Arial"/>
          <w:sz w:val="16"/>
          <w:szCs w:val="16"/>
          <w:b w:val="1"/>
          <w:bCs w:val="1"/>
          <w:color w:val="auto"/>
        </w:rPr>
      </w:pPr>
    </w:p>
    <w:p>
      <w:pPr>
        <w:ind w:right="100" w:firstLine="461"/>
        <w:spacing w:after="0" w:line="267" w:lineRule="auto"/>
        <w:tabs>
          <w:tab w:leader="none" w:pos="718"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held to be illegal, invalid or unenforceable under present or future laws effective during the term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303" w:name="page304"/>
    <w:bookmarkEnd w:id="303"/>
    <w:p>
      <w:pPr>
        <w:ind w:right="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 added automatically as part of this Agreement a provision as similar in terms to such illegal, invalid or unenforceable provision as may be possible and be legal, valid and enforceable.</w:t>
      </w:r>
    </w:p>
    <w:p>
      <w:pPr>
        <w:spacing w:after="0" w:line="152" w:lineRule="exact"/>
        <w:rPr>
          <w:sz w:val="20"/>
          <w:szCs w:val="20"/>
          <w:color w:val="auto"/>
        </w:rPr>
      </w:pPr>
    </w:p>
    <w:p>
      <w:pPr>
        <w:jc w:val="both"/>
        <w:ind w:right="120" w:firstLine="461"/>
        <w:spacing w:after="0" w:line="276" w:lineRule="auto"/>
        <w:tabs>
          <w:tab w:leader="none" w:pos="718" w:val="left"/>
        </w:tabs>
        <w:numPr>
          <w:ilvl w:val="1"/>
          <w:numId w:val="1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The Company and its Affiliates shall be entitled to withhold from any amounts payable under this Agreement, any federal, state, local or</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withholding or other taxes or charges that the Company or any of its Affiliates is required to withhold. The Company and its Affiliates shall be entitled to rely on an opinion of counsel if any questions as to the amount or requirement of withholding shall arise.</w:t>
      </w:r>
    </w:p>
    <w:p>
      <w:pPr>
        <w:spacing w:after="0" w:line="163" w:lineRule="exact"/>
        <w:rPr>
          <w:rFonts w:ascii="Arial" w:cs="Arial" w:eastAsia="Arial" w:hAnsi="Arial"/>
          <w:sz w:val="17"/>
          <w:szCs w:val="17"/>
          <w:b w:val="1"/>
          <w:bCs w:val="1"/>
          <w:color w:val="auto"/>
        </w:rPr>
      </w:pPr>
    </w:p>
    <w:p>
      <w:pPr>
        <w:ind w:right="120" w:firstLine="461"/>
        <w:spacing w:after="0" w:line="280" w:lineRule="auto"/>
        <w:tabs>
          <w:tab w:leader="none" w:pos="718" w:val="left"/>
        </w:tabs>
        <w:numPr>
          <w:ilvl w:val="1"/>
          <w:numId w:val="1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Absence of Conflicts; Executive Acknowledgement; 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hereby represents that from and after the Effective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of the 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or any of its Affiliates other than those contained in writing herein, and has entered into this Agreement freely based on the Executive’s own judgment. The Executive agrees not to disclose the terms or existence of this Agreement to any Person unless the Company agrees to such disclosure in advance and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may, without such permission, make such disclosures as are required by applicable law, including disclosures to taxing agencies, and disclose the terms of this Agreement to the Executive’s attorney(s), accountant(s), tax advisor(s), and other professional service provider(s), and to members of the Executive’s immediate family, as reasonably necessary;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Executive instructs such Person(s) that the terms of this Agreement are strictly confidential and are not to be revealed to anyone else except as required by applicable law.</w:t>
      </w:r>
    </w:p>
    <w:p>
      <w:pPr>
        <w:spacing w:after="0" w:line="163" w:lineRule="exact"/>
        <w:rPr>
          <w:rFonts w:ascii="Arial" w:cs="Arial" w:eastAsia="Arial" w:hAnsi="Arial"/>
          <w:sz w:val="16"/>
          <w:szCs w:val="16"/>
          <w:b w:val="1"/>
          <w:bCs w:val="1"/>
          <w:color w:val="auto"/>
        </w:rPr>
      </w:pPr>
    </w:p>
    <w:p>
      <w:pPr>
        <w:ind w:right="140" w:firstLine="461"/>
        <w:spacing w:after="0" w:line="296" w:lineRule="auto"/>
        <w:tabs>
          <w:tab w:leader="none" w:pos="718" w:val="left"/>
        </w:tabs>
        <w:numPr>
          <w:ilvl w:val="1"/>
          <w:numId w:val="176"/>
        </w:numPr>
        <w:rPr>
          <w:rFonts w:ascii="Arial" w:cs="Arial" w:eastAsia="Arial" w:hAnsi="Arial"/>
          <w:sz w:val="17"/>
          <w:szCs w:val="17"/>
          <w:b w:val="1"/>
          <w:bCs w:val="1"/>
          <w:color w:val="auto"/>
        </w:rPr>
      </w:pPr>
      <w:r>
        <w:rPr>
          <w:rFonts w:ascii="Arial" w:cs="Arial" w:eastAsia="Arial" w:hAnsi="Arial"/>
          <w:sz w:val="17"/>
          <w:szCs w:val="17"/>
          <w:u w:val="single" w:color="auto"/>
          <w:color w:val="auto"/>
        </w:rPr>
        <w:t>Survival</w:t>
      </w:r>
      <w:r>
        <w:rPr>
          <w:rFonts w:ascii="Arial" w:cs="Arial" w:eastAsia="Arial" w:hAnsi="Arial"/>
          <w:sz w:val="17"/>
          <w:szCs w:val="17"/>
          <w:b w:val="1"/>
          <w:bCs w:val="1"/>
          <w:color w:val="auto"/>
        </w:rPr>
        <w:t>.</w:t>
      </w:r>
      <w:r>
        <w:rPr>
          <w:rFonts w:ascii="Arial" w:cs="Arial" w:eastAsia="Arial" w:hAnsi="Arial"/>
          <w:sz w:val="17"/>
          <w:szCs w:val="17"/>
          <w:color w:val="auto"/>
        </w:rPr>
        <w:t xml:space="preserve"> The expiration or termination of the Term shall not impair the rights or obligations of any party hereto which shall have accrued prior to such expiration or termination (including, without limitation, pursuant to the provisions of Section 6 hereof).</w:t>
      </w:r>
    </w:p>
    <w:p>
      <w:pPr>
        <w:spacing w:after="0" w:line="172" w:lineRule="exact"/>
        <w:rPr>
          <w:rFonts w:ascii="Arial" w:cs="Arial" w:eastAsia="Arial" w:hAnsi="Arial"/>
          <w:sz w:val="17"/>
          <w:szCs w:val="17"/>
          <w:b w:val="1"/>
          <w:bCs w:val="1"/>
          <w:color w:val="auto"/>
        </w:rPr>
      </w:pPr>
    </w:p>
    <w:p>
      <w:pPr>
        <w:ind w:left="900" w:hanging="450"/>
        <w:spacing w:after="0"/>
        <w:tabs>
          <w:tab w:leader="none" w:pos="90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409A</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right="180" w:firstLine="918"/>
        <w:spacing w:after="0" w:line="293" w:lineRule="auto"/>
        <w:tabs>
          <w:tab w:leader="none" w:pos="1150" w:val="left"/>
        </w:tabs>
        <w:numPr>
          <w:ilvl w:val="2"/>
          <w:numId w:val="177"/>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parties hereto acknowledge and agree that, to the extent applicable, 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the Executive under Section 409A, the Company reserves the right (without any obligation to do so or to indemnify the Executive for failure to do so) to (i)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as the Company determines to be necessary or appropriate to exempt the amounts payable hereunder from</w:t>
      </w:r>
    </w:p>
    <w:p>
      <w:pPr>
        <w:spacing w:after="0" w:line="4" w:lineRule="exact"/>
        <w:rPr>
          <w:rFonts w:ascii="Arial" w:cs="Arial" w:eastAsia="Arial" w:hAnsi="Arial"/>
          <w:sz w:val="15"/>
          <w:szCs w:val="15"/>
          <w:color w:val="auto"/>
        </w:rPr>
      </w:pPr>
    </w:p>
    <w:p>
      <w:pPr>
        <w:spacing w:after="0" w:line="265" w:lineRule="auto"/>
        <w:rPr>
          <w:rFonts w:ascii="Arial" w:cs="Arial" w:eastAsia="Arial" w:hAnsi="Arial"/>
          <w:sz w:val="15"/>
          <w:szCs w:val="15"/>
          <w:color w:val="auto"/>
        </w:rPr>
      </w:pPr>
      <w:r>
        <w:rPr>
          <w:rFonts w:ascii="Arial" w:cs="Arial" w:eastAsia="Arial" w:hAnsi="Arial"/>
          <w:sz w:val="17"/>
          <w:szCs w:val="17"/>
          <w:color w:val="auto"/>
        </w:rPr>
        <w:t>Section 409A or to comply with the requirements of Section 409A and thereby avoid the application of penalty taxes thereunder. Notwithstanding anything herein to the contrary, in no event shall any liability for failure to comply with the requirements of Section 409A be transferred from the Executive or any other individual to the Company or any of its Affiliates, employees or agents pursuant to the terms of this Agreement or otherwise.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72" w:right="259" w:bottom="1440" w:gutter="0" w:footer="0" w:header="0"/>
        </w:sectPr>
      </w:pPr>
    </w:p>
    <w:bookmarkStart w:id="304" w:name="page305"/>
    <w:bookmarkEnd w:id="304"/>
    <w:p>
      <w:pPr>
        <w:ind w:left="-40" w:right="40" w:firstLine="918"/>
        <w:spacing w:after="0" w:line="277" w:lineRule="auto"/>
        <w:tabs>
          <w:tab w:leader="none" w:pos="112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Miscellaneous</w:t>
      </w:r>
      <w:r>
        <w:rPr>
          <w:rFonts w:ascii="Arial" w:cs="Arial" w:eastAsia="Arial" w:hAnsi="Arial"/>
          <w:sz w:val="16"/>
          <w:szCs w:val="16"/>
          <w:color w:val="auto"/>
        </w:rPr>
        <w:t>.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eligible for reimbursement, or in-kind benefits provided, in one year shall not affect the amount eligible for reimbursement, or in-kind benefits provided, in any other year. The Executive’s right to reimbursement of any such expenses or such in-kind benefits shall not be subject to liquidation or exchange for any other benefit. Notwithstanding any provision to the contrary in this Agreement, if the Executive is deemed at the time of his separation from service to be a “specified employee” for purposes of Section 409A(a)(2)(B)(i) of the Code, to the extent delayed commencement of any portion of the termination benefits to which the Executive is entitled under this Agreement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of the Code) and (B) the date of the Executive’s death; upon the earlier of such dates, all payments and benefits deferred pursuant to this sentence shall be paid in a lump sum to the Executive, and any remaining payments and benefits due under the Agreement shall be paid as otherwise provided herein. The determination of whether the Executive is a “specified employee” for purposes of Section 409A(a)(2)(B)(i) of the Code as of the time of his separation from service shall be made by the Company in accordance with the terms of Section 409A (including, without limitation, Section 1.409A-1(i) of the Department of Treasury regulations).</w:t>
      </w:r>
    </w:p>
    <w:p>
      <w:pPr>
        <w:spacing w:after="0" w:line="163" w:lineRule="exact"/>
        <w:rPr>
          <w:rFonts w:ascii="Arial" w:cs="Arial" w:eastAsia="Arial" w:hAnsi="Arial"/>
          <w:sz w:val="16"/>
          <w:szCs w:val="16"/>
          <w:color w:val="auto"/>
        </w:rPr>
      </w:pPr>
    </w:p>
    <w:p>
      <w:pPr>
        <w:ind w:left="-40" w:firstLine="461"/>
        <w:spacing w:after="0" w:line="270" w:lineRule="auto"/>
        <w:tabs>
          <w:tab w:leader="none" w:pos="678"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Recovery Policy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and agrees that, to the extent the Company adopts any clawback or similar policy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 necessary or appropriate to implement and/or enforce such policy).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40"/>
          </w:cols>
          <w:pgMar w:left="280" w:top="271" w:right="27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COMPANY</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Penelope J. Bucknell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Penelope J. Bucknell</w:t>
      </w:r>
    </w:p>
    <w:p>
      <w:pPr>
        <w:spacing w:after="0" w:line="26"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Title:  Vice-President, Human Resources</w:t>
      </w:r>
    </w:p>
    <w:p>
      <w:pPr>
        <w:spacing w:after="0" w:line="200" w:lineRule="exact"/>
        <w:rPr>
          <w:sz w:val="20"/>
          <w:szCs w:val="20"/>
          <w:color w:val="auto"/>
        </w:rPr>
      </w:pPr>
    </w:p>
    <w:p>
      <w:pPr>
        <w:spacing w:after="0" w:line="215"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EXECUTIVE</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Dr.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Dr. August J. Troendle</w:t>
      </w:r>
    </w:p>
    <w:p>
      <w:pPr>
        <w:spacing w:after="0" w:line="22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Residence Address:</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1492 Corona Lane</w:t>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Vero Beach, Florida 32963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40"/>
        <w:spacing w:after="0"/>
        <w:rPr>
          <w:sz w:val="20"/>
          <w:szCs w:val="20"/>
          <w:color w:val="auto"/>
        </w:rPr>
      </w:pPr>
      <w:r>
        <w:rPr>
          <w:rFonts w:ascii="Arial" w:cs="Arial" w:eastAsia="Arial" w:hAnsi="Arial"/>
          <w:sz w:val="14"/>
          <w:szCs w:val="14"/>
          <w:i w:val="1"/>
          <w:iCs w:val="1"/>
          <w:color w:val="auto"/>
        </w:rPr>
        <w:t>Signature Page to the</w:t>
      </w:r>
    </w:p>
    <w:p>
      <w:pPr>
        <w:jc w:val="center"/>
        <w:ind w:right="-740"/>
        <w:spacing w:after="0"/>
        <w:rPr>
          <w:sz w:val="20"/>
          <w:szCs w:val="20"/>
          <w:color w:val="auto"/>
        </w:rPr>
      </w:pPr>
      <w:r>
        <w:rPr>
          <w:rFonts w:ascii="Arial" w:cs="Arial" w:eastAsia="Arial" w:hAnsi="Arial"/>
          <w:sz w:val="14"/>
          <w:szCs w:val="14"/>
          <w:i w:val="1"/>
          <w:iCs w:val="1"/>
          <w:color w:val="auto"/>
        </w:rPr>
        <w:t>Employment Agreement for Dr. August J. Troendle</w:t>
      </w:r>
    </w:p>
    <w:p>
      <w:pPr>
        <w:sectPr>
          <w:pgSz w:w="11900" w:h="16838" w:orient="portrait"/>
          <w:cols w:equalWidth="0" w:num="1">
            <w:col w:w="9759"/>
          </w:cols>
          <w:pgMar w:left="700" w:top="271"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consent to the use in this Amendment No 1. to Registration Statement No. 333-212236 of our report dated March 1, 2016 (July 26, 2016, as to the effects of the reverse stock split described in Notes 3 and 17) relating to the consolidated financial statements of Medpace Holdings, Inc. and subsidiaries, appearing in the Prospectus, which is part of such Registration Statement, and to the reference to us under the heading “Experts” in such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Cincinnati, Ohio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July 26, 2016</w:t>
      </w:r>
    </w:p>
    <w:p>
      <w:pPr>
        <w:sectPr>
          <w:pgSz w:w="11900" w:h="16838" w:orient="portrait"/>
          <w:cols w:equalWidth="0" w:num="1">
            <w:col w:w="11420"/>
          </w:cols>
          <w:pgMar w:left="240" w:top="121" w:right="239" w:bottom="1440" w:gutter="0" w:footer="0" w:header="0"/>
        </w:sectPr>
      </w:pPr>
    </w:p>
    <w:bookmarkStart w:id="307" w:name="page308"/>
    <w:bookmarkEnd w:id="307"/>
    <w:p>
      <w:pPr>
        <w:ind w:left="640"/>
        <w:spacing w:after="0"/>
        <w:rPr>
          <w:sz w:val="20"/>
          <w:szCs w:val="20"/>
          <w:color w:val="auto"/>
        </w:rPr>
      </w:pPr>
      <w:r>
        <w:rPr>
          <w:rFonts w:ascii="Arial" w:cs="Arial" w:eastAsia="Arial" w:hAnsi="Arial"/>
          <w:sz w:val="12"/>
          <w:szCs w:val="12"/>
          <w:b w:val="1"/>
          <w:bCs w:val="1"/>
          <w:color w:val="auto"/>
        </w:rPr>
        <w:t>Gregory P. Rodgers</w:t>
      </w:r>
    </w:p>
    <w:p>
      <w:pPr>
        <w:ind w:left="640"/>
        <w:spacing w:after="0"/>
        <w:rPr>
          <w:sz w:val="20"/>
          <w:szCs w:val="20"/>
          <w:color w:val="auto"/>
        </w:rPr>
      </w:pPr>
      <w:r>
        <w:rPr>
          <w:rFonts w:ascii="Arial" w:cs="Arial" w:eastAsia="Arial" w:hAnsi="Arial"/>
          <w:sz w:val="12"/>
          <w:szCs w:val="12"/>
          <w:color w:val="auto"/>
        </w:rPr>
        <w:t>Direct Dial: 212-906-2918</w:t>
      </w:r>
    </w:p>
    <w:p>
      <w:pPr>
        <w:ind w:left="640"/>
        <w:spacing w:after="0"/>
        <w:rPr>
          <w:sz w:val="20"/>
          <w:szCs w:val="20"/>
          <w:color w:val="auto"/>
        </w:rPr>
      </w:pPr>
      <w:r>
        <w:rPr>
          <w:rFonts w:ascii="Arial" w:cs="Arial" w:eastAsia="Arial" w:hAnsi="Arial"/>
          <w:sz w:val="12"/>
          <w:szCs w:val="12"/>
          <w:color w:val="auto"/>
        </w:rPr>
        <w:t>greg.rodgers@lw.com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2053590" cy="2247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053590" cy="22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July 26, 2016</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VIA EDGAR AND OVERNIGHT DELIVERY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225" w:lineRule="auto"/>
        <w:rPr>
          <w:sz w:val="20"/>
          <w:szCs w:val="20"/>
          <w:color w:val="auto"/>
        </w:rPr>
      </w:pPr>
      <w:r>
        <w:rPr>
          <w:rFonts w:ascii="Arial" w:cs="Arial" w:eastAsia="Arial" w:hAnsi="Arial"/>
          <w:sz w:val="17"/>
          <w:szCs w:val="17"/>
          <w:color w:val="auto"/>
        </w:rPr>
        <w:t>United States Securities and Exchange Commission</w:t>
      </w:r>
    </w:p>
    <w:p>
      <w:pPr>
        <w:spacing w:after="0" w:line="225" w:lineRule="auto"/>
        <w:rPr>
          <w:sz w:val="20"/>
          <w:szCs w:val="20"/>
          <w:color w:val="auto"/>
        </w:rPr>
      </w:pPr>
      <w:r>
        <w:rPr>
          <w:rFonts w:ascii="Arial" w:cs="Arial" w:eastAsia="Arial" w:hAnsi="Arial"/>
          <w:sz w:val="17"/>
          <w:szCs w:val="17"/>
          <w:color w:val="auto"/>
        </w:rPr>
        <w:t>100 F Street, N.E.</w:t>
      </w:r>
    </w:p>
    <w:p>
      <w:pPr>
        <w:spacing w:after="0" w:line="225" w:lineRule="auto"/>
        <w:rPr>
          <w:sz w:val="20"/>
          <w:szCs w:val="20"/>
          <w:color w:val="auto"/>
        </w:rPr>
      </w:pPr>
      <w:r>
        <w:rPr>
          <w:rFonts w:ascii="Arial" w:cs="Arial" w:eastAsia="Arial" w:hAnsi="Arial"/>
          <w:sz w:val="17"/>
          <w:szCs w:val="17"/>
          <w:color w:val="auto"/>
        </w:rPr>
        <w:t>Washington, D.C. 20549</w:t>
      </w:r>
    </w:p>
    <w:p>
      <w:pPr>
        <w:spacing w:after="0"/>
        <w:rPr>
          <w:sz w:val="20"/>
          <w:szCs w:val="20"/>
          <w:color w:val="auto"/>
        </w:rPr>
      </w:pPr>
      <w:r>
        <w:rPr>
          <w:rFonts w:ascii="Arial" w:cs="Arial" w:eastAsia="Arial" w:hAnsi="Arial"/>
          <w:sz w:val="17"/>
          <w:szCs w:val="17"/>
          <w:color w:val="auto"/>
        </w:rPr>
        <w:t>Attention: Kathleen Suellentrop and James Lopez</w:t>
      </w:r>
    </w:p>
    <w:p>
      <w:pPr>
        <w:spacing w:after="0" w:line="204"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b w:val="1"/>
          <w:bCs w:val="1"/>
          <w:color w:val="auto"/>
        </w:rPr>
        <w:t>Medpace Holdings, Inc.</w:t>
      </w:r>
    </w:p>
    <w:p>
      <w:pPr>
        <w:jc w:val="right"/>
        <w:ind w:right="3120"/>
        <w:spacing w:after="0" w:line="234" w:lineRule="auto"/>
        <w:rPr>
          <w:sz w:val="20"/>
          <w:szCs w:val="20"/>
          <w:color w:val="auto"/>
        </w:rPr>
      </w:pPr>
      <w:r>
        <w:rPr>
          <w:rFonts w:ascii="Arial" w:cs="Arial" w:eastAsia="Arial" w:hAnsi="Arial"/>
          <w:sz w:val="17"/>
          <w:szCs w:val="17"/>
          <w:b w:val="1"/>
          <w:bCs w:val="1"/>
          <w:color w:val="auto"/>
        </w:rPr>
        <w:t>Registration Statement on Form S-1</w:t>
      </w:r>
    </w:p>
    <w:p>
      <w:pPr>
        <w:ind w:left="1240"/>
        <w:spacing w:after="0" w:line="225" w:lineRule="auto"/>
        <w:rPr>
          <w:sz w:val="20"/>
          <w:szCs w:val="20"/>
          <w:color w:val="auto"/>
        </w:rPr>
      </w:pPr>
      <w:r>
        <w:rPr>
          <w:rFonts w:ascii="Arial" w:cs="Arial" w:eastAsia="Arial" w:hAnsi="Arial"/>
          <w:sz w:val="17"/>
          <w:szCs w:val="17"/>
          <w:b w:val="1"/>
          <w:bCs w:val="1"/>
          <w:color w:val="auto"/>
        </w:rPr>
        <w:t>CIK No. 0001668397</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File No. 333-212236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53rd at Third</w:t>
      </w:r>
    </w:p>
    <w:p>
      <w:pPr>
        <w:spacing w:after="0" w:line="227" w:lineRule="auto"/>
        <w:rPr>
          <w:sz w:val="20"/>
          <w:szCs w:val="20"/>
          <w:color w:val="auto"/>
        </w:rPr>
      </w:pPr>
      <w:r>
        <w:rPr>
          <w:rFonts w:ascii="Arial" w:cs="Arial" w:eastAsia="Arial" w:hAnsi="Arial"/>
          <w:sz w:val="12"/>
          <w:szCs w:val="12"/>
          <w:color w:val="auto"/>
        </w:rPr>
        <w:t>885 Third Avenue</w:t>
      </w:r>
    </w:p>
    <w:p>
      <w:pPr>
        <w:spacing w:after="0" w:line="228" w:lineRule="auto"/>
        <w:rPr>
          <w:sz w:val="20"/>
          <w:szCs w:val="20"/>
          <w:color w:val="auto"/>
        </w:rPr>
      </w:pPr>
      <w:r>
        <w:rPr>
          <w:rFonts w:ascii="Arial" w:cs="Arial" w:eastAsia="Arial" w:hAnsi="Arial"/>
          <w:sz w:val="12"/>
          <w:szCs w:val="12"/>
          <w:color w:val="auto"/>
        </w:rPr>
        <w:t>New York, New York 10022-4834</w:t>
      </w:r>
    </w:p>
    <w:p>
      <w:pPr>
        <w:spacing w:after="0" w:line="228" w:lineRule="auto"/>
        <w:rPr>
          <w:sz w:val="20"/>
          <w:szCs w:val="20"/>
          <w:color w:val="auto"/>
        </w:rPr>
      </w:pPr>
      <w:r>
        <w:rPr>
          <w:rFonts w:ascii="Arial" w:cs="Arial" w:eastAsia="Arial" w:hAnsi="Arial"/>
          <w:sz w:val="12"/>
          <w:szCs w:val="12"/>
          <w:color w:val="auto"/>
        </w:rPr>
        <w:t>Tel: +1.212.906.1200 Fax: +1.212.751.4864</w:t>
      </w:r>
    </w:p>
    <w:p>
      <w:pPr>
        <w:spacing w:after="0"/>
        <w:rPr>
          <w:sz w:val="20"/>
          <w:szCs w:val="20"/>
          <w:color w:val="auto"/>
        </w:rPr>
      </w:pPr>
      <w:r>
        <w:rPr>
          <w:rFonts w:ascii="Arial" w:cs="Arial" w:eastAsia="Arial" w:hAnsi="Arial"/>
          <w:sz w:val="12"/>
          <w:szCs w:val="12"/>
          <w:color w:val="auto"/>
        </w:rPr>
        <w:t>www.lw.com</w:t>
      </w: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FIRM / AFFILIATE OFFICES</w:t>
      </w:r>
    </w:p>
    <w:p>
      <w:pPr>
        <w:spacing w:after="0" w:line="227" w:lineRule="auto"/>
        <w:tabs>
          <w:tab w:leader="none" w:pos="1420" w:val="left"/>
        </w:tabs>
        <w:rPr>
          <w:sz w:val="20"/>
          <w:szCs w:val="20"/>
          <w:color w:val="auto"/>
        </w:rPr>
      </w:pPr>
      <w:r>
        <w:rPr>
          <w:rFonts w:ascii="Arial" w:cs="Arial" w:eastAsia="Arial" w:hAnsi="Arial"/>
          <w:sz w:val="12"/>
          <w:szCs w:val="12"/>
          <w:color w:val="auto"/>
        </w:rPr>
        <w:t>Barcelona</w:t>
      </w:r>
      <w:r>
        <w:rPr>
          <w:sz w:val="20"/>
          <w:szCs w:val="20"/>
          <w:color w:val="auto"/>
        </w:rPr>
        <w:tab/>
      </w:r>
      <w:r>
        <w:rPr>
          <w:rFonts w:ascii="Arial" w:cs="Arial" w:eastAsia="Arial" w:hAnsi="Arial"/>
          <w:sz w:val="12"/>
          <w:szCs w:val="12"/>
          <w:color w:val="auto"/>
        </w:rPr>
        <w:t>Moscow</w:t>
      </w:r>
    </w:p>
    <w:p>
      <w:pPr>
        <w:spacing w:after="0" w:line="228" w:lineRule="auto"/>
        <w:tabs>
          <w:tab w:leader="none" w:pos="1420" w:val="left"/>
        </w:tabs>
        <w:rPr>
          <w:sz w:val="20"/>
          <w:szCs w:val="20"/>
          <w:color w:val="auto"/>
        </w:rPr>
      </w:pPr>
      <w:r>
        <w:rPr>
          <w:rFonts w:ascii="Arial" w:cs="Arial" w:eastAsia="Arial" w:hAnsi="Arial"/>
          <w:sz w:val="12"/>
          <w:szCs w:val="12"/>
          <w:color w:val="auto"/>
        </w:rPr>
        <w:t>Beijing</w:t>
      </w:r>
      <w:r>
        <w:rPr>
          <w:sz w:val="20"/>
          <w:szCs w:val="20"/>
          <w:color w:val="auto"/>
        </w:rPr>
        <w:tab/>
      </w:r>
      <w:r>
        <w:rPr>
          <w:rFonts w:ascii="Arial" w:cs="Arial" w:eastAsia="Arial" w:hAnsi="Arial"/>
          <w:sz w:val="12"/>
          <w:szCs w:val="12"/>
          <w:color w:val="auto"/>
        </w:rPr>
        <w:t>Munich</w:t>
      </w:r>
    </w:p>
    <w:p>
      <w:pPr>
        <w:spacing w:after="0" w:line="228" w:lineRule="auto"/>
        <w:tabs>
          <w:tab w:leader="none" w:pos="1420" w:val="left"/>
        </w:tabs>
        <w:rPr>
          <w:sz w:val="20"/>
          <w:szCs w:val="20"/>
          <w:color w:val="auto"/>
        </w:rPr>
      </w:pPr>
      <w:r>
        <w:rPr>
          <w:rFonts w:ascii="Arial" w:cs="Arial" w:eastAsia="Arial" w:hAnsi="Arial"/>
          <w:sz w:val="12"/>
          <w:szCs w:val="12"/>
          <w:color w:val="auto"/>
        </w:rPr>
        <w:t>Boston</w:t>
      </w:r>
      <w:r>
        <w:rPr>
          <w:sz w:val="20"/>
          <w:szCs w:val="20"/>
          <w:color w:val="auto"/>
        </w:rPr>
        <w:tab/>
      </w:r>
      <w:r>
        <w:rPr>
          <w:rFonts w:ascii="Arial" w:cs="Arial" w:eastAsia="Arial" w:hAnsi="Arial"/>
          <w:sz w:val="12"/>
          <w:szCs w:val="12"/>
          <w:color w:val="auto"/>
        </w:rPr>
        <w:t>New Jersey</w:t>
      </w:r>
    </w:p>
    <w:p>
      <w:pPr>
        <w:spacing w:after="0" w:line="227" w:lineRule="auto"/>
        <w:tabs>
          <w:tab w:leader="none" w:pos="1420" w:val="left"/>
        </w:tabs>
        <w:rPr>
          <w:sz w:val="20"/>
          <w:szCs w:val="20"/>
          <w:color w:val="auto"/>
        </w:rPr>
      </w:pPr>
      <w:r>
        <w:rPr>
          <w:rFonts w:ascii="Arial" w:cs="Arial" w:eastAsia="Arial" w:hAnsi="Arial"/>
          <w:sz w:val="12"/>
          <w:szCs w:val="12"/>
          <w:color w:val="auto"/>
        </w:rPr>
        <w:t>Brussels</w:t>
      </w:r>
      <w:r>
        <w:rPr>
          <w:sz w:val="20"/>
          <w:szCs w:val="20"/>
          <w:color w:val="auto"/>
        </w:rPr>
        <w:tab/>
      </w:r>
      <w:r>
        <w:rPr>
          <w:rFonts w:ascii="Arial" w:cs="Arial" w:eastAsia="Arial" w:hAnsi="Arial"/>
          <w:sz w:val="12"/>
          <w:szCs w:val="12"/>
          <w:color w:val="auto"/>
        </w:rPr>
        <w:t>New York</w:t>
      </w:r>
    </w:p>
    <w:p>
      <w:pPr>
        <w:spacing w:after="0" w:line="228" w:lineRule="auto"/>
        <w:tabs>
          <w:tab w:leader="none" w:pos="1420" w:val="left"/>
        </w:tabs>
        <w:rPr>
          <w:sz w:val="20"/>
          <w:szCs w:val="20"/>
          <w:color w:val="auto"/>
        </w:rPr>
      </w:pPr>
      <w:r>
        <w:rPr>
          <w:rFonts w:ascii="Arial" w:cs="Arial" w:eastAsia="Arial" w:hAnsi="Arial"/>
          <w:sz w:val="12"/>
          <w:szCs w:val="12"/>
          <w:color w:val="auto"/>
        </w:rPr>
        <w:t>Century City</w:t>
      </w:r>
      <w:r>
        <w:rPr>
          <w:sz w:val="20"/>
          <w:szCs w:val="20"/>
          <w:color w:val="auto"/>
        </w:rPr>
        <w:tab/>
      </w:r>
      <w:r>
        <w:rPr>
          <w:rFonts w:ascii="Arial" w:cs="Arial" w:eastAsia="Arial" w:hAnsi="Arial"/>
          <w:sz w:val="12"/>
          <w:szCs w:val="12"/>
          <w:color w:val="auto"/>
        </w:rPr>
        <w:t>Orange County</w:t>
      </w:r>
    </w:p>
    <w:p>
      <w:pPr>
        <w:spacing w:after="0" w:line="228" w:lineRule="auto"/>
        <w:tabs>
          <w:tab w:leader="none" w:pos="1420" w:val="left"/>
        </w:tabs>
        <w:rPr>
          <w:sz w:val="20"/>
          <w:szCs w:val="20"/>
          <w:color w:val="auto"/>
        </w:rPr>
      </w:pPr>
      <w:r>
        <w:rPr>
          <w:rFonts w:ascii="Arial" w:cs="Arial" w:eastAsia="Arial" w:hAnsi="Arial"/>
          <w:sz w:val="12"/>
          <w:szCs w:val="12"/>
          <w:color w:val="auto"/>
        </w:rPr>
        <w:t>Chicago</w:t>
      </w:r>
      <w:r>
        <w:rPr>
          <w:sz w:val="20"/>
          <w:szCs w:val="20"/>
          <w:color w:val="auto"/>
        </w:rPr>
        <w:tab/>
      </w:r>
      <w:r>
        <w:rPr>
          <w:rFonts w:ascii="Arial" w:cs="Arial" w:eastAsia="Arial" w:hAnsi="Arial"/>
          <w:sz w:val="12"/>
          <w:szCs w:val="12"/>
          <w:color w:val="auto"/>
        </w:rPr>
        <w:t>Paris</w:t>
      </w:r>
    </w:p>
    <w:p>
      <w:pPr>
        <w:spacing w:after="0" w:line="228" w:lineRule="auto"/>
        <w:tabs>
          <w:tab w:leader="none" w:pos="1420" w:val="left"/>
        </w:tabs>
        <w:rPr>
          <w:sz w:val="20"/>
          <w:szCs w:val="20"/>
          <w:color w:val="auto"/>
        </w:rPr>
      </w:pPr>
      <w:r>
        <w:rPr>
          <w:rFonts w:ascii="Arial" w:cs="Arial" w:eastAsia="Arial" w:hAnsi="Arial"/>
          <w:sz w:val="12"/>
          <w:szCs w:val="12"/>
          <w:color w:val="auto"/>
        </w:rPr>
        <w:t>Dubai</w:t>
      </w:r>
      <w:r>
        <w:rPr>
          <w:sz w:val="20"/>
          <w:szCs w:val="20"/>
          <w:color w:val="auto"/>
        </w:rPr>
        <w:tab/>
      </w:r>
      <w:r>
        <w:rPr>
          <w:rFonts w:ascii="Arial" w:cs="Arial" w:eastAsia="Arial" w:hAnsi="Arial"/>
          <w:sz w:val="12"/>
          <w:szCs w:val="12"/>
          <w:color w:val="auto"/>
        </w:rPr>
        <w:t>Riyadh</w:t>
      </w:r>
    </w:p>
    <w:p>
      <w:pPr>
        <w:spacing w:after="0" w:line="227" w:lineRule="auto"/>
        <w:tabs>
          <w:tab w:leader="none" w:pos="1420" w:val="left"/>
        </w:tabs>
        <w:rPr>
          <w:sz w:val="20"/>
          <w:szCs w:val="20"/>
          <w:color w:val="auto"/>
        </w:rPr>
      </w:pPr>
      <w:r>
        <w:rPr>
          <w:rFonts w:ascii="Arial" w:cs="Arial" w:eastAsia="Arial" w:hAnsi="Arial"/>
          <w:sz w:val="12"/>
          <w:szCs w:val="12"/>
          <w:color w:val="auto"/>
        </w:rPr>
        <w:t>Düsseldorf</w:t>
      </w:r>
      <w:r>
        <w:rPr>
          <w:sz w:val="20"/>
          <w:szCs w:val="20"/>
          <w:color w:val="auto"/>
        </w:rPr>
        <w:tab/>
      </w:r>
      <w:r>
        <w:rPr>
          <w:rFonts w:ascii="Arial" w:cs="Arial" w:eastAsia="Arial" w:hAnsi="Arial"/>
          <w:sz w:val="12"/>
          <w:szCs w:val="12"/>
          <w:color w:val="auto"/>
        </w:rPr>
        <w:t>Rome</w:t>
      </w:r>
    </w:p>
    <w:p>
      <w:pPr>
        <w:spacing w:after="0" w:line="1"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Frankfurt</w:t>
      </w:r>
      <w:r>
        <w:rPr>
          <w:sz w:val="20"/>
          <w:szCs w:val="20"/>
          <w:color w:val="auto"/>
        </w:rPr>
        <w:tab/>
      </w:r>
      <w:r>
        <w:rPr>
          <w:rFonts w:ascii="Arial" w:cs="Arial" w:eastAsia="Arial" w:hAnsi="Arial"/>
          <w:sz w:val="12"/>
          <w:szCs w:val="12"/>
          <w:color w:val="auto"/>
        </w:rPr>
        <w:t>San Diego</w:t>
      </w:r>
    </w:p>
    <w:p>
      <w:pPr>
        <w:spacing w:after="0" w:line="38"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Hamburg</w:t>
      </w:r>
      <w:r>
        <w:rPr>
          <w:sz w:val="20"/>
          <w:szCs w:val="20"/>
          <w:color w:val="auto"/>
        </w:rPr>
        <w:tab/>
      </w:r>
      <w:r>
        <w:rPr>
          <w:rFonts w:ascii="Arial" w:cs="Arial" w:eastAsia="Arial" w:hAnsi="Arial"/>
          <w:sz w:val="12"/>
          <w:szCs w:val="12"/>
          <w:color w:val="auto"/>
        </w:rPr>
        <w:t>San Francisco</w:t>
      </w:r>
    </w:p>
    <w:p>
      <w:pPr>
        <w:spacing w:after="0" w:line="227" w:lineRule="auto"/>
        <w:tabs>
          <w:tab w:leader="none" w:pos="1420" w:val="left"/>
        </w:tabs>
        <w:rPr>
          <w:sz w:val="20"/>
          <w:szCs w:val="20"/>
          <w:color w:val="auto"/>
        </w:rPr>
      </w:pPr>
      <w:r>
        <w:rPr>
          <w:rFonts w:ascii="Arial" w:cs="Arial" w:eastAsia="Arial" w:hAnsi="Arial"/>
          <w:sz w:val="12"/>
          <w:szCs w:val="12"/>
          <w:color w:val="auto"/>
        </w:rPr>
        <w:t>Hong Kong</w:t>
      </w:r>
      <w:r>
        <w:rPr>
          <w:sz w:val="20"/>
          <w:szCs w:val="20"/>
          <w:color w:val="auto"/>
        </w:rPr>
        <w:tab/>
      </w:r>
      <w:r>
        <w:rPr>
          <w:rFonts w:ascii="Arial" w:cs="Arial" w:eastAsia="Arial" w:hAnsi="Arial"/>
          <w:sz w:val="12"/>
          <w:szCs w:val="12"/>
          <w:color w:val="auto"/>
        </w:rPr>
        <w:t>Shanghai</w:t>
      </w:r>
    </w:p>
    <w:p>
      <w:pPr>
        <w:spacing w:after="0"/>
        <w:tabs>
          <w:tab w:leader="none" w:pos="1420" w:val="left"/>
        </w:tabs>
        <w:rPr>
          <w:sz w:val="20"/>
          <w:szCs w:val="20"/>
          <w:color w:val="auto"/>
        </w:rPr>
      </w:pPr>
      <w:r>
        <w:rPr>
          <w:rFonts w:ascii="Arial" w:cs="Arial" w:eastAsia="Arial" w:hAnsi="Arial"/>
          <w:sz w:val="12"/>
          <w:szCs w:val="12"/>
          <w:color w:val="auto"/>
        </w:rPr>
        <w:t>Houston</w:t>
      </w:r>
      <w:r>
        <w:rPr>
          <w:sz w:val="20"/>
          <w:szCs w:val="20"/>
          <w:color w:val="auto"/>
        </w:rPr>
        <w:tab/>
      </w:r>
      <w:r>
        <w:rPr>
          <w:rFonts w:ascii="Arial" w:cs="Arial" w:eastAsia="Arial" w:hAnsi="Arial"/>
          <w:sz w:val="12"/>
          <w:szCs w:val="12"/>
          <w:color w:val="auto"/>
        </w:rPr>
        <w:t>Silicon Valley</w:t>
      </w:r>
    </w:p>
    <w:p>
      <w:pPr>
        <w:spacing w:after="0" w:line="45"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London</w:t>
      </w:r>
      <w:r>
        <w:rPr>
          <w:sz w:val="20"/>
          <w:szCs w:val="20"/>
          <w:color w:val="auto"/>
        </w:rPr>
        <w:tab/>
      </w:r>
      <w:r>
        <w:rPr>
          <w:rFonts w:ascii="Arial" w:cs="Arial" w:eastAsia="Arial" w:hAnsi="Arial"/>
          <w:sz w:val="12"/>
          <w:szCs w:val="12"/>
          <w:color w:val="auto"/>
        </w:rPr>
        <w:t>Singapore</w:t>
      </w:r>
    </w:p>
    <w:p>
      <w:pPr>
        <w:spacing w:after="0" w:line="45"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Los Angeles</w:t>
      </w:r>
      <w:r>
        <w:rPr>
          <w:sz w:val="20"/>
          <w:szCs w:val="20"/>
          <w:color w:val="auto"/>
        </w:rPr>
        <w:tab/>
      </w:r>
      <w:r>
        <w:rPr>
          <w:rFonts w:ascii="Arial" w:cs="Arial" w:eastAsia="Arial" w:hAnsi="Arial"/>
          <w:sz w:val="11"/>
          <w:szCs w:val="11"/>
          <w:color w:val="auto"/>
        </w:rPr>
        <w:t>Tokyo</w:t>
      </w:r>
    </w:p>
    <w:p>
      <w:pPr>
        <w:spacing w:after="0" w:line="45"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Madrid</w:t>
      </w:r>
      <w:r>
        <w:rPr>
          <w:sz w:val="20"/>
          <w:szCs w:val="20"/>
          <w:color w:val="auto"/>
        </w:rPr>
        <w:tab/>
      </w:r>
      <w:r>
        <w:rPr>
          <w:rFonts w:ascii="Arial" w:cs="Arial" w:eastAsia="Arial" w:hAnsi="Arial"/>
          <w:sz w:val="12"/>
          <w:szCs w:val="12"/>
          <w:color w:val="auto"/>
        </w:rPr>
        <w:t>Washington, D.C.</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Milan</w:t>
      </w:r>
    </w:p>
    <w:p>
      <w:pPr>
        <w:spacing w:after="0" w:line="1354" w:lineRule="exact"/>
        <w:rPr>
          <w:sz w:val="20"/>
          <w:szCs w:val="20"/>
          <w:color w:val="auto"/>
        </w:rPr>
      </w:pPr>
    </w:p>
    <w:p>
      <w:pPr>
        <w:sectPr>
          <w:pgSz w:w="11900" w:h="16838" w:orient="portrait"/>
          <w:cols w:equalWidth="0" w:num="2">
            <w:col w:w="7200" w:space="720"/>
            <w:col w:w="3500"/>
          </w:cols>
          <w:pgMar w:left="240" w:top="120" w:right="239" w:bottom="1440" w:gutter="0" w:footer="0" w:header="0"/>
        </w:sectPr>
      </w:pPr>
    </w:p>
    <w:p>
      <w:pPr>
        <w:spacing w:after="0"/>
        <w:rPr>
          <w:sz w:val="20"/>
          <w:szCs w:val="20"/>
          <w:color w:val="auto"/>
        </w:rPr>
      </w:pPr>
      <w:r>
        <w:rPr>
          <w:rFonts w:ascii="Arial" w:cs="Arial" w:eastAsia="Arial" w:hAnsi="Arial"/>
          <w:sz w:val="17"/>
          <w:szCs w:val="17"/>
          <w:color w:val="auto"/>
        </w:rPr>
        <w:t>Ladies and Gentlemen:</w:t>
      </w:r>
    </w:p>
    <w:p>
      <w:pPr>
        <w:spacing w:after="0" w:line="177" w:lineRule="exact"/>
        <w:rPr>
          <w:sz w:val="20"/>
          <w:szCs w:val="20"/>
          <w:color w:val="auto"/>
        </w:rPr>
      </w:pPr>
    </w:p>
    <w:p>
      <w:pPr>
        <w:ind w:right="40" w:firstLine="342"/>
        <w:spacing w:after="0" w:line="234" w:lineRule="auto"/>
        <w:rPr>
          <w:sz w:val="20"/>
          <w:szCs w:val="20"/>
          <w:color w:val="auto"/>
        </w:rPr>
      </w:pPr>
      <w:r>
        <w:rPr>
          <w:rFonts w:ascii="Arial" w:cs="Arial" w:eastAsia="Arial" w:hAnsi="Arial"/>
          <w:sz w:val="17"/>
          <w:szCs w:val="17"/>
          <w:color w:val="auto"/>
        </w:rPr>
        <w:t>On behalf of our client Medpace Holdings,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pursuant to the applicable provisions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the rules promulgated thereunder, please find enclosed for filing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 complete copy of Amendment No. 1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to the above-captioned Registration Statement on Form S-1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which was initially submitted to the Commission on a confidential basis pursuant to Title I, Section 106 under the Jumpstart Our Business Startups Act on March 15, 2016.</w:t>
      </w:r>
    </w:p>
    <w:p>
      <w:pPr>
        <w:spacing w:after="0" w:line="193" w:lineRule="exact"/>
        <w:rPr>
          <w:sz w:val="20"/>
          <w:szCs w:val="20"/>
          <w:color w:val="auto"/>
        </w:rPr>
      </w:pPr>
    </w:p>
    <w:p>
      <w:pPr>
        <w:ind w:firstLine="342"/>
        <w:spacing w:after="0" w:line="230" w:lineRule="auto"/>
        <w:rPr>
          <w:sz w:val="20"/>
          <w:szCs w:val="20"/>
          <w:color w:val="auto"/>
        </w:rPr>
      </w:pPr>
      <w:r>
        <w:rPr>
          <w:rFonts w:ascii="Arial" w:cs="Arial" w:eastAsia="Arial" w:hAnsi="Arial"/>
          <w:sz w:val="17"/>
          <w:szCs w:val="17"/>
          <w:color w:val="auto"/>
        </w:rPr>
        <w:t>This amendment reflects certain revisions to the Registration Statement that was filed on June 24, 2016. The response provided herein to the comment letter from the staff of the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to Jesse J. Geiger, the Company’s Chief Financial Officer, dated July 8, 2016 is based on information provided to Latham &amp; Watkins LLP by the Company. For your convenience we are also providing five copies of Amendment No. 1, marked to show changes against the Registration Statement filed on June 24, 2016, in the traditional non-EDGAR format.</w:t>
      </w:r>
    </w:p>
    <w:p>
      <w:pPr>
        <w:spacing w:after="0" w:line="193" w:lineRule="exact"/>
        <w:rPr>
          <w:sz w:val="20"/>
          <w:szCs w:val="20"/>
          <w:color w:val="auto"/>
        </w:rPr>
      </w:pPr>
    </w:p>
    <w:p>
      <w:pPr>
        <w:ind w:right="40" w:firstLine="342"/>
        <w:spacing w:after="0" w:line="235" w:lineRule="auto"/>
        <w:rPr>
          <w:sz w:val="20"/>
          <w:szCs w:val="20"/>
          <w:color w:val="auto"/>
        </w:rPr>
      </w:pPr>
      <w:r>
        <w:rPr>
          <w:rFonts w:ascii="Arial" w:cs="Arial" w:eastAsia="Arial" w:hAnsi="Arial"/>
          <w:sz w:val="17"/>
          <w:szCs w:val="17"/>
          <w:color w:val="auto"/>
        </w:rPr>
        <w:t>The numbered paragraph in italics below sets forth the Staff’s comment together with the Company’s response. Unless otherwise indicated, capitalized terms used herein have the meanings assigned to them in the Registration Statement.</w:t>
      </w:r>
    </w:p>
    <w:p>
      <w:pPr>
        <w:sectPr>
          <w:pgSz w:w="11900" w:h="16838" w:orient="portrait"/>
          <w:cols w:equalWidth="0" w:num="1">
            <w:col w:w="11420"/>
          </w:cols>
          <w:pgMar w:left="240" w:top="120" w:right="239" w:bottom="1440" w:gutter="0" w:footer="0" w:header="0"/>
          <w:type w:val="continuous"/>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July 26, 2016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45720</wp:posOffset>
            </wp:positionV>
            <wp:extent cx="2053590" cy="2247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053590" cy="2247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Financial Statements, page F-1</w:t>
      </w:r>
    </w:p>
    <w:p>
      <w:pPr>
        <w:spacing w:after="0" w:line="106" w:lineRule="exact"/>
        <w:rPr>
          <w:sz w:val="20"/>
          <w:szCs w:val="20"/>
          <w:color w:val="auto"/>
        </w:rPr>
      </w:pPr>
    </w:p>
    <w:p>
      <w:pPr>
        <w:ind w:left="900" w:hanging="436"/>
        <w:spacing w:after="0" w:line="228"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Please revise your historical financial statements to give retrospective effect to the reverse stock split that you expect to effectuate prior to the effectiveness of this registration statement. If your auditors believe that only a draft report can be presented due to a pending future event, such as the reverse stock split, they should include in the filing a signed and dated preface to their draft report stating the reason for the draft report and that they expect to be in a position to issue the report in the form presented prior to effectiveness. A signed, dated and unrestricted auditor’s report must be included in the filing prior to effectiveness. Refer to SAB Topic 4:C and Rule 2-02 of Regulation S-X.</w:t>
      </w:r>
    </w:p>
    <w:p>
      <w:pPr>
        <w:spacing w:after="0" w:line="83" w:lineRule="exact"/>
        <w:rPr>
          <w:rFonts w:ascii="Arial" w:cs="Arial" w:eastAsia="Arial" w:hAnsi="Arial"/>
          <w:sz w:val="17"/>
          <w:szCs w:val="17"/>
          <w:color w:val="auto"/>
        </w:rPr>
      </w:pPr>
    </w:p>
    <w:p>
      <w:pPr>
        <w:ind w:left="900" w:right="560"/>
        <w:spacing w:after="0"/>
        <w:rPr>
          <w:rFonts w:ascii="Arial" w:cs="Arial" w:eastAsia="Arial" w:hAnsi="Arial"/>
          <w:sz w:val="17"/>
          <w:szCs w:val="17"/>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The Company respectfully acknowledges the Staff’s comment and advises the Staff that Amendment No. 1 gives</w:t>
      </w:r>
      <w:r>
        <w:rPr>
          <w:rFonts w:ascii="Arial" w:cs="Arial" w:eastAsia="Arial" w:hAnsi="Arial"/>
          <w:sz w:val="17"/>
          <w:szCs w:val="17"/>
          <w:b w:val="1"/>
          <w:bCs w:val="1"/>
          <w:color w:val="auto"/>
        </w:rPr>
        <w:t xml:space="preserve"> </w:t>
      </w:r>
      <w:r>
        <w:rPr>
          <w:rFonts w:ascii="Arial" w:cs="Arial" w:eastAsia="Arial" w:hAnsi="Arial"/>
          <w:sz w:val="17"/>
          <w:szCs w:val="17"/>
          <w:color w:val="auto"/>
        </w:rPr>
        <w:t>retroactive effect to the reverse stock split. The Company further confirms that Amendment No. 1 includes a signed, dated and unrestricted auditor’s report.</w:t>
      </w:r>
    </w:p>
    <w:p>
      <w:pPr>
        <w:sectPr>
          <w:pgSz w:w="11900" w:h="16838" w:orient="portrait"/>
          <w:cols w:equalWidth="0" w:num="1">
            <w:col w:w="10700"/>
          </w:cols>
          <w:pgMar w:left="920" w:top="257" w:right="279" w:bottom="1440" w:gutter="0" w:footer="0" w:header="0"/>
        </w:sectPr>
      </w:pPr>
    </w:p>
    <w:bookmarkStart w:id="309" w:name="page310"/>
    <w:bookmarkEnd w:id="309"/>
    <w:p>
      <w:pPr>
        <w:ind w:left="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July 26, 2016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2053590" cy="2247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053590" cy="2247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firstLine="342"/>
        <w:spacing w:after="0" w:line="231" w:lineRule="auto"/>
        <w:rPr>
          <w:sz w:val="20"/>
          <w:szCs w:val="20"/>
          <w:color w:val="auto"/>
        </w:rPr>
      </w:pPr>
      <w:r>
        <w:rPr>
          <w:rFonts w:ascii="Arial" w:cs="Arial" w:eastAsia="Arial" w:hAnsi="Arial"/>
          <w:sz w:val="17"/>
          <w:szCs w:val="17"/>
          <w:color w:val="auto"/>
        </w:rPr>
        <w:t>We hope that the foregoing has been responsive to the Staff’s comment and look forward to resolving any outstanding issues as quickly as possible. Please do not hesitate to contact me at (212) 906-2918 with any questions or further comments you may have regarding this filing or if you wish to discuss the above.</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Sincerely,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Gregory P. Rodgers</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Gregory P. Rodgers</w:t>
      </w:r>
    </w:p>
    <w:p>
      <w:pPr>
        <w:ind w:left="6860"/>
        <w:spacing w:after="0"/>
        <w:rPr>
          <w:sz w:val="20"/>
          <w:szCs w:val="20"/>
          <w:color w:val="auto"/>
        </w:rPr>
      </w:pPr>
      <w:r>
        <w:rPr>
          <w:rFonts w:ascii="Arial" w:cs="Arial" w:eastAsia="Arial" w:hAnsi="Arial"/>
          <w:sz w:val="17"/>
          <w:szCs w:val="17"/>
          <w:color w:val="auto"/>
        </w:rPr>
        <w:t>of LATHAM &amp; WATKINS LLP</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Enclosures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cc: (via e-mail)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Dr. August J. Troendle, Chief Executive Officer, Medpace Holdings, Inc.</w:t>
      </w:r>
    </w:p>
    <w:p>
      <w:pPr>
        <w:spacing w:after="0" w:line="225" w:lineRule="auto"/>
        <w:rPr>
          <w:sz w:val="20"/>
          <w:szCs w:val="20"/>
          <w:color w:val="auto"/>
        </w:rPr>
      </w:pPr>
      <w:r>
        <w:rPr>
          <w:rFonts w:ascii="Arial" w:cs="Arial" w:eastAsia="Arial" w:hAnsi="Arial"/>
          <w:sz w:val="17"/>
          <w:szCs w:val="17"/>
          <w:color w:val="auto"/>
        </w:rPr>
        <w:t>Jesse J. Geiger, Chief Financial Officer, Medpace Holdings, Inc.</w:t>
      </w:r>
    </w:p>
    <w:p>
      <w:pPr>
        <w:spacing w:after="0" w:line="225" w:lineRule="auto"/>
        <w:rPr>
          <w:sz w:val="20"/>
          <w:szCs w:val="20"/>
          <w:color w:val="auto"/>
        </w:rPr>
      </w:pPr>
      <w:r>
        <w:rPr>
          <w:rFonts w:ascii="Arial" w:cs="Arial" w:eastAsia="Arial" w:hAnsi="Arial"/>
          <w:sz w:val="17"/>
          <w:szCs w:val="17"/>
          <w:color w:val="auto"/>
        </w:rPr>
        <w:t>Stephen P. Ewald, Esq., General Counsel, Medpace Holdings, Inc.</w:t>
      </w:r>
    </w:p>
    <w:p>
      <w:pPr>
        <w:spacing w:after="0" w:line="225" w:lineRule="auto"/>
        <w:rPr>
          <w:sz w:val="20"/>
          <w:szCs w:val="20"/>
          <w:color w:val="auto"/>
        </w:rPr>
      </w:pPr>
      <w:r>
        <w:rPr>
          <w:rFonts w:ascii="Arial" w:cs="Arial" w:eastAsia="Arial" w:hAnsi="Arial"/>
          <w:sz w:val="17"/>
          <w:szCs w:val="17"/>
          <w:color w:val="auto"/>
        </w:rPr>
        <w:t>Howard A. Sobel, Esq., Latham &amp; Watkins LLP</w:t>
      </w:r>
    </w:p>
    <w:p>
      <w:pPr>
        <w:spacing w:after="0"/>
        <w:rPr>
          <w:sz w:val="20"/>
          <w:szCs w:val="20"/>
          <w:color w:val="auto"/>
        </w:rPr>
      </w:pPr>
      <w:r>
        <w:rPr>
          <w:rFonts w:ascii="Arial" w:cs="Arial" w:eastAsia="Arial" w:hAnsi="Arial"/>
          <w:sz w:val="17"/>
          <w:szCs w:val="17"/>
          <w:color w:val="auto"/>
        </w:rPr>
        <w:t>Glenn R. Pollner, Esq., Gibson, Dunn &amp; Crutcher LLP</w:t>
      </w:r>
    </w:p>
    <w:sectPr>
      <w:pgSz w:w="11900" w:h="16838" w:orient="portrait"/>
      <w:cols w:equalWidth="0" w:num="1">
        <w:col w:w="11300"/>
      </w:cols>
      <w:pgMar w:left="240" w:top="2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n"/>
      <w:numFmt w:val="bullet"/>
      <w:start w:val="1"/>
    </w:lvl>
  </w:abstractNum>
  <w:abstractNum w:abstractNumId="1">
    <w:nsid w:val="46B7D447"/>
    <w:multiLevelType w:val="hybridMultilevel"/>
    <w:lvl w:ilvl="0">
      <w:lvlJc w:val="left"/>
      <w:lvlText w:val="n"/>
      <w:numFmt w:val="bullet"/>
      <w:start w:val="1"/>
    </w:lvl>
  </w:abstractNum>
  <w:abstractNum w:abstractNumId="2">
    <w:nsid w:val="4A2AC315"/>
    <w:multiLevelType w:val="hybridMultilevel"/>
    <w:lvl w:ilvl="0">
      <w:lvlJc w:val="left"/>
      <w:lvlText w:val="n"/>
      <w:numFmt w:val="bullet"/>
      <w:start w:val="1"/>
    </w:lvl>
  </w:abstractNum>
  <w:abstractNum w:abstractNumId="3">
    <w:nsid w:val="39EE015C"/>
    <w:multiLevelType w:val="hybridMultilevel"/>
    <w:lvl w:ilvl="0">
      <w:lvlJc w:val="left"/>
      <w:lvlText w:val="n"/>
      <w:numFmt w:val="bullet"/>
      <w:start w:val="1"/>
    </w:lvl>
  </w:abstractNum>
  <w:abstractNum w:abstractNumId="4">
    <w:nsid w:val="57FC4FBB"/>
    <w:multiLevelType w:val="hybridMultilevel"/>
    <w:lvl w:ilvl="0">
      <w:lvlJc w:val="left"/>
      <w:lvlText w:val="(%1)"/>
      <w:numFmt w:val="decimal"/>
      <w:start w:val="1"/>
    </w:lvl>
  </w:abstractNum>
  <w:abstractNum w:abstractNumId="5">
    <w:nsid w:val="CC1016F"/>
    <w:multiLevelType w:val="hybridMultilevel"/>
    <w:lvl w:ilvl="0">
      <w:lvlJc w:val="left"/>
      <w:lvlText w:val="n"/>
      <w:numFmt w:val="bullet"/>
      <w:start w:val="1"/>
    </w:lvl>
  </w:abstractNum>
  <w:abstractNum w:abstractNumId="6">
    <w:nsid w:val="43F18422"/>
    <w:multiLevelType w:val="hybridMultilevel"/>
    <w:lvl w:ilvl="0">
      <w:lvlJc w:val="left"/>
      <w:lvlText w:val="n"/>
      <w:numFmt w:val="bullet"/>
      <w:start w:val="1"/>
    </w:lvl>
  </w:abstractNum>
  <w:abstractNum w:abstractNumId="7">
    <w:nsid w:val="60EF0119"/>
    <w:multiLevelType w:val="hybridMultilevel"/>
    <w:lvl w:ilvl="0">
      <w:lvlJc w:val="left"/>
      <w:lvlText w:val="n"/>
      <w:numFmt w:val="bullet"/>
      <w:start w:val="1"/>
    </w:lvl>
  </w:abstractNum>
  <w:abstractNum w:abstractNumId="8">
    <w:nsid w:val="26F324BA"/>
    <w:multiLevelType w:val="hybridMultilevel"/>
    <w:lvl w:ilvl="0">
      <w:lvlJc w:val="left"/>
      <w:lvlText w:val="(%1)"/>
      <w:numFmt w:val="decimal"/>
      <w:start w:val="2"/>
    </w:lvl>
  </w:abstractNum>
  <w:abstractNum w:abstractNumId="9">
    <w:nsid w:val="7F01579B"/>
    <w:multiLevelType w:val="hybridMultilevel"/>
    <w:lvl w:ilvl="0">
      <w:lvlJc w:val="left"/>
      <w:lvlText w:val="n"/>
      <w:numFmt w:val="bullet"/>
      <w:start w:val="1"/>
    </w:lvl>
  </w:abstractNum>
  <w:abstractNum w:abstractNumId="10">
    <w:nsid w:val="49DA307D"/>
    <w:multiLevelType w:val="hybridMultilevel"/>
    <w:lvl w:ilvl="0">
      <w:lvlJc w:val="left"/>
      <w:lvlText w:val="n"/>
      <w:numFmt w:val="bullet"/>
      <w:start w:val="1"/>
    </w:lvl>
  </w:abstractNum>
  <w:abstractNum w:abstractNumId="11">
    <w:nsid w:val="7055A5F5"/>
    <w:multiLevelType w:val="hybridMultilevel"/>
    <w:lvl w:ilvl="0">
      <w:lvlJc w:val="left"/>
      <w:lvlText w:val="(%1)"/>
      <w:numFmt w:val="lowerLetter"/>
      <w:start w:val="1"/>
    </w:lvl>
  </w:abstractNum>
  <w:abstractNum w:abstractNumId="12">
    <w:nsid w:val="5FB8370B"/>
    <w:multiLevelType w:val="hybridMultilevel"/>
    <w:lvl w:ilvl="0">
      <w:lvlJc w:val="left"/>
      <w:lvlText w:val="%1"/>
      <w:numFmt w:val="decimal"/>
      <w:start w:val="1"/>
    </w:lvl>
    <w:lvl w:ilvl="1">
      <w:lvlJc w:val="left"/>
      <w:lvlText w:val="(%2)"/>
      <w:numFmt w:val="lowerLetter"/>
      <w:start w:val="3"/>
    </w:lvl>
  </w:abstractNum>
  <w:abstractNum w:abstractNumId="13">
    <w:nsid w:val="50801EE1"/>
    <w:multiLevelType w:val="hybridMultilevel"/>
    <w:lvl w:ilvl="0">
      <w:lvlJc w:val="left"/>
      <w:lvlText w:val="(%1)"/>
      <w:numFmt w:val="decimal"/>
      <w:start w:val="3"/>
    </w:lvl>
    <w:lvl w:ilvl="1">
      <w:lvlJc w:val="left"/>
      <w:lvlText w:val="%2"/>
      <w:numFmt w:val="lowerLetter"/>
      <w:start w:val="1"/>
    </w:lvl>
  </w:abstractNum>
  <w:abstractNum w:abstractNumId="14">
    <w:nsid w:val="488AC1A"/>
    <w:multiLevelType w:val="hybridMultilevel"/>
    <w:lvl w:ilvl="0">
      <w:lvlJc w:val="left"/>
      <w:lvlText w:val="n"/>
      <w:numFmt w:val="bullet"/>
      <w:start w:val="1"/>
    </w:lvl>
  </w:abstractNum>
  <w:abstractNum w:abstractNumId="15">
    <w:nsid w:val="5FB8011C"/>
    <w:multiLevelType w:val="hybridMultilevel"/>
    <w:lvl w:ilvl="0">
      <w:lvlJc w:val="left"/>
      <w:lvlText w:val="n"/>
      <w:numFmt w:val="bullet"/>
      <w:start w:val="1"/>
    </w:lvl>
  </w:abstractNum>
  <w:abstractNum w:abstractNumId="16">
    <w:nsid w:val="6AA78F7F"/>
    <w:multiLevelType w:val="hybridMultilevel"/>
    <w:lvl w:ilvl="0">
      <w:lvlJc w:val="left"/>
      <w:lvlText w:val="n"/>
      <w:numFmt w:val="bullet"/>
      <w:start w:val="1"/>
    </w:lvl>
  </w:abstractNum>
  <w:abstractNum w:abstractNumId="17">
    <w:nsid w:val="7672BD23"/>
    <w:multiLevelType w:val="hybridMultilevel"/>
    <w:lvl w:ilvl="0">
      <w:lvlJc w:val="left"/>
      <w:lvlText w:val="n"/>
      <w:numFmt w:val="bullet"/>
      <w:start w:val="1"/>
    </w:lvl>
  </w:abstractNum>
  <w:abstractNum w:abstractNumId="18">
    <w:nsid w:val="6FC75AF8"/>
    <w:multiLevelType w:val="hybridMultilevel"/>
    <w:lvl w:ilvl="0">
      <w:lvlJc w:val="left"/>
      <w:lvlText w:val="n"/>
      <w:numFmt w:val="bullet"/>
      <w:start w:val="1"/>
    </w:lvl>
  </w:abstractNum>
  <w:abstractNum w:abstractNumId="19">
    <w:nsid w:val="6A5F7029"/>
    <w:multiLevelType w:val="hybridMultilevel"/>
    <w:lvl w:ilvl="0">
      <w:lvlJc w:val="left"/>
      <w:lvlText w:val="n"/>
      <w:numFmt w:val="bullet"/>
      <w:start w:val="1"/>
    </w:lvl>
  </w:abstractNum>
  <w:abstractNum w:abstractNumId="20">
    <w:nsid w:val="7D5E18F8"/>
    <w:multiLevelType w:val="hybridMultilevel"/>
    <w:lvl w:ilvl="0">
      <w:lvlJc w:val="left"/>
      <w:lvlText w:val="n"/>
      <w:numFmt w:val="bullet"/>
      <w:start w:val="1"/>
    </w:lvl>
  </w:abstractNum>
  <w:abstractNum w:abstractNumId="21">
    <w:nsid w:val="5F3534A4"/>
    <w:multiLevelType w:val="hybridMultilevel"/>
    <w:lvl w:ilvl="0">
      <w:lvlJc w:val="left"/>
      <w:lvlText w:val="n"/>
      <w:numFmt w:val="bullet"/>
      <w:start w:val="1"/>
    </w:lvl>
  </w:abstractNum>
  <w:abstractNum w:abstractNumId="22">
    <w:nsid w:val="73A1821B"/>
    <w:multiLevelType w:val="hybridMultilevel"/>
    <w:lvl w:ilvl="0">
      <w:lvlJc w:val="left"/>
      <w:lvlText w:val="n"/>
      <w:numFmt w:val="bullet"/>
      <w:start w:val="1"/>
    </w:lvl>
  </w:abstractNum>
  <w:abstractNum w:abstractNumId="23">
    <w:nsid w:val="7DE67713"/>
    <w:multiLevelType w:val="hybridMultilevel"/>
    <w:lvl w:ilvl="0">
      <w:lvlJc w:val="left"/>
      <w:lvlText w:val="n"/>
      <w:numFmt w:val="bullet"/>
      <w:start w:val="1"/>
    </w:lvl>
  </w:abstractNum>
  <w:abstractNum w:abstractNumId="24">
    <w:nsid w:val="555C55B5"/>
    <w:multiLevelType w:val="hybridMultilevel"/>
    <w:lvl w:ilvl="0">
      <w:lvlJc w:val="left"/>
      <w:lvlText w:val="n"/>
      <w:numFmt w:val="bullet"/>
      <w:start w:val="1"/>
    </w:lvl>
  </w:abstractNum>
  <w:abstractNum w:abstractNumId="25">
    <w:nsid w:val="3FA62ACA"/>
    <w:multiLevelType w:val="hybridMultilevel"/>
    <w:lvl w:ilvl="0">
      <w:lvlJc w:val="left"/>
      <w:lvlText w:val="n"/>
      <w:numFmt w:val="bullet"/>
      <w:start w:val="1"/>
    </w:lvl>
  </w:abstractNum>
  <w:abstractNum w:abstractNumId="26">
    <w:nsid w:val="14FCE74E"/>
    <w:multiLevelType w:val="hybridMultilevel"/>
    <w:lvl w:ilvl="0">
      <w:lvlJc w:val="left"/>
      <w:lvlText w:val="n"/>
      <w:numFmt w:val="bullet"/>
      <w:start w:val="1"/>
    </w:lvl>
  </w:abstractNum>
  <w:abstractNum w:abstractNumId="27">
    <w:nsid w:val="6A3DD3E8"/>
    <w:multiLevelType w:val="hybridMultilevel"/>
    <w:lvl w:ilvl="0">
      <w:lvlJc w:val="left"/>
      <w:lvlText w:val="n"/>
      <w:numFmt w:val="bullet"/>
      <w:start w:val="1"/>
    </w:lvl>
  </w:abstractNum>
  <w:abstractNum w:abstractNumId="28">
    <w:nsid w:val="71C91298"/>
    <w:multiLevelType w:val="hybridMultilevel"/>
    <w:lvl w:ilvl="0">
      <w:lvlJc w:val="left"/>
      <w:lvlText w:val="n"/>
      <w:numFmt w:val="bullet"/>
      <w:start w:val="1"/>
    </w:lvl>
  </w:abstractNum>
  <w:abstractNum w:abstractNumId="29">
    <w:nsid w:val="9DAF632"/>
    <w:multiLevelType w:val="hybridMultilevel"/>
    <w:lvl w:ilvl="0">
      <w:lvlJc w:val="left"/>
      <w:lvlText w:val="n"/>
      <w:numFmt w:val="bullet"/>
      <w:start w:val="1"/>
    </w:lvl>
  </w:abstractNum>
  <w:abstractNum w:abstractNumId="30">
    <w:nsid w:val="53299938"/>
    <w:multiLevelType w:val="hybridMultilevel"/>
    <w:lvl w:ilvl="0">
      <w:lvlJc w:val="left"/>
      <w:lvlText w:val="n"/>
      <w:numFmt w:val="bullet"/>
      <w:start w:val="1"/>
    </w:lvl>
  </w:abstractNum>
  <w:abstractNum w:abstractNumId="31">
    <w:nsid w:val="1FBFE8E0"/>
    <w:multiLevelType w:val="hybridMultilevel"/>
    <w:lvl w:ilvl="0">
      <w:lvlJc w:val="left"/>
      <w:lvlText w:val="n"/>
      <w:numFmt w:val="bullet"/>
      <w:start w:val="1"/>
    </w:lvl>
  </w:abstractNum>
  <w:abstractNum w:abstractNumId="32">
    <w:nsid w:val="5092CA79"/>
    <w:multiLevelType w:val="hybridMultilevel"/>
    <w:lvl w:ilvl="0">
      <w:lvlJc w:val="left"/>
      <w:lvlText w:val="n"/>
      <w:numFmt w:val="bullet"/>
      <w:start w:val="1"/>
    </w:lvl>
  </w:abstractNum>
  <w:abstractNum w:abstractNumId="33">
    <w:nsid w:val="1D545C4D"/>
    <w:multiLevelType w:val="hybridMultilevel"/>
    <w:lvl w:ilvl="0">
      <w:lvlJc w:val="left"/>
      <w:lvlText w:val="$"/>
      <w:numFmt w:val="bullet"/>
      <w:start w:val="1"/>
    </w:lvl>
  </w:abstractNum>
  <w:abstractNum w:abstractNumId="34">
    <w:nsid w:val="59ADEA3D"/>
    <w:multiLevelType w:val="hybridMultilevel"/>
    <w:lvl w:ilvl="0">
      <w:lvlJc w:val="left"/>
      <w:lvlText w:val="n"/>
      <w:numFmt w:val="bullet"/>
      <w:start w:val="1"/>
    </w:lvl>
  </w:abstractNum>
  <w:abstractNum w:abstractNumId="35">
    <w:nsid w:val="288F1A34"/>
    <w:multiLevelType w:val="hybridMultilevel"/>
    <w:lvl w:ilvl="0">
      <w:lvlJc w:val="left"/>
      <w:lvlText w:val="n"/>
      <w:numFmt w:val="bullet"/>
      <w:start w:val="1"/>
    </w:lvl>
  </w:abstractNum>
  <w:abstractNum w:abstractNumId="36">
    <w:nsid w:val="2A155DBC"/>
    <w:multiLevelType w:val="hybridMultilevel"/>
    <w:lvl w:ilvl="0">
      <w:lvlJc w:val="left"/>
      <w:lvlText w:val="(%1)"/>
      <w:numFmt w:val="decimal"/>
      <w:start w:val="1"/>
    </w:lvl>
  </w:abstractNum>
  <w:abstractNum w:abstractNumId="37">
    <w:nsid w:val="1D9F6E5F"/>
    <w:multiLevelType w:val="hybridMultilevel"/>
    <w:lvl w:ilvl="0">
      <w:lvlJc w:val="left"/>
      <w:lvlText w:val="n"/>
      <w:numFmt w:val="bullet"/>
      <w:start w:val="1"/>
    </w:lvl>
  </w:abstractNum>
  <w:abstractNum w:abstractNumId="38">
    <w:nsid w:val="97E1B4E"/>
    <w:multiLevelType w:val="hybridMultilevel"/>
    <w:lvl w:ilvl="0">
      <w:lvlJc w:val="left"/>
      <w:lvlText w:val="$"/>
      <w:numFmt w:val="bullet"/>
      <w:start w:val="1"/>
    </w:lvl>
  </w:abstractNum>
  <w:abstractNum w:abstractNumId="39">
    <w:nsid w:val="51088277"/>
    <w:multiLevelType w:val="hybridMultilevel"/>
    <w:lvl w:ilvl="0">
      <w:lvlJc w:val="left"/>
      <w:lvlText w:val="(%1)"/>
      <w:numFmt w:val="decimal"/>
      <w:start w:val="1"/>
    </w:lvl>
  </w:abstractNum>
  <w:abstractNum w:abstractNumId="40">
    <w:nsid w:val="1CA0C5FA"/>
    <w:multiLevelType w:val="hybridMultilevel"/>
    <w:lvl w:ilvl="0">
      <w:lvlJc w:val="left"/>
      <w:lvlText w:val="n"/>
      <w:numFmt w:val="bullet"/>
      <w:start w:val="1"/>
    </w:lvl>
  </w:abstractNum>
  <w:abstractNum w:abstractNumId="41">
    <w:nsid w:val="53584BCB"/>
    <w:multiLevelType w:val="hybridMultilevel"/>
    <w:lvl w:ilvl="0">
      <w:lvlJc w:val="left"/>
      <w:lvlText w:val="n"/>
      <w:numFmt w:val="bullet"/>
      <w:start w:val="1"/>
    </w:lvl>
  </w:abstractNum>
  <w:abstractNum w:abstractNumId="42">
    <w:nsid w:val="415E286C"/>
    <w:multiLevelType w:val="hybridMultilevel"/>
    <w:lvl w:ilvl="0">
      <w:lvlJc w:val="left"/>
      <w:lvlText w:val="n"/>
      <w:numFmt w:val="bullet"/>
      <w:start w:val="1"/>
    </w:lvl>
  </w:abstractNum>
  <w:abstractNum w:abstractNumId="43">
    <w:nsid w:val="7C58FD05"/>
    <w:multiLevelType w:val="hybridMultilevel"/>
    <w:lvl w:ilvl="0">
      <w:lvlJc w:val="left"/>
      <w:lvlText w:val="(%1)"/>
      <w:numFmt w:val="lowerLetter"/>
      <w:start w:val="1"/>
    </w:lvl>
    <w:lvl w:ilvl="1">
      <w:lvlJc w:val="left"/>
      <w:lvlText w:val="(%2)"/>
      <w:numFmt w:val="lowerLetter"/>
      <w:start w:val="5"/>
    </w:lvl>
  </w:abstractNum>
  <w:abstractNum w:abstractNumId="44">
    <w:nsid w:val="23D86AAC"/>
    <w:multiLevelType w:val="hybridMultilevel"/>
    <w:lvl w:ilvl="0">
      <w:lvlJc w:val="left"/>
      <w:lvlText w:val="%1"/>
      <w:numFmt w:val="decimal"/>
      <w:start w:val="1"/>
    </w:lvl>
    <w:lvl w:ilvl="1">
      <w:lvlJc w:val="left"/>
      <w:lvlText w:val="(%2)"/>
      <w:numFmt w:val="lowerLetter"/>
      <w:start w:val="6"/>
    </w:lvl>
  </w:abstractNum>
  <w:abstractNum w:abstractNumId="45">
    <w:nsid w:val="45E6D486"/>
    <w:multiLevelType w:val="hybridMultilevel"/>
    <w:lvl w:ilvl="0">
      <w:lvlJc w:val="left"/>
      <w:lvlText w:val="(%1)"/>
      <w:numFmt w:val="decimal"/>
      <w:start w:val="2"/>
    </w:lvl>
    <w:lvl w:ilvl="1">
      <w:lvlJc w:val="left"/>
      <w:lvlText w:val="%2"/>
      <w:numFmt w:val="lowerLetter"/>
      <w:start w:val="1"/>
    </w:lvl>
  </w:abstractNum>
  <w:abstractNum w:abstractNumId="46">
    <w:nsid w:val="5C10FE21"/>
    <w:multiLevelType w:val="hybridMultilevel"/>
    <w:lvl w:ilvl="0">
      <w:lvlJc w:val="left"/>
      <w:lvlText w:val="(%1)"/>
      <w:numFmt w:val="lowerLetter"/>
      <w:start w:val="1"/>
    </w:lvl>
    <w:lvl w:ilvl="1">
      <w:lvlJc w:val="left"/>
      <w:lvlText w:val="(%2)"/>
      <w:numFmt w:val="lowerLetter"/>
      <w:start w:val="5"/>
    </w:lvl>
  </w:abstractNum>
  <w:abstractNum w:abstractNumId="47">
    <w:nsid w:val="E7FFA2B"/>
    <w:multiLevelType w:val="hybridMultilevel"/>
    <w:lvl w:ilvl="0">
      <w:lvlJc w:val="left"/>
      <w:lvlText w:val="(%1)"/>
      <w:numFmt w:val="lowerLetter"/>
      <w:start w:val="4"/>
    </w:lvl>
  </w:abstractNum>
  <w:abstractNum w:abstractNumId="48">
    <w:nsid w:val="3C5991AA"/>
    <w:multiLevelType w:val="hybridMultilevel"/>
    <w:lvl w:ilvl="0">
      <w:lvlJc w:val="left"/>
      <w:lvlText w:val="n"/>
      <w:numFmt w:val="bullet"/>
      <w:start w:val="1"/>
    </w:lvl>
  </w:abstractNum>
  <w:abstractNum w:abstractNumId="49">
    <w:nsid w:val="4BD8591A"/>
    <w:multiLevelType w:val="hybridMultilevel"/>
    <w:lvl w:ilvl="0">
      <w:lvlJc w:val="left"/>
      <w:lvlText w:val="n"/>
      <w:numFmt w:val="bullet"/>
      <w:start w:val="1"/>
    </w:lvl>
  </w:abstractNum>
  <w:abstractNum w:abstractNumId="50">
    <w:nsid w:val="78DF6A55"/>
    <w:multiLevelType w:val="hybridMultilevel"/>
    <w:lvl w:ilvl="0">
      <w:lvlJc w:val="left"/>
      <w:lvlText w:val="n"/>
      <w:numFmt w:val="bullet"/>
      <w:start w:val="1"/>
    </w:lvl>
  </w:abstractNum>
  <w:abstractNum w:abstractNumId="51">
    <w:nsid w:val="39B7AAA2"/>
    <w:multiLevelType w:val="hybridMultilevel"/>
    <w:lvl w:ilvl="0">
      <w:lvlJc w:val="left"/>
      <w:lvlText w:val="n"/>
      <w:numFmt w:val="bullet"/>
      <w:start w:val="1"/>
    </w:lvl>
  </w:abstractNum>
  <w:abstractNum w:abstractNumId="52">
    <w:nsid w:val="2B0D8DBE"/>
    <w:multiLevelType w:val="hybridMultilevel"/>
    <w:lvl w:ilvl="0">
      <w:lvlJc w:val="left"/>
      <w:lvlText w:val="n"/>
      <w:numFmt w:val="bullet"/>
      <w:start w:val="1"/>
    </w:lvl>
  </w:abstractNum>
  <w:abstractNum w:abstractNumId="53">
    <w:nsid w:val="6C80EC70"/>
    <w:multiLevelType w:val="hybridMultilevel"/>
    <w:lvl w:ilvl="0">
      <w:lvlJc w:val="left"/>
      <w:lvlText w:val="n"/>
      <w:numFmt w:val="bullet"/>
      <w:start w:val="1"/>
    </w:lvl>
  </w:abstractNum>
  <w:abstractNum w:abstractNumId="54">
    <w:nsid w:val="379E21B5"/>
    <w:multiLevelType w:val="hybridMultilevel"/>
    <w:lvl w:ilvl="0">
      <w:lvlJc w:val="left"/>
      <w:lvlText w:val="n"/>
      <w:numFmt w:val="bullet"/>
      <w:start w:val="1"/>
    </w:lvl>
  </w:abstractNum>
  <w:abstractNum w:abstractNumId="55">
    <w:nsid w:val="69E373"/>
    <w:multiLevelType w:val="hybridMultilevel"/>
    <w:lvl w:ilvl="0">
      <w:lvlJc w:val="left"/>
      <w:lvlText w:val="n"/>
      <w:numFmt w:val="bullet"/>
      <w:start w:val="1"/>
    </w:lvl>
  </w:abstractNum>
  <w:abstractNum w:abstractNumId="56">
    <w:nsid w:val="2C27173B"/>
    <w:multiLevelType w:val="hybridMultilevel"/>
    <w:lvl w:ilvl="0">
      <w:lvlJc w:val="left"/>
      <w:lvlText w:val="(%1)"/>
      <w:numFmt w:val="decimal"/>
      <w:start w:val="1"/>
    </w:lvl>
  </w:abstractNum>
  <w:abstractNum w:abstractNumId="57">
    <w:nsid w:val="4C9B0904"/>
    <w:multiLevelType w:val="hybridMultilevel"/>
    <w:lvl w:ilvl="0">
      <w:lvlJc w:val="left"/>
      <w:lvlText w:val="n"/>
      <w:numFmt w:val="bullet"/>
      <w:start w:val="1"/>
    </w:lvl>
  </w:abstractNum>
  <w:abstractNum w:abstractNumId="58">
    <w:nsid w:val="6AA7B75C"/>
    <w:multiLevelType w:val="hybridMultilevel"/>
    <w:lvl w:ilvl="0">
      <w:lvlJc w:val="left"/>
      <w:lvlText w:val="n"/>
      <w:numFmt w:val="bullet"/>
      <w:start w:val="1"/>
    </w:lvl>
  </w:abstractNum>
  <w:abstractNum w:abstractNumId="59">
    <w:nsid w:val="1DF029D3"/>
    <w:multiLevelType w:val="hybridMultilevel"/>
    <w:lvl w:ilvl="0">
      <w:lvlJc w:val="left"/>
      <w:lvlText w:val="(%1)"/>
      <w:numFmt w:val="decimal"/>
      <w:start w:val="1"/>
    </w:lvl>
  </w:abstractNum>
  <w:abstractNum w:abstractNumId="60">
    <w:nsid w:val="5675FF36"/>
    <w:multiLevelType w:val="hybridMultilevel"/>
    <w:lvl w:ilvl="0">
      <w:lvlJc w:val="left"/>
      <w:lvlText w:val="n"/>
      <w:numFmt w:val="bullet"/>
      <w:start w:val="1"/>
    </w:lvl>
  </w:abstractNum>
  <w:abstractNum w:abstractNumId="61">
    <w:nsid w:val="3DD15094"/>
    <w:multiLevelType w:val="hybridMultilevel"/>
    <w:lvl w:ilvl="0">
      <w:lvlJc w:val="left"/>
      <w:lvlText w:val="n"/>
      <w:numFmt w:val="bullet"/>
      <w:start w:val="1"/>
    </w:lvl>
  </w:abstractNum>
  <w:abstractNum w:abstractNumId="62">
    <w:nsid w:val="3DB012B3"/>
    <w:multiLevelType w:val="hybridMultilevel"/>
    <w:lvl w:ilvl="0">
      <w:lvlJc w:val="left"/>
      <w:lvlText w:val="(%1)"/>
      <w:numFmt w:val="lowerRoman"/>
      <w:start w:val="5"/>
    </w:lvl>
  </w:abstractNum>
  <w:abstractNum w:abstractNumId="63">
    <w:nsid w:val="2708C9AF"/>
    <w:multiLevelType w:val="hybridMultilevel"/>
    <w:lvl w:ilvl="0">
      <w:lvlJc w:val="left"/>
      <w:lvlText w:val="(%1)"/>
      <w:numFmt w:val="lowerRoman"/>
      <w:start w:val="12"/>
    </w:lvl>
  </w:abstractNum>
  <w:abstractNum w:abstractNumId="64">
    <w:nsid w:val="5B25ACE2"/>
    <w:multiLevelType w:val="hybridMultilevel"/>
    <w:lvl w:ilvl="0">
      <w:lvlJc w:val="left"/>
      <w:lvlText w:val="(%1)"/>
      <w:numFmt w:val="lowerRoman"/>
      <w:start w:val="23"/>
    </w:lvl>
  </w:abstractNum>
  <w:abstractNum w:abstractNumId="65">
    <w:nsid w:val="175DFCF0"/>
    <w:multiLevelType w:val="hybridMultilevel"/>
    <w:lvl w:ilvl="0">
      <w:lvlJc w:val="left"/>
      <w:lvlText w:val="(%1)"/>
      <w:numFmt w:val="lowerRoman"/>
      <w:start w:val="5"/>
    </w:lvl>
  </w:abstractNum>
  <w:abstractNum w:abstractNumId="66">
    <w:nsid w:val="4F97E3E4"/>
    <w:multiLevelType w:val="hybridMultilevel"/>
    <w:lvl w:ilvl="0">
      <w:lvlJc w:val="left"/>
      <w:lvlText w:val="(%1)"/>
      <w:numFmt w:val="lowerRoman"/>
      <w:start w:val="12"/>
    </w:lvl>
  </w:abstractNum>
  <w:abstractNum w:abstractNumId="67">
    <w:nsid w:val="53B0A9E"/>
    <w:multiLevelType w:val="hybridMultilevel"/>
    <w:lvl w:ilvl="0">
      <w:lvlJc w:val="left"/>
      <w:lvlText w:val="(%1)"/>
      <w:numFmt w:val="lowerRoman"/>
      <w:start w:val="23"/>
    </w:lvl>
  </w:abstractNum>
  <w:abstractNum w:abstractNumId="68">
    <w:nsid w:val="34FD6B4F"/>
    <w:multiLevelType w:val="hybridMultilevel"/>
    <w:lvl w:ilvl="0">
      <w:lvlJc w:val="left"/>
      <w:lvlText w:val="n"/>
      <w:numFmt w:val="bullet"/>
      <w:start w:val="1"/>
    </w:lvl>
  </w:abstractNum>
  <w:abstractNum w:abstractNumId="69">
    <w:nsid w:val="5915FF32"/>
    <w:multiLevelType w:val="hybridMultilevel"/>
    <w:lvl w:ilvl="0">
      <w:lvlJc w:val="left"/>
      <w:lvlText w:val="(%1)"/>
      <w:numFmt w:val="decimal"/>
      <w:start w:val="1"/>
    </w:lvl>
  </w:abstractNum>
  <w:abstractNum w:abstractNumId="70">
    <w:nsid w:val="56438D15"/>
    <w:multiLevelType w:val="hybridMultilevel"/>
    <w:lvl w:ilvl="0">
      <w:lvlJc w:val="left"/>
      <w:lvlText w:val="(%1)"/>
      <w:numFmt w:val="lowerRoman"/>
      <w:start w:val="2"/>
    </w:lvl>
  </w:abstractNum>
  <w:abstractNum w:abstractNumId="71">
    <w:nsid w:val="519E3149"/>
    <w:multiLevelType w:val="hybridMultilevel"/>
    <w:lvl w:ilvl="0">
      <w:lvlJc w:val="left"/>
      <w:lvlText w:val="(%1)"/>
      <w:numFmt w:val="decimal"/>
      <w:start w:val="1"/>
    </w:lvl>
  </w:abstractNum>
  <w:abstractNum w:abstractNumId="72">
    <w:nsid w:val="2C6E4AFD"/>
    <w:multiLevelType w:val="hybridMultilevel"/>
    <w:lvl w:ilvl="0">
      <w:lvlJc w:val="left"/>
      <w:lvlText w:val="(%1)"/>
      <w:numFmt w:val="decimal"/>
      <w:start w:val="3"/>
    </w:lvl>
  </w:abstractNum>
  <w:abstractNum w:abstractNumId="73">
    <w:nsid w:val="17A1B582"/>
    <w:multiLevelType w:val="hybridMultilevel"/>
    <w:lvl w:ilvl="0">
      <w:lvlJc w:val="left"/>
      <w:lvlText w:val="(%1)"/>
      <w:numFmt w:val="decimal"/>
      <w:start w:val="2"/>
    </w:lvl>
  </w:abstractNum>
  <w:abstractNum w:abstractNumId="74">
    <w:nsid w:val="4DF72E4E"/>
    <w:multiLevelType w:val="hybridMultilevel"/>
    <w:lvl w:ilvl="0">
      <w:lvlJc w:val="left"/>
      <w:lvlText w:val="n"/>
      <w:numFmt w:val="bullet"/>
      <w:start w:val="1"/>
    </w:lvl>
  </w:abstractNum>
  <w:abstractNum w:abstractNumId="75">
    <w:nsid w:val="5046B5A9"/>
    <w:multiLevelType w:val="hybridMultilevel"/>
    <w:lvl w:ilvl="0">
      <w:lvlJc w:val="left"/>
      <w:lvlText w:val="n"/>
      <w:numFmt w:val="bullet"/>
      <w:start w:val="1"/>
    </w:lvl>
  </w:abstractNum>
  <w:abstractNum w:abstractNumId="76">
    <w:nsid w:val="5D888A08"/>
    <w:multiLevelType w:val="hybridMultilevel"/>
    <w:lvl w:ilvl="0">
      <w:lvlJc w:val="left"/>
      <w:lvlText w:val="n"/>
      <w:numFmt w:val="bullet"/>
      <w:start w:val="1"/>
    </w:lvl>
  </w:abstractNum>
  <w:abstractNum w:abstractNumId="77">
    <w:nsid w:val="2A082C70"/>
    <w:multiLevelType w:val="hybridMultilevel"/>
    <w:lvl w:ilvl="0">
      <w:lvlJc w:val="left"/>
      <w:lvlText w:val="n"/>
      <w:numFmt w:val="bullet"/>
      <w:start w:val="1"/>
    </w:lvl>
  </w:abstractNum>
  <w:abstractNum w:abstractNumId="78">
    <w:nsid w:val="5EC6AFD4"/>
    <w:multiLevelType w:val="hybridMultilevel"/>
    <w:lvl w:ilvl="0">
      <w:lvlJc w:val="left"/>
      <w:lvlText w:val="n"/>
      <w:numFmt w:val="bullet"/>
      <w:start w:val="1"/>
    </w:lvl>
  </w:abstractNum>
  <w:abstractNum w:abstractNumId="79">
    <w:nsid w:val="19E21BB2"/>
    <w:multiLevelType w:val="hybridMultilevel"/>
    <w:lvl w:ilvl="0">
      <w:lvlJc w:val="left"/>
      <w:lvlText w:val="n"/>
      <w:numFmt w:val="bullet"/>
      <w:start w:val="1"/>
    </w:lvl>
  </w:abstractNum>
  <w:abstractNum w:abstractNumId="80">
    <w:nsid w:val="75E0858A"/>
    <w:multiLevelType w:val="hybridMultilevel"/>
    <w:lvl w:ilvl="0">
      <w:lvlJc w:val="left"/>
      <w:lvlText w:val="n"/>
      <w:numFmt w:val="bullet"/>
      <w:start w:val="1"/>
    </w:lvl>
  </w:abstractNum>
  <w:abstractNum w:abstractNumId="81">
    <w:nsid w:val="57A61A29"/>
    <w:multiLevelType w:val="hybridMultilevel"/>
    <w:lvl w:ilvl="0">
      <w:lvlJc w:val="left"/>
      <w:lvlText w:val="n"/>
      <w:numFmt w:val="bullet"/>
      <w:start w:val="1"/>
    </w:lvl>
  </w:abstractNum>
  <w:abstractNum w:abstractNumId="82">
    <w:nsid w:val="5399C654"/>
    <w:multiLevelType w:val="hybridMultilevel"/>
    <w:lvl w:ilvl="0">
      <w:lvlJc w:val="left"/>
      <w:lvlText w:val="(%1)"/>
      <w:numFmt w:val="decimal"/>
      <w:start w:val="3"/>
    </w:lvl>
  </w:abstractNum>
  <w:abstractNum w:abstractNumId="83">
    <w:nsid w:val="20EE1348"/>
    <w:multiLevelType w:val="hybridMultilevel"/>
    <w:lvl w:ilvl="0">
      <w:lvlJc w:val="left"/>
      <w:lvlText w:val="n"/>
      <w:numFmt w:val="bullet"/>
      <w:start w:val="1"/>
    </w:lvl>
  </w:abstractNum>
  <w:abstractNum w:abstractNumId="84">
    <w:nsid w:val="4427069A"/>
    <w:multiLevelType w:val="hybridMultilevel"/>
    <w:lvl w:ilvl="0">
      <w:lvlJc w:val="left"/>
      <w:lvlText w:val="n"/>
      <w:numFmt w:val="bullet"/>
      <w:start w:val="1"/>
    </w:lvl>
  </w:abstractNum>
  <w:abstractNum w:abstractNumId="85">
    <w:nsid w:val="B37E80A"/>
    <w:multiLevelType w:val="hybridMultilevel"/>
    <w:lvl w:ilvl="0">
      <w:lvlJc w:val="left"/>
      <w:lvlText w:val="n"/>
      <w:numFmt w:val="bullet"/>
      <w:start w:val="1"/>
    </w:lvl>
  </w:abstractNum>
  <w:abstractNum w:abstractNumId="86">
    <w:nsid w:val="2157F6BC"/>
    <w:multiLevelType w:val="hybridMultilevel"/>
    <w:lvl w:ilvl="0">
      <w:lvlJc w:val="left"/>
      <w:lvlText w:val="n"/>
      <w:numFmt w:val="bullet"/>
      <w:start w:val="1"/>
    </w:lvl>
  </w:abstractNum>
  <w:abstractNum w:abstractNumId="87">
    <w:nsid w:val="704E1DD5"/>
    <w:multiLevelType w:val="hybridMultilevel"/>
    <w:lvl w:ilvl="0">
      <w:lvlJc w:val="left"/>
      <w:lvlText w:val="n"/>
      <w:numFmt w:val="bullet"/>
      <w:start w:val="1"/>
    </w:lvl>
  </w:abstractNum>
  <w:abstractNum w:abstractNumId="88">
    <w:nsid w:val="57D2F10E"/>
    <w:multiLevelType w:val="hybridMultilevel"/>
    <w:lvl w:ilvl="0">
      <w:lvlJc w:val="left"/>
      <w:lvlText w:val="n"/>
      <w:numFmt w:val="bullet"/>
      <w:start w:val="1"/>
    </w:lvl>
  </w:abstractNum>
  <w:abstractNum w:abstractNumId="89">
    <w:nsid w:val="BFFAE18"/>
    <w:multiLevelType w:val="hybridMultilevel"/>
    <w:lvl w:ilvl="0">
      <w:lvlJc w:val="left"/>
      <w:lvlText w:val="n"/>
      <w:numFmt w:val="bullet"/>
      <w:start w:val="1"/>
    </w:lvl>
  </w:abstractNum>
  <w:abstractNum w:abstractNumId="90">
    <w:nsid w:val="E3E47A8"/>
    <w:multiLevelType w:val="hybridMultilevel"/>
    <w:lvl w:ilvl="0">
      <w:lvlJc w:val="left"/>
      <w:lvlText w:val="(%1)"/>
      <w:numFmt w:val="decimal"/>
      <w:start w:val="513"/>
    </w:lvl>
  </w:abstractNum>
  <w:abstractNum w:abstractNumId="91">
    <w:nsid w:val="2E48F044"/>
    <w:multiLevelType w:val="hybridMultilevel"/>
    <w:lvl w:ilvl="0">
      <w:lvlJc w:val="left"/>
      <w:lvlText w:val="%1."/>
      <w:numFmt w:val="decimal"/>
      <w:start w:val="10"/>
    </w:lvl>
  </w:abstractNum>
  <w:abstractNum w:abstractNumId="92">
    <w:nsid w:val="49D0FEAC"/>
    <w:multiLevelType w:val="hybridMultilevel"/>
    <w:lvl w:ilvl="0">
      <w:lvlJc w:val="left"/>
      <w:lvlText w:val="%1."/>
      <w:numFmt w:val="decimal"/>
      <w:start w:val="16"/>
    </w:lvl>
  </w:abstractNum>
  <w:abstractNum w:abstractNumId="93">
    <w:nsid w:val="4BEE5A5B"/>
    <w:multiLevelType w:val="hybridMultilevel"/>
    <w:lvl w:ilvl="0">
      <w:lvlJc w:val="left"/>
      <w:lvlText w:val="$"/>
      <w:numFmt w:val="bullet"/>
      <w:start w:val="1"/>
    </w:lvl>
  </w:abstractNum>
  <w:abstractNum w:abstractNumId="94">
    <w:nsid w:val="5551B9F3"/>
    <w:multiLevelType w:val="hybridMultilevel"/>
    <w:lvl w:ilvl="0">
      <w:lvlJc w:val="left"/>
      <w:lvlText w:val="$"/>
      <w:numFmt w:val="bullet"/>
      <w:start w:val="1"/>
    </w:lvl>
  </w:abstractNum>
  <w:abstractNum w:abstractNumId="95">
    <w:nsid w:val="24F6AB8E"/>
    <w:multiLevelType w:val="hybridMultilevel"/>
    <w:lvl w:ilvl="0">
      <w:lvlJc w:val="left"/>
      <w:lvlText w:val="(%1)"/>
      <w:numFmt w:val="lowerRoman"/>
      <w:start w:val="2"/>
    </w:lvl>
  </w:abstractNum>
  <w:abstractNum w:abstractNumId="96">
    <w:nsid w:val="634C574C"/>
    <w:multiLevelType w:val="hybridMultilevel"/>
    <w:lvl w:ilvl="0">
      <w:lvlJc w:val="left"/>
      <w:lvlText w:val="(%1)"/>
      <w:numFmt w:val="lowerRoman"/>
      <w:start w:val="2"/>
    </w:lvl>
  </w:abstractNum>
  <w:abstractNum w:abstractNumId="97">
    <w:nsid w:val="24E99DD7"/>
    <w:multiLevelType w:val="hybridMultilevel"/>
    <w:lvl w:ilvl="0">
      <w:lvlJc w:val="left"/>
      <w:lvlText w:val="(%1)"/>
      <w:numFmt w:val="lowerRoman"/>
      <w:start w:val="2"/>
    </w:lvl>
  </w:abstractNum>
  <w:abstractNum w:abstractNumId="98">
    <w:nsid w:val="2A31B62D"/>
    <w:multiLevelType w:val="hybridMultilevel"/>
    <w:lvl w:ilvl="0">
      <w:lvlJc w:val="left"/>
      <w:lvlText w:val="(%1)"/>
      <w:numFmt w:val="lowerRoman"/>
      <w:start w:val="2"/>
    </w:lvl>
  </w:abstractNum>
  <w:abstractNum w:abstractNumId="99">
    <w:nsid w:val="1849C29B"/>
    <w:multiLevelType w:val="hybridMultilevel"/>
    <w:lvl w:ilvl="0">
      <w:lvlJc w:val="left"/>
      <w:lvlText w:val="(%1)"/>
      <w:numFmt w:val="lowerLetter"/>
      <w:start w:val="1"/>
    </w:lvl>
    <w:lvl w:ilvl="1">
      <w:lvlJc w:val="left"/>
      <w:lvlText w:val="(%2)"/>
      <w:numFmt w:val="decimal"/>
      <w:start w:val="1"/>
    </w:lvl>
  </w:abstractNum>
  <w:abstractNum w:abstractNumId="100">
    <w:nsid w:val="7DFF9D09"/>
    <w:multiLevelType w:val="hybridMultilevel"/>
    <w:lvl w:ilvl="0">
      <w:lvlJc w:val="left"/>
      <w:lvlText w:val="(%1)"/>
      <w:numFmt w:val="lowerRoman"/>
      <w:start w:val="1"/>
    </w:lvl>
  </w:abstractNum>
  <w:abstractNum w:abstractNumId="101">
    <w:nsid w:val="754342"/>
    <w:multiLevelType w:val="hybridMultilevel"/>
    <w:lvl w:ilvl="0">
      <w:lvlJc w:val="left"/>
      <w:lvlText w:val="(%1)"/>
      <w:numFmt w:val="lowerLetter"/>
      <w:start w:val="2"/>
    </w:lvl>
  </w:abstractNum>
  <w:abstractNum w:abstractNumId="102">
    <w:nsid w:val="69E7F3E5"/>
    <w:multiLevelType w:val="hybridMultilevel"/>
    <w:lvl w:ilvl="0">
      <w:lvlJc w:val="left"/>
      <w:lvlText w:val="(%1)"/>
      <w:numFmt w:val="lowerRoman"/>
      <w:start w:val="2"/>
    </w:lvl>
  </w:abstractNum>
  <w:abstractNum w:abstractNumId="103">
    <w:nsid w:val="2A6DE806"/>
    <w:multiLevelType w:val="hybridMultilevel"/>
    <w:lvl w:ilvl="0">
      <w:lvlJc w:val="left"/>
      <w:lvlText w:val="(%1)"/>
      <w:numFmt w:val="lowerLetter"/>
      <w:start w:val="4"/>
    </w:lvl>
  </w:abstractNum>
  <w:abstractNum w:abstractNumId="104">
    <w:nsid w:val="1816F8C4"/>
    <w:multiLevelType w:val="hybridMultilevel"/>
    <w:lvl w:ilvl="0">
      <w:lvlJc w:val="left"/>
      <w:lvlText w:val="(%1)"/>
      <w:numFmt w:val="lowerLetter"/>
      <w:start w:val="1"/>
    </w:lvl>
    <w:lvl w:ilvl="1">
      <w:lvlJc w:val="left"/>
      <w:lvlText w:val="(%2)"/>
      <w:numFmt w:val="lowerLetter"/>
      <w:start w:val="9"/>
    </w:lvl>
  </w:abstractNum>
  <w:abstractNum w:abstractNumId="105">
    <w:nsid w:val="37DF2233"/>
    <w:multiLevelType w:val="hybridMultilevel"/>
    <w:lvl w:ilvl="0">
      <w:lvlJc w:val="left"/>
      <w:lvlText w:val="%1"/>
      <w:numFmt w:val="lowerLetter"/>
      <w:start w:val="1"/>
    </w:lvl>
    <w:lvl w:ilvl="1">
      <w:lvlJc w:val="left"/>
      <w:lvlText w:val="(%2)"/>
      <w:numFmt w:val="lowerRoman"/>
      <w:start w:val="2"/>
    </w:lvl>
  </w:abstractNum>
  <w:abstractNum w:abstractNumId="106">
    <w:nsid w:val="7AB49DAF"/>
    <w:multiLevelType w:val="hybridMultilevel"/>
    <w:lvl w:ilvl="0">
      <w:lvlJc w:val="left"/>
      <w:lvlText w:val="(%1)"/>
      <w:numFmt w:val="lowerLetter"/>
      <w:start w:val="4"/>
    </w:lvl>
    <w:lvl w:ilvl="1">
      <w:lvlJc w:val="left"/>
      <w:lvlText w:val="%2"/>
      <w:numFmt w:val="lowerRoman"/>
      <w:start w:val="1"/>
    </w:lvl>
  </w:abstractNum>
  <w:abstractNum w:abstractNumId="107">
    <w:nsid w:val="759F82CD"/>
    <w:multiLevelType w:val="hybridMultilevel"/>
    <w:lvl w:ilvl="0">
      <w:lvlJc w:val="left"/>
      <w:lvlText w:val="(%1)"/>
      <w:numFmt w:val="lowerLetter"/>
      <w:start w:val="1"/>
    </w:lvl>
  </w:abstractNum>
  <w:abstractNum w:abstractNumId="108">
    <w:nsid w:val="61E74EA3"/>
    <w:multiLevelType w:val="hybridMultilevel"/>
    <w:lvl w:ilvl="0">
      <w:lvlJc w:val="left"/>
      <w:lvlText w:val="(%1)"/>
      <w:numFmt w:val="lowerLetter"/>
      <w:start w:val="1"/>
    </w:lvl>
  </w:abstractNum>
  <w:abstractNum w:abstractNumId="109">
    <w:nsid w:val="597B4D84"/>
    <w:multiLevelType w:val="hybridMultilevel"/>
    <w:lvl w:ilvl="0">
      <w:lvlJc w:val="left"/>
      <w:lvlText w:val="(%1)"/>
      <w:numFmt w:val="lowerRoman"/>
      <w:start w:val="19"/>
    </w:lvl>
    <w:lvl w:ilvl="1">
      <w:lvlJc w:val="left"/>
      <w:lvlText w:val="(%2)"/>
      <w:numFmt w:val="lowerLetter"/>
      <w:start w:val="2"/>
    </w:lvl>
  </w:abstractNum>
  <w:abstractNum w:abstractNumId="110">
    <w:nsid w:val="F819E7F"/>
    <w:multiLevelType w:val="hybridMultilevel"/>
    <w:lvl w:ilvl="0">
      <w:lvlJc w:val="left"/>
      <w:lvlText w:val="(%1)"/>
      <w:numFmt w:val="lowerRoman"/>
      <w:start w:val="10"/>
    </w:lvl>
    <w:lvl w:ilvl="1">
      <w:lvlJc w:val="left"/>
      <w:lvlText w:val="%2"/>
      <w:numFmt w:val="lowerLetter"/>
      <w:start w:val="1"/>
    </w:lvl>
  </w:abstractNum>
  <w:abstractNum w:abstractNumId="111">
    <w:nsid w:val="57C7D42D"/>
    <w:multiLevelType w:val="hybridMultilevel"/>
    <w:lvl w:ilvl="0">
      <w:lvlJc w:val="left"/>
      <w:lvlText w:val="(%1)"/>
      <w:numFmt w:val="lowerLetter"/>
      <w:start w:val="1"/>
    </w:lvl>
  </w:abstractNum>
  <w:abstractNum w:abstractNumId="112">
    <w:nsid w:val="312167AD"/>
    <w:multiLevelType w:val="hybridMultilevel"/>
    <w:lvl w:ilvl="0">
      <w:lvlJc w:val="left"/>
      <w:lvlText w:val="(%1)"/>
      <w:numFmt w:val="lowerLetter"/>
      <w:start w:val="1"/>
    </w:lvl>
  </w:abstractNum>
  <w:abstractNum w:abstractNumId="113">
    <w:nsid w:val="631B64D4"/>
    <w:multiLevelType w:val="hybridMultilevel"/>
    <w:lvl w:ilvl="0">
      <w:lvlJc w:val="left"/>
      <w:lvlText w:val="(%1)"/>
      <w:numFmt w:val="lowerLetter"/>
      <w:start w:val="3"/>
    </w:lvl>
  </w:abstractNum>
  <w:abstractNum w:abstractNumId="114">
    <w:nsid w:val="78B5E776"/>
    <w:multiLevelType w:val="hybridMultilevel"/>
    <w:lvl w:ilvl="0">
      <w:lvlJc w:val="left"/>
      <w:lvlText w:val="(%1)"/>
      <w:numFmt w:val="lowerLetter"/>
      <w:start w:val="1"/>
    </w:lvl>
  </w:abstractNum>
  <w:abstractNum w:abstractNumId="115">
    <w:nsid w:val="75486E47"/>
    <w:multiLevelType w:val="hybridMultilevel"/>
    <w:lvl w:ilvl="0">
      <w:lvlJc w:val="left"/>
      <w:lvlText w:val="(%1)"/>
      <w:numFmt w:val="lowerLetter"/>
      <w:start w:val="2"/>
    </w:lvl>
  </w:abstractNum>
  <w:abstractNum w:abstractNumId="116">
    <w:nsid w:val="6E534CDE"/>
    <w:multiLevelType w:val="hybridMultilevel"/>
    <w:lvl w:ilvl="0">
      <w:lvlJc w:val="left"/>
      <w:lvlText w:val="(%1)"/>
      <w:numFmt w:val="lowerLetter"/>
      <w:start w:val="1"/>
    </w:lvl>
  </w:abstractNum>
  <w:abstractNum w:abstractNumId="117">
    <w:nsid w:val="1A0DDE32"/>
    <w:multiLevelType w:val="hybridMultilevel"/>
    <w:lvl w:ilvl="0">
      <w:lvlJc w:val="left"/>
      <w:lvlText w:val="(%1)"/>
      <w:numFmt w:val="lowerLetter"/>
      <w:start w:val="1"/>
    </w:lvl>
    <w:lvl w:ilvl="1">
      <w:lvlJc w:val="left"/>
      <w:lvlText w:val="(%2)"/>
      <w:numFmt w:val="lowerRoman"/>
      <w:start w:val="1"/>
    </w:lvl>
  </w:abstractNum>
  <w:abstractNum w:abstractNumId="118">
    <w:nsid w:val="65968C1C"/>
    <w:multiLevelType w:val="hybridMultilevel"/>
    <w:lvl w:ilvl="0">
      <w:lvlJc w:val="left"/>
      <w:lvlText w:val="(%1)"/>
      <w:numFmt w:val="lowerLetter"/>
      <w:start w:val="3"/>
    </w:lvl>
  </w:abstractNum>
  <w:abstractNum w:abstractNumId="119">
    <w:nsid w:val="46263DEC"/>
    <w:multiLevelType w:val="hybridMultilevel"/>
    <w:lvl w:ilvl="0">
      <w:lvlJc w:val="left"/>
      <w:lvlText w:val="(%1)"/>
      <w:numFmt w:val="lowerLetter"/>
      <w:start w:val="1"/>
    </w:lvl>
  </w:abstractNum>
  <w:abstractNum w:abstractNumId="120">
    <w:nsid w:val="260D8C4A"/>
    <w:multiLevelType w:val="hybridMultilevel"/>
    <w:lvl w:ilvl="0">
      <w:lvlJc w:val="left"/>
      <w:lvlText w:val="(%1)"/>
      <w:numFmt w:val="lowerLetter"/>
      <w:start w:val="4"/>
    </w:lvl>
  </w:abstractNum>
  <w:abstractNum w:abstractNumId="121">
    <w:nsid w:val="73D4D3C4"/>
    <w:multiLevelType w:val="hybridMultilevel"/>
    <w:lvl w:ilvl="0">
      <w:lvlJc w:val="left"/>
      <w:lvlText w:val="(%1)"/>
      <w:numFmt w:val="lowerLetter"/>
      <w:start w:val="2"/>
    </w:lvl>
  </w:abstractNum>
  <w:abstractNum w:abstractNumId="122">
    <w:nsid w:val="746F2E30"/>
    <w:multiLevelType w:val="hybridMultilevel"/>
    <w:lvl w:ilvl="0">
      <w:lvlJc w:val="left"/>
      <w:lvlText w:val="(%1)"/>
      <w:numFmt w:val="lowerLetter"/>
      <w:start w:val="1"/>
    </w:lvl>
  </w:abstractNum>
  <w:abstractNum w:abstractNumId="123">
    <w:nsid w:val="6FDE8AF6"/>
    <w:multiLevelType w:val="hybridMultilevel"/>
    <w:lvl w:ilvl="0">
      <w:lvlJc w:val="left"/>
      <w:lvlText w:val="(%1)"/>
      <w:numFmt w:val="lowerLetter"/>
      <w:start w:val="1"/>
    </w:lvl>
    <w:lvl w:ilvl="1">
      <w:lvlJc w:val="left"/>
      <w:lvlText w:val="(%2)"/>
      <w:numFmt w:val="lowerRoman"/>
      <w:start w:val="1"/>
    </w:lvl>
  </w:abstractNum>
  <w:abstractNum w:abstractNumId="124">
    <w:nsid w:val="3FC32E20"/>
    <w:multiLevelType w:val="hybridMultilevel"/>
    <w:lvl w:ilvl="0">
      <w:lvlJc w:val="left"/>
      <w:lvlText w:val="%1"/>
      <w:numFmt w:val="lowerLetter"/>
      <w:start w:val="1"/>
    </w:lvl>
    <w:lvl w:ilvl="1">
      <w:lvlJc w:val="left"/>
      <w:lvlText w:val="(%2)"/>
      <w:numFmt w:val="lowerRoman"/>
      <w:start w:val="3"/>
    </w:lvl>
  </w:abstractNum>
  <w:abstractNum w:abstractNumId="125">
    <w:nsid w:val="49C0E823"/>
    <w:multiLevelType w:val="hybridMultilevel"/>
    <w:lvl w:ilvl="0">
      <w:lvlJc w:val="left"/>
      <w:lvlText w:val="(%1)"/>
      <w:numFmt w:val="lowerLetter"/>
      <w:start w:val="3"/>
    </w:lvl>
    <w:lvl w:ilvl="1">
      <w:lvlJc w:val="left"/>
      <w:lvlText w:val="(%2)"/>
      <w:numFmt w:val="lowerRoman"/>
      <w:start w:val="1"/>
    </w:lvl>
  </w:abstractNum>
  <w:abstractNum w:abstractNumId="126">
    <w:nsid w:val="14D53685"/>
    <w:multiLevelType w:val="hybridMultilevel"/>
    <w:lvl w:ilvl="0">
      <w:lvlJc w:val="left"/>
      <w:lvlText w:val="(%1)"/>
      <w:numFmt w:val="lowerLetter"/>
      <w:start w:val="6"/>
    </w:lvl>
  </w:abstractNum>
  <w:abstractNum w:abstractNumId="127">
    <w:nsid w:val="230F856C"/>
    <w:multiLevelType w:val="hybridMultilevel"/>
    <w:lvl w:ilvl="0">
      <w:lvlJc w:val="left"/>
      <w:lvlText w:val="(%1)"/>
      <w:numFmt w:val="lowerLetter"/>
      <w:start w:val="1"/>
    </w:lvl>
  </w:abstractNum>
  <w:abstractNum w:abstractNumId="128">
    <w:nsid w:val="6EAA85FB"/>
    <w:multiLevelType w:val="hybridMultilevel"/>
    <w:lvl w:ilvl="0">
      <w:lvlJc w:val="left"/>
      <w:lvlText w:val="(%1)"/>
      <w:numFmt w:val="lowerLetter"/>
      <w:start w:val="2"/>
    </w:lvl>
    <w:lvl w:ilvl="1">
      <w:lvlJc w:val="left"/>
      <w:lvlText w:val="(%2)"/>
      <w:numFmt w:val="lowerLetter"/>
      <w:start w:val="9"/>
    </w:lvl>
  </w:abstractNum>
  <w:abstractNum w:abstractNumId="129">
    <w:nsid w:val="3F06ECB2"/>
    <w:multiLevelType w:val="hybridMultilevel"/>
    <w:lvl w:ilvl="0">
      <w:lvlJc w:val="left"/>
      <w:lvlText w:val="(%1)"/>
      <w:numFmt w:val="lowerRoman"/>
      <w:start w:val="2"/>
    </w:lvl>
  </w:abstractNum>
  <w:abstractNum w:abstractNumId="130">
    <w:nsid w:val="3B594807"/>
    <w:multiLevelType w:val="hybridMultilevel"/>
    <w:lvl w:ilvl="0">
      <w:lvlJc w:val="left"/>
      <w:lvlText w:val="%1"/>
      <w:numFmt w:val="lowerLetter"/>
      <w:start w:val="1"/>
    </w:lvl>
    <w:lvl w:ilvl="1">
      <w:lvlJc w:val="left"/>
      <w:lvlText w:val="(%2)"/>
      <w:numFmt w:val="lowerRoman"/>
      <w:start w:val="4"/>
    </w:lvl>
  </w:abstractNum>
  <w:abstractNum w:abstractNumId="131">
    <w:nsid w:val="6CAA2304"/>
    <w:multiLevelType w:val="hybridMultilevel"/>
    <w:lvl w:ilvl="0">
      <w:lvlJc w:val="left"/>
      <w:lvlText w:val="(%1)"/>
      <w:numFmt w:val="lowerLetter"/>
      <w:start w:val="4"/>
    </w:lvl>
    <w:lvl w:ilvl="1">
      <w:lvlJc w:val="left"/>
      <w:lvlText w:val="(%2)"/>
      <w:numFmt w:val="lowerRoman"/>
      <w:start w:val="1"/>
    </w:lvl>
  </w:abstractNum>
  <w:abstractNum w:abstractNumId="132">
    <w:nsid w:val="3F7C2FF4"/>
    <w:multiLevelType w:val="hybridMultilevel"/>
    <w:lvl w:ilvl="0">
      <w:lvlJc w:val="left"/>
      <w:lvlText w:val="%1"/>
      <w:numFmt w:val="lowerLetter"/>
      <w:start w:val="1"/>
    </w:lvl>
    <w:lvl w:ilvl="1">
      <w:lvlJc w:val="left"/>
      <w:lvlText w:val="(%2)"/>
      <w:numFmt w:val="lowerLetter"/>
      <w:start w:val="61"/>
    </w:lvl>
  </w:abstractNum>
  <w:abstractNum w:abstractNumId="133">
    <w:nsid w:val="25413BEC"/>
    <w:multiLevelType w:val="hybridMultilevel"/>
    <w:lvl w:ilvl="0">
      <w:lvlJc w:val="left"/>
      <w:lvlText w:val="(%1)"/>
      <w:numFmt w:val="lowerLetter"/>
      <w:start w:val="5"/>
    </w:lvl>
    <w:lvl w:ilvl="1">
      <w:lvlJc w:val="left"/>
      <w:lvlText w:val="%2"/>
      <w:numFmt w:val="lowerLetter"/>
      <w:start w:val="1"/>
    </w:lvl>
  </w:abstractNum>
  <w:abstractNum w:abstractNumId="134">
    <w:nsid w:val="17180B0B"/>
    <w:multiLevelType w:val="hybridMultilevel"/>
    <w:lvl w:ilvl="0">
      <w:lvlJc w:val="left"/>
      <w:lvlText w:val="(%1)"/>
      <w:numFmt w:val="lowerLetter"/>
      <w:start w:val="1"/>
    </w:lvl>
  </w:abstractNum>
  <w:abstractNum w:abstractNumId="135">
    <w:nsid w:val="579328B9"/>
    <w:multiLevelType w:val="hybridMultilevel"/>
    <w:lvl w:ilvl="0">
      <w:lvlJc w:val="left"/>
      <w:lvlText w:val="(%1)"/>
      <w:numFmt w:val="lowerLetter"/>
      <w:start w:val="3"/>
    </w:lvl>
  </w:abstractNum>
  <w:abstractNum w:abstractNumId="136">
    <w:nsid w:val="5D205E20"/>
    <w:multiLevelType w:val="hybridMultilevel"/>
    <w:lvl w:ilvl="0">
      <w:lvlJc w:val="left"/>
      <w:lvlText w:val="%1"/>
      <w:numFmt w:val="lowerLetter"/>
      <w:start w:val="1"/>
    </w:lvl>
    <w:lvl w:ilvl="1">
      <w:lvlJc w:val="left"/>
      <w:lvlText w:val="(%2)"/>
      <w:numFmt w:val="lowerLetter"/>
      <w:start w:val="1"/>
    </w:lvl>
  </w:abstractNum>
  <w:abstractNum w:abstractNumId="137">
    <w:nsid w:val="11CCA8BA"/>
    <w:multiLevelType w:val="hybridMultilevel"/>
    <w:lvl w:ilvl="0">
      <w:lvlJc w:val="left"/>
      <w:lvlText w:val="(%1)"/>
      <w:numFmt w:val="lowerLetter"/>
      <w:start w:val="9"/>
    </w:lvl>
    <w:lvl w:ilvl="1">
      <w:lvlJc w:val="left"/>
      <w:lvlText w:val="%2"/>
      <w:numFmt w:val="lowerLetter"/>
      <w:start w:val="1"/>
    </w:lvl>
  </w:abstractNum>
  <w:abstractNum w:abstractNumId="138">
    <w:nsid w:val="4D32AB86"/>
    <w:multiLevelType w:val="hybridMultilevel"/>
    <w:lvl w:ilvl="0">
      <w:lvlJc w:val="left"/>
      <w:lvlText w:val="(%1)"/>
      <w:numFmt w:val="lowerLetter"/>
      <w:start w:val="2"/>
    </w:lvl>
  </w:abstractNum>
  <w:abstractNum w:abstractNumId="139">
    <w:nsid w:val="3F07ACC3"/>
    <w:multiLevelType w:val="hybridMultilevel"/>
    <w:lvl w:ilvl="0">
      <w:lvlJc w:val="left"/>
      <w:lvlText w:val="(%1)"/>
      <w:numFmt w:val="lowerLetter"/>
      <w:start w:val="1"/>
    </w:lvl>
    <w:lvl w:ilvl="1">
      <w:lvlJc w:val="left"/>
      <w:lvlText w:val="(%2)"/>
      <w:numFmt w:val="lowerRoman"/>
      <w:start w:val="1"/>
    </w:lvl>
  </w:abstractNum>
  <w:abstractNum w:abstractNumId="140">
    <w:nsid w:val="6B47F63E"/>
    <w:multiLevelType w:val="hybridMultilevel"/>
    <w:lvl w:ilvl="0">
      <w:lvlJc w:val="left"/>
      <w:lvlText w:val="(%1)"/>
      <w:numFmt w:val="lowerRoman"/>
      <w:start w:val="5"/>
    </w:lvl>
  </w:abstractNum>
  <w:abstractNum w:abstractNumId="141">
    <w:nsid w:val="5CB44A05"/>
    <w:multiLevelType w:val="hybridMultilevel"/>
    <w:lvl w:ilvl="0">
      <w:lvlJc w:val="left"/>
      <w:lvlText w:val="(%1)"/>
      <w:numFmt w:val="lowerRoman"/>
      <w:start w:val="10"/>
    </w:lvl>
  </w:abstractNum>
  <w:abstractNum w:abstractNumId="142">
    <w:nsid w:val="16CF80F1"/>
    <w:multiLevelType w:val="hybridMultilevel"/>
    <w:lvl w:ilvl="0">
      <w:lvlJc w:val="left"/>
      <w:lvlText w:val="(%1)"/>
      <w:numFmt w:val="lowerRoman"/>
      <w:start w:val="15"/>
    </w:lvl>
  </w:abstractNum>
  <w:abstractNum w:abstractNumId="143">
    <w:nsid w:val="1C695DEC"/>
    <w:multiLevelType w:val="hybridMultilevel"/>
    <w:lvl w:ilvl="0">
      <w:lvlJc w:val="left"/>
      <w:lvlText w:val="%1"/>
      <w:numFmt w:val="lowerLetter"/>
      <w:start w:val="1"/>
    </w:lvl>
    <w:lvl w:ilvl="1">
      <w:lvlJc w:val="left"/>
      <w:lvlText w:val="(%2)"/>
      <w:numFmt w:val="lowerRoman"/>
      <w:start w:val="21"/>
    </w:lvl>
  </w:abstractNum>
  <w:abstractNum w:abstractNumId="144">
    <w:nsid w:val="3FCFAED9"/>
    <w:multiLevelType w:val="hybridMultilevel"/>
    <w:lvl w:ilvl="0">
      <w:lvlJc w:val="left"/>
      <w:lvlText w:val="(%1)"/>
      <w:numFmt w:val="lowerLetter"/>
      <w:start w:val="2"/>
    </w:lvl>
    <w:lvl w:ilvl="1">
      <w:lvlJc w:val="left"/>
      <w:lvlText w:val="%2"/>
      <w:numFmt w:val="lowerRoman"/>
      <w:start w:val="1"/>
    </w:lvl>
  </w:abstractNum>
  <w:abstractNum w:abstractNumId="145">
    <w:nsid w:val="F856867"/>
    <w:multiLevelType w:val="hybridMultilevel"/>
    <w:lvl w:ilvl="0">
      <w:lvlJc w:val="left"/>
      <w:lvlText w:val="%1"/>
      <w:numFmt w:val="lowerLetter"/>
      <w:start w:val="1"/>
    </w:lvl>
    <w:lvl w:ilvl="1">
      <w:lvlJc w:val="left"/>
      <w:lvlText w:val="(%2)"/>
      <w:numFmt w:val="lowerLetter"/>
      <w:start w:val="1"/>
    </w:lvl>
  </w:abstractNum>
  <w:abstractNum w:abstractNumId="146">
    <w:nsid w:val="11B1CC33"/>
    <w:multiLevelType w:val="hybridMultilevel"/>
    <w:lvl w:ilvl="0">
      <w:lvlJc w:val="left"/>
      <w:lvlText w:val="(%1)"/>
      <w:numFmt w:val="lowerLetter"/>
      <w:start w:val="9"/>
    </w:lvl>
    <w:lvl w:ilvl="1">
      <w:lvlJc w:val="left"/>
      <w:lvlText w:val="%2"/>
      <w:numFmt w:val="lowerLetter"/>
      <w:start w:val="1"/>
    </w:lvl>
  </w:abstractNum>
  <w:abstractNum w:abstractNumId="147">
    <w:nsid w:val="2E22FBB7"/>
    <w:multiLevelType w:val="hybridMultilevel"/>
    <w:lvl w:ilvl="0">
      <w:lvlJc w:val="left"/>
      <w:lvlText w:val="(%1)"/>
      <w:numFmt w:val="lowerRoman"/>
      <w:start w:val="8"/>
    </w:lvl>
    <w:lvl w:ilvl="1">
      <w:lvlJc w:val="left"/>
      <w:lvlText w:val="(%2)"/>
      <w:numFmt w:val="lowerLetter"/>
      <w:start w:val="2"/>
    </w:lvl>
  </w:abstractNum>
  <w:abstractNum w:abstractNumId="148">
    <w:nsid w:val="29934699"/>
    <w:multiLevelType w:val="hybridMultilevel"/>
    <w:lvl w:ilvl="0">
      <w:lvlJc w:val="left"/>
      <w:lvlText w:val="(%1)"/>
      <w:numFmt w:val="lowerLetter"/>
      <w:start w:val="1"/>
    </w:lvl>
  </w:abstractNum>
  <w:abstractNum w:abstractNumId="149">
    <w:nsid w:val="77485850"/>
    <w:multiLevelType w:val="hybridMultilevel"/>
    <w:lvl w:ilvl="0">
      <w:lvlJc w:val="left"/>
      <w:lvlText w:val="(%1)"/>
      <w:numFmt w:val="upperLetter"/>
      <w:start w:val="2"/>
    </w:lvl>
    <w:lvl w:ilvl="1">
      <w:lvlJc w:val="left"/>
      <w:lvlText w:val="(%2)"/>
      <w:numFmt w:val="lowerLetter"/>
      <w:start w:val="2"/>
    </w:lvl>
  </w:abstractNum>
  <w:abstractNum w:abstractNumId="150">
    <w:nsid w:val="744939A3"/>
    <w:multiLevelType w:val="hybridMultilevel"/>
    <w:lvl w:ilvl="0">
      <w:lvlJc w:val="left"/>
      <w:lvlText w:val="(%1)"/>
      <w:numFmt w:val="lowerLetter"/>
      <w:start w:val="4"/>
    </w:lvl>
  </w:abstractNum>
  <w:abstractNum w:abstractNumId="151">
    <w:nsid w:val="4FA0D2E3"/>
    <w:multiLevelType w:val="hybridMultilevel"/>
    <w:lvl w:ilvl="0">
      <w:lvlJc w:val="left"/>
      <w:lvlText w:val="(%1)"/>
      <w:numFmt w:val="lowerLetter"/>
      <w:start w:val="6"/>
    </w:lvl>
  </w:abstractNum>
  <w:abstractNum w:abstractNumId="152">
    <w:nsid w:val="6B1D2C14"/>
    <w:multiLevelType w:val="hybridMultilevel"/>
    <w:lvl w:ilvl="0">
      <w:lvlJc w:val="left"/>
      <w:lvlText w:val="(%1)"/>
      <w:numFmt w:val="lowerLetter"/>
      <w:start w:val="1"/>
    </w:lvl>
  </w:abstractNum>
  <w:abstractNum w:abstractNumId="153">
    <w:nsid w:val="68B867D3"/>
    <w:multiLevelType w:val="hybridMultilevel"/>
    <w:lvl w:ilvl="0">
      <w:lvlJc w:val="left"/>
      <w:lvlText w:val="(%1)"/>
      <w:numFmt w:val="lowerLetter"/>
      <w:start w:val="1"/>
    </w:lvl>
  </w:abstractNum>
  <w:abstractNum w:abstractNumId="154">
    <w:nsid w:val="3F7F5DD9"/>
    <w:multiLevelType w:val="hybridMultilevel"/>
    <w:lvl w:ilvl="0">
      <w:lvlJc w:val="left"/>
      <w:lvlText w:val="(%1)"/>
      <w:numFmt w:val="lowerLetter"/>
      <w:start w:val="3"/>
    </w:lvl>
  </w:abstractNum>
  <w:abstractNum w:abstractNumId="155">
    <w:nsid w:val="2AE05A34"/>
    <w:multiLevelType w:val="hybridMultilevel"/>
    <w:lvl w:ilvl="0">
      <w:lvlJc w:val="left"/>
      <w:lvlText w:val="(%1)"/>
      <w:numFmt w:val="lowerLetter"/>
      <w:start w:val="1"/>
    </w:lvl>
  </w:abstractNum>
  <w:abstractNum w:abstractNumId="156">
    <w:nsid w:val="32794FF7"/>
    <w:multiLevelType w:val="hybridMultilevel"/>
    <w:lvl w:ilvl="0">
      <w:lvlJc w:val="left"/>
      <w:lvlText w:val="(%1)"/>
      <w:numFmt w:val="lowerLetter"/>
      <w:start w:val="2"/>
    </w:lvl>
  </w:abstractNum>
  <w:abstractNum w:abstractNumId="157">
    <w:nsid w:val="5454945E"/>
    <w:multiLevelType w:val="hybridMultilevel"/>
    <w:lvl w:ilvl="0">
      <w:lvlJc w:val="left"/>
      <w:lvlText w:val="(%1)"/>
      <w:numFmt w:val="lowerLetter"/>
      <w:start w:val="7"/>
    </w:lvl>
  </w:abstractNum>
  <w:abstractNum w:abstractNumId="158">
    <w:nsid w:val="4DEFDFA0"/>
    <w:multiLevelType w:val="hybridMultilevel"/>
    <w:lvl w:ilvl="0">
      <w:lvlJc w:val="left"/>
      <w:lvlText w:val="(%1)"/>
      <w:numFmt w:val="lowerLetter"/>
      <w:start w:val="12"/>
    </w:lvl>
  </w:abstractNum>
  <w:abstractNum w:abstractNumId="159">
    <w:nsid w:val="2123D5F2"/>
    <w:multiLevelType w:val="hybridMultilevel"/>
    <w:lvl w:ilvl="0">
      <w:lvlJc w:val="left"/>
      <w:lvlText w:val="%1."/>
      <w:numFmt w:val="decimal"/>
      <w:start w:val="1"/>
    </w:lvl>
    <w:lvl w:ilvl="1">
      <w:lvlJc w:val="left"/>
      <w:lvlText w:val="(%2)"/>
      <w:numFmt w:val="lowerLetter"/>
      <w:start w:val="1"/>
    </w:lvl>
  </w:abstractNum>
  <w:abstractNum w:abstractNumId="160">
    <w:nsid w:val="135B8110"/>
    <w:multiLevelType w:val="hybridMultilevel"/>
    <w:lvl w:ilvl="0">
      <w:lvlJc w:val="left"/>
      <w:lvlText w:val="%1"/>
      <w:numFmt w:val="lowerLetter"/>
      <w:start w:val="1"/>
    </w:lvl>
    <w:lvl w:ilvl="1">
      <w:lvlJc w:val="left"/>
      <w:lvlText w:val="(%2)"/>
      <w:numFmt w:val="lowerLetter"/>
      <w:start w:val="7"/>
    </w:lvl>
  </w:abstractNum>
  <w:abstractNum w:abstractNumId="161">
    <w:nsid w:val="94927A8"/>
    <w:multiLevelType w:val="hybridMultilevel"/>
    <w:lvl w:ilvl="0">
      <w:lvlJc w:val="left"/>
      <w:lvlText w:val="(%1)"/>
      <w:numFmt w:val="lowerLetter"/>
      <w:start w:val="35"/>
    </w:lvl>
    <w:lvl w:ilvl="1">
      <w:lvlJc w:val="left"/>
      <w:lvlText w:val="(%2)"/>
      <w:numFmt w:val="lowerLetter"/>
      <w:start w:val="12"/>
    </w:lvl>
  </w:abstractNum>
  <w:abstractNum w:abstractNumId="162">
    <w:nsid w:val="DCDF8F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3"/>
    </w:lvl>
  </w:abstractNum>
  <w:abstractNum w:abstractNumId="163">
    <w:nsid w:val="52D7B105"/>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24"/>
    </w:lvl>
  </w:abstractNum>
  <w:abstractNum w:abstractNumId="164">
    <w:nsid w:val="2E8A63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65">
    <w:nsid w:val="24E604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66">
    <w:nsid w:val="2A6AD9BE"/>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67">
    <w:nsid w:val="BAAC1B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8">
    <w:nsid w:val="36B2ACB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9">
    <w:nsid w:val="779D854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0">
    <w:nsid w:val="4AB26E7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71">
    <w:nsid w:val="21FAA2F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2">
    <w:nsid w:val="5451CF49"/>
    <w:multiLevelType w:val="hybridMultilevel"/>
    <w:lvl w:ilvl="0">
      <w:lvlJc w:val="left"/>
      <w:lvlText w:val="%1."/>
      <w:numFmt w:val="decimal"/>
      <w:start w:val="6"/>
    </w:lvl>
    <w:lvl w:ilvl="1">
      <w:lvlJc w:val="left"/>
      <w:lvlText w:val="(%2)"/>
      <w:numFmt w:val="lowerLetter"/>
      <w:start w:val="1"/>
    </w:lvl>
  </w:abstractNum>
  <w:abstractNum w:abstractNumId="173">
    <w:nsid w:val="6181EF69"/>
    <w:multiLevelType w:val="hybridMultilevel"/>
    <w:lvl w:ilvl="0">
      <w:lvlJc w:val="left"/>
      <w:lvlText w:val="%1."/>
      <w:numFmt w:val="decimal"/>
      <w:start w:val="7"/>
    </w:lvl>
    <w:lvl w:ilvl="1">
      <w:lvlJc w:val="left"/>
      <w:lvlText w:val="(%2)"/>
      <w:numFmt w:val="lowerLetter"/>
      <w:start w:val="1"/>
    </w:lvl>
  </w:abstractNum>
  <w:abstractNum w:abstractNumId="174">
    <w:nsid w:val="3E6400E6"/>
    <w:multiLevelType w:val="hybridMultilevel"/>
    <w:lvl w:ilvl="0">
      <w:lvlJc w:val="left"/>
      <w:lvlText w:val="%1."/>
      <w:numFmt w:val="decimal"/>
      <w:start w:val="13"/>
    </w:lvl>
  </w:abstractNum>
  <w:abstractNum w:abstractNumId="175">
    <w:nsid w:val="14217E23"/>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176">
    <w:nsid w:val="710757D0"/>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177">
    <w:nsid w:val="5015CD1A"/>
    <w:multiLevelType w:val="hybridMultilevel"/>
    <w:lvl w:ilvl="0">
      <w:lvlJc w:val="left"/>
      <w:lvlText w:val="%1"/>
      <w:numFmt w:val="decimal"/>
      <w:start w:val="1"/>
    </w:lvl>
    <w:lvl w:ilvl="1">
      <w:lvlJc w:val="left"/>
      <w:lvlText w:val="(%2)"/>
      <w:numFmt w:val="lowerLetter"/>
      <w:start w:val="2"/>
    </w:lvl>
  </w:abstractNum>
  <w:abstractNum w:abstractNumId="178">
    <w:nsid w:val="424479DA"/>
    <w:multiLevelType w:val="hybridMultilevel"/>
    <w:lvl w:ilvl="0">
      <w:lvlJc w:val="left"/>
      <w:lvlText w:val="%1."/>
      <w:numFmt w:val="decimal"/>
      <w:start w:val="21"/>
    </w:lvl>
    <w:lvl w:ilvl="1">
      <w:lvlJc w:val="left"/>
      <w:lvlText w:val="%2"/>
      <w:numFmt w:val="lowerLetter"/>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2019-12-09T03:11:25Z</dcterms:created>
  <dcterms:modified xsi:type="dcterms:W3CDTF">2019-12-09T03:11:25Z</dcterms:modified>
</cp:coreProperties>
</file>