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200" w:lineRule="exact"/>
        <w:rPr>
          <w:sz w:val="24"/>
          <w:szCs w:val="24"/>
          <w:color w:val="auto"/>
        </w:rPr>
      </w:pPr>
    </w:p>
    <w:p>
      <w:pPr>
        <w:spacing w:after="0" w:line="309"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7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79"/>
        <w:spacing w:after="0"/>
        <w:rPr>
          <w:sz w:val="20"/>
          <w:szCs w:val="20"/>
          <w:color w:val="auto"/>
        </w:rPr>
      </w:pPr>
      <w:r>
        <w:rPr>
          <w:rFonts w:ascii="Arial" w:cs="Arial" w:eastAsia="Arial" w:hAnsi="Arial"/>
          <w:sz w:val="22"/>
          <w:szCs w:val="22"/>
          <w:b w:val="1"/>
          <w:bCs w:val="1"/>
          <w:color w:val="auto"/>
        </w:rPr>
        <w:t>Securities Exchange Act of 1934</w:t>
      </w:r>
    </w:p>
    <w:p>
      <w:pPr>
        <w:spacing w:after="0" w:line="1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March 1, 2020</w:t>
      </w:r>
    </w:p>
    <w:p>
      <w:pPr>
        <w:spacing w:after="0" w:line="200" w:lineRule="exact"/>
        <w:rPr>
          <w:sz w:val="24"/>
          <w:szCs w:val="24"/>
          <w:color w:val="auto"/>
        </w:rPr>
      </w:pPr>
    </w:p>
    <w:p>
      <w:pPr>
        <w:spacing w:after="0" w:line="200" w:lineRule="exact"/>
        <w:rPr>
          <w:sz w:val="24"/>
          <w:szCs w:val="24"/>
          <w:color w:val="auto"/>
        </w:rPr>
      </w:pPr>
    </w:p>
    <w:p>
      <w:pPr>
        <w:spacing w:after="0" w:line="346" w:lineRule="exact"/>
        <w:rPr>
          <w:sz w:val="24"/>
          <w:szCs w:val="24"/>
          <w:color w:val="auto"/>
        </w:rPr>
      </w:pPr>
    </w:p>
    <w:p>
      <w:pPr>
        <w:jc w:val="center"/>
        <w:ind w:right="-79"/>
        <w:spacing w:after="0"/>
        <w:rPr>
          <w:sz w:val="20"/>
          <w:szCs w:val="20"/>
          <w:color w:val="auto"/>
        </w:rPr>
      </w:pPr>
      <w:r>
        <w:rPr>
          <w:rFonts w:ascii="Arial" w:cs="Arial" w:eastAsia="Arial" w:hAnsi="Arial"/>
          <w:sz w:val="32"/>
          <w:szCs w:val="32"/>
          <w:b w:val="1"/>
          <w:bCs w:val="1"/>
          <w:color w:val="auto"/>
        </w:rPr>
        <w:t>Medpace Holdings, Inc.</w:t>
      </w:r>
    </w:p>
    <w:p>
      <w:pPr>
        <w:spacing w:after="0" w:line="5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charter)</w:t>
      </w:r>
    </w:p>
    <w:p>
      <w:pPr>
        <w:sectPr>
          <w:pgSz w:w="11900" w:h="16838" w:orient="portrait"/>
          <w:cols w:equalWidth="0" w:num="1">
            <w:col w:w="11340"/>
          </w:cols>
          <w:pgMar w:left="240" w:top="530" w:right="3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73" w:lineRule="exact"/>
        <w:rPr>
          <w:sz w:val="24"/>
          <w:szCs w:val="24"/>
          <w:color w:val="auto"/>
        </w:rPr>
      </w:pPr>
    </w:p>
    <w:p>
      <w:pPr>
        <w:ind w:left="15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jc w:val="center"/>
        <w:ind w:right="2200"/>
        <w:spacing w:after="0"/>
        <w:rPr>
          <w:sz w:val="20"/>
          <w:szCs w:val="20"/>
          <w:color w:val="auto"/>
        </w:rPr>
      </w:pPr>
      <w:r>
        <w:rPr>
          <w:rFonts w:ascii="Arial" w:cs="Arial" w:eastAsia="Arial" w:hAnsi="Arial"/>
          <w:sz w:val="16"/>
          <w:szCs w:val="16"/>
          <w:b w:val="1"/>
          <w:bCs w:val="1"/>
          <w:color w:val="auto"/>
        </w:rPr>
        <w:t>001-37856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32-0434904</w:t>
      </w:r>
    </w:p>
    <w:p>
      <w:pPr>
        <w:spacing w:after="0" w:line="31" w:lineRule="exact"/>
        <w:rPr>
          <w:sz w:val="24"/>
          <w:szCs w:val="24"/>
          <w:color w:val="auto"/>
        </w:rPr>
      </w:pPr>
    </w:p>
    <w:p>
      <w:pPr>
        <w:sectPr>
          <w:pgSz w:w="11900" w:h="16838" w:orient="portrait"/>
          <w:cols w:equalWidth="0" w:num="3">
            <w:col w:w="4740" w:space="720"/>
            <w:col w:w="2980" w:space="720"/>
            <w:col w:w="2180"/>
          </w:cols>
          <w:pgMar w:left="240" w:top="530" w:right="319" w:bottom="1440" w:gutter="0" w:footer="0" w:header="0"/>
          <w:type w:val="continuous"/>
        </w:sectPr>
      </w:pPr>
    </w:p>
    <w:p>
      <w:pPr>
        <w:spacing w:after="0" w:line="12" w:lineRule="exact"/>
        <w:rPr>
          <w:sz w:val="24"/>
          <w:szCs w:val="24"/>
          <w:color w:val="auto"/>
        </w:rPr>
      </w:pPr>
    </w:p>
    <w:p>
      <w:pPr>
        <w:jc w:val="center"/>
        <w:ind w:right="780"/>
        <w:spacing w:after="0"/>
        <w:rPr>
          <w:sz w:val="20"/>
          <w:szCs w:val="20"/>
          <w:color w:val="auto"/>
        </w:rPr>
      </w:pPr>
      <w:r>
        <w:rPr>
          <w:rFonts w:ascii="Arial" w:cs="Arial" w:eastAsia="Arial" w:hAnsi="Arial"/>
          <w:sz w:val="13"/>
          <w:szCs w:val="13"/>
          <w:b w:val="1"/>
          <w:bCs w:val="1"/>
          <w:color w:val="auto"/>
        </w:rPr>
        <w:t>(State or other jurisdiction</w:t>
      </w:r>
    </w:p>
    <w:p>
      <w:pPr>
        <w:jc w:val="center"/>
        <w:ind w:right="78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700" w:space="720"/>
            <w:col w:w="2900" w:space="720"/>
            <w:col w:w="2300"/>
          </w:cols>
          <w:pgMar w:left="240" w:top="530" w:right="319" w:bottom="1440" w:gutter="0" w:footer="0" w:header="0"/>
          <w:type w:val="continuous"/>
        </w:sectPr>
      </w:pPr>
    </w:p>
    <w:p>
      <w:pPr>
        <w:spacing w:after="0" w:line="16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5375 MEDPACE WAY</w:t>
      </w:r>
    </w:p>
    <w:p>
      <w:pPr>
        <w:jc w:val="center"/>
        <w:ind w:right="-79"/>
        <w:spacing w:after="0" w:line="226" w:lineRule="auto"/>
        <w:rPr>
          <w:sz w:val="20"/>
          <w:szCs w:val="20"/>
          <w:color w:val="auto"/>
        </w:rPr>
      </w:pPr>
      <w:r>
        <w:rPr>
          <w:rFonts w:ascii="Arial" w:cs="Arial" w:eastAsia="Arial" w:hAnsi="Arial"/>
          <w:sz w:val="14"/>
          <w:szCs w:val="14"/>
          <w:b w:val="1"/>
          <w:bCs w:val="1"/>
          <w:color w:val="auto"/>
        </w:rPr>
        <w:t>CINCINNATI, OHIO 45227</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(513) 579-9911</w:t>
      </w:r>
    </w:p>
    <w:p>
      <w:pPr>
        <w:spacing w:after="0" w:line="215" w:lineRule="exact"/>
        <w:rPr>
          <w:sz w:val="24"/>
          <w:szCs w:val="24"/>
          <w:color w:val="auto"/>
        </w:rPr>
      </w:pPr>
    </w:p>
    <w:p>
      <w:pPr>
        <w:ind w:left="4120"/>
        <w:spacing w:after="0"/>
        <w:rPr>
          <w:sz w:val="20"/>
          <w:szCs w:val="20"/>
          <w:color w:val="auto"/>
        </w:rPr>
      </w:pPr>
      <w:r>
        <w:rPr>
          <w:rFonts w:ascii="Arial" w:cs="Arial" w:eastAsia="Arial" w:hAnsi="Arial"/>
          <w:sz w:val="13"/>
          <w:szCs w:val="13"/>
          <w:b w:val="1"/>
          <w:bCs w:val="1"/>
          <w:color w:val="auto"/>
        </w:rPr>
        <w:t>(Address, including zip code, and telephone number,</w:t>
      </w:r>
    </w:p>
    <w:p>
      <w:pPr>
        <w:spacing w:after="0" w:line="15" w:lineRule="exact"/>
        <w:rPr>
          <w:sz w:val="24"/>
          <w:szCs w:val="24"/>
          <w:color w:val="auto"/>
        </w:rPr>
      </w:pPr>
    </w:p>
    <w:p>
      <w:pPr>
        <w:ind w:left="3800"/>
        <w:spacing w:after="0"/>
        <w:rPr>
          <w:sz w:val="20"/>
          <w:szCs w:val="20"/>
          <w:color w:val="auto"/>
        </w:rPr>
      </w:pPr>
      <w:r>
        <w:rPr>
          <w:rFonts w:ascii="Arial" w:cs="Arial" w:eastAsia="Arial" w:hAnsi="Arial"/>
          <w:sz w:val="12"/>
          <w:szCs w:val="12"/>
          <w:b w:val="1"/>
          <w:bCs w:val="1"/>
          <w:color w:val="auto"/>
        </w:rPr>
        <w:t>Including area code, of registrant’s principal executive offices)</w:t>
      </w:r>
    </w:p>
    <w:p>
      <w:pPr>
        <w:sectPr>
          <w:pgSz w:w="11900" w:h="16838" w:orient="portrait"/>
          <w:cols w:equalWidth="0" w:num="1">
            <w:col w:w="11340"/>
          </w:cols>
          <w:pgMar w:left="240" w:top="530" w:right="319" w:bottom="1440" w:gutter="0" w:footer="0" w:header="0"/>
          <w:type w:val="continuous"/>
        </w:sectPr>
      </w:pPr>
    </w:p>
    <w:p>
      <w:pPr>
        <w:spacing w:after="0" w:line="200" w:lineRule="exact"/>
        <w:rPr>
          <w:sz w:val="24"/>
          <w:szCs w:val="24"/>
          <w:color w:val="auto"/>
        </w:rPr>
      </w:pPr>
    </w:p>
    <w:p>
      <w:pPr>
        <w:spacing w:after="0" w:line="282" w:lineRule="exact"/>
        <w:rPr>
          <w:sz w:val="24"/>
          <w:szCs w:val="24"/>
          <w:color w:val="auto"/>
        </w:rPr>
      </w:pPr>
    </w:p>
    <w:p>
      <w:pPr>
        <w:ind w:right="140"/>
        <w:spacing w:after="0" w:line="251" w:lineRule="auto"/>
        <w:rPr>
          <w:sz w:val="20"/>
          <w:szCs w:val="20"/>
          <w:color w:val="auto"/>
        </w:rPr>
      </w:pPr>
      <w:r>
        <w:rPr>
          <w:rFonts w:ascii="Arial" w:cs="Arial" w:eastAsia="Arial" w:hAnsi="Arial"/>
          <w:sz w:val="22"/>
          <w:szCs w:val="22"/>
          <w:color w:val="auto"/>
        </w:rPr>
        <w:t>Check the appropriate box below if the Form 8-K filing is intended to simultaneously satisfy the filing obligation of the registrant under any of the following provisions (</w:t>
      </w:r>
      <w:r>
        <w:rPr>
          <w:rFonts w:ascii="Arial" w:cs="Arial" w:eastAsia="Arial" w:hAnsi="Arial"/>
          <w:sz w:val="22"/>
          <w:szCs w:val="22"/>
          <w:u w:val="single" w:color="auto"/>
          <w:color w:val="auto"/>
        </w:rPr>
        <w:t>see</w:t>
      </w:r>
      <w:r>
        <w:rPr>
          <w:rFonts w:ascii="Arial" w:cs="Arial" w:eastAsia="Arial" w:hAnsi="Arial"/>
          <w:sz w:val="22"/>
          <w:szCs w:val="22"/>
          <w:color w:val="auto"/>
        </w:rPr>
        <w:t xml:space="preserve"> General Instruction A.2. below):</w:t>
      </w:r>
    </w:p>
    <w:p>
      <w:pPr>
        <w:spacing w:after="0" w:line="113" w:lineRule="exact"/>
        <w:rPr>
          <w:sz w:val="24"/>
          <w:szCs w:val="24"/>
          <w:color w:val="auto"/>
        </w:rPr>
      </w:pP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 pursuant to Rule 425 under the Securities Act (17 CFR 230.425)</w:t>
      </w:r>
    </w:p>
    <w:p>
      <w:pPr>
        <w:spacing w:after="0" w:line="157" w:lineRule="exact"/>
        <w:rPr>
          <w:rFonts w:ascii="MS PGothic" w:cs="MS PGothic" w:eastAsia="MS PGothic" w:hAnsi="MS PGothic"/>
          <w:sz w:val="18"/>
          <w:szCs w:val="18"/>
          <w:color w:val="auto"/>
        </w:rPr>
      </w:pPr>
    </w:p>
    <w:p>
      <w:pPr>
        <w:ind w:left="980" w:hanging="324"/>
        <w:spacing w:after="0"/>
        <w:tabs>
          <w:tab w:leader="none" w:pos="980" w:val="left"/>
        </w:tabs>
        <w:numPr>
          <w:ilvl w:val="1"/>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920" w:hanging="30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14d-2(b) under the Exchange Act (17 CFR 240.14d-2(b))</w:t>
      </w:r>
    </w:p>
    <w:p>
      <w:pPr>
        <w:spacing w:after="0" w:line="157" w:lineRule="exact"/>
        <w:rPr>
          <w:rFonts w:ascii="MS PGothic" w:cs="MS PGothic" w:eastAsia="MS PGothic" w:hAnsi="MS PGothic"/>
          <w:sz w:val="18"/>
          <w:szCs w:val="18"/>
          <w:color w:val="auto"/>
        </w:rPr>
      </w:pPr>
    </w:p>
    <w:p>
      <w:pPr>
        <w:ind w:left="920" w:hanging="304"/>
        <w:spacing w:after="0"/>
        <w:tabs>
          <w:tab w:leader="none" w:pos="9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 pursuant to Rule 13e-4(c) under the Exchange Act (17 CFR 240.13e-4(c))</w:t>
      </w:r>
    </w:p>
    <w:p>
      <w:pPr>
        <w:spacing w:after="0" w:line="110" w:lineRule="exact"/>
        <w:rPr>
          <w:sz w:val="24"/>
          <w:szCs w:val="24"/>
          <w:color w:val="auto"/>
        </w:rPr>
      </w:pPr>
    </w:p>
    <w:p>
      <w:pPr>
        <w:spacing w:after="0"/>
        <w:rPr>
          <w:sz w:val="20"/>
          <w:szCs w:val="20"/>
          <w:color w:val="auto"/>
        </w:rPr>
      </w:pPr>
      <w:r>
        <w:rPr>
          <w:rFonts w:ascii="Arial" w:cs="Arial" w:eastAsia="Arial" w:hAnsi="Arial"/>
          <w:sz w:val="22"/>
          <w:szCs w:val="22"/>
          <w:color w:val="auto"/>
        </w:rPr>
        <w:t>Securities registered pursuant to Section 12(b) of the Act:</w:t>
      </w:r>
    </w:p>
    <w:p>
      <w:pPr>
        <w:spacing w:after="0" w:line="88" w:lineRule="exact"/>
        <w:rPr>
          <w:sz w:val="24"/>
          <w:szCs w:val="24"/>
          <w:color w:val="auto"/>
        </w:rPr>
      </w:pPr>
    </w:p>
    <w:tbl>
      <w:tblPr>
        <w:tblLayout w:type="fixed"/>
        <w:tblInd w:w="1520" w:type="dxa"/>
        <w:tblCellMar>
          <w:top w:w="0" w:type="dxa"/>
          <w:left w:w="0" w:type="dxa"/>
          <w:bottom w:w="0" w:type="dxa"/>
          <w:right w:w="0" w:type="dxa"/>
        </w:tblCellMar>
      </w:tblPr>
      <w:tr>
        <w:trPr>
          <w:trHeight w:val="207"/>
        </w:trPr>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20" w:type="dxa"/>
            <w:vAlign w:val="bottom"/>
          </w:tcPr>
          <w:p>
            <w:pPr>
              <w:spacing w:after="0"/>
              <w:rPr>
                <w:sz w:val="18"/>
                <w:szCs w:val="18"/>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1280" w:type="dxa"/>
            <w:vAlign w:val="bottom"/>
          </w:tcPr>
          <w:p>
            <w:pPr>
              <w:spacing w:after="0"/>
              <w:rPr>
                <w:sz w:val="18"/>
                <w:szCs w:val="18"/>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37"/>
        </w:trPr>
        <w:tc>
          <w:tcPr>
            <w:tcW w:w="1300" w:type="dxa"/>
            <w:vAlign w:val="bottom"/>
          </w:tcPr>
          <w:p>
            <w:pPr>
              <w:jc w:val="center"/>
              <w:spacing w:after="0"/>
              <w:rPr>
                <w:sz w:val="20"/>
                <w:szCs w:val="20"/>
                <w:color w:val="auto"/>
              </w:rPr>
            </w:pPr>
            <w:r>
              <w:rPr>
                <w:rFonts w:ascii="Arial" w:cs="Arial" w:eastAsia="Arial" w:hAnsi="Arial"/>
                <w:sz w:val="18"/>
                <w:szCs w:val="18"/>
                <w:color w:val="auto"/>
                <w:w w:val="90"/>
              </w:rPr>
              <w:t>Common Stock</w:t>
            </w:r>
          </w:p>
        </w:tc>
        <w:tc>
          <w:tcPr>
            <w:tcW w:w="2220" w:type="dxa"/>
            <w:vAlign w:val="bottom"/>
          </w:tcPr>
          <w:p>
            <w:pPr>
              <w:spacing w:after="0"/>
              <w:rPr>
                <w:sz w:val="20"/>
                <w:szCs w:val="20"/>
                <w:color w:val="auto"/>
              </w:rPr>
            </w:pPr>
          </w:p>
        </w:tc>
        <w:tc>
          <w:tcPr>
            <w:tcW w:w="2640" w:type="dxa"/>
            <w:vAlign w:val="bottom"/>
            <w:gridSpan w:val="2"/>
          </w:tcPr>
          <w:p>
            <w:pPr>
              <w:jc w:val="center"/>
              <w:ind w:right="1260"/>
              <w:spacing w:after="0"/>
              <w:rPr>
                <w:sz w:val="20"/>
                <w:szCs w:val="20"/>
                <w:color w:val="auto"/>
              </w:rPr>
            </w:pPr>
            <w:r>
              <w:rPr>
                <w:rFonts w:ascii="Arial" w:cs="Arial" w:eastAsia="Arial" w:hAnsi="Arial"/>
                <w:sz w:val="18"/>
                <w:szCs w:val="18"/>
                <w:color w:val="auto"/>
                <w:w w:val="96"/>
              </w:rPr>
              <w:t>MEDP</w:t>
            </w:r>
          </w:p>
        </w:tc>
        <w:tc>
          <w:tcPr>
            <w:tcW w:w="3180" w:type="dxa"/>
            <w:vAlign w:val="bottom"/>
          </w:tcPr>
          <w:p>
            <w:pPr>
              <w:jc w:val="center"/>
              <w:spacing w:after="0"/>
              <w:rPr>
                <w:sz w:val="20"/>
                <w:szCs w:val="20"/>
                <w:color w:val="auto"/>
              </w:rPr>
            </w:pPr>
            <w:r>
              <w:rPr>
                <w:rFonts w:ascii="Arial" w:cs="Arial" w:eastAsia="Arial" w:hAnsi="Arial"/>
                <w:sz w:val="18"/>
                <w:szCs w:val="18"/>
                <w:color w:val="auto"/>
                <w:w w:val="91"/>
              </w:rPr>
              <w:t>The Nasdaq Global Select Market</w:t>
            </w:r>
          </w:p>
        </w:tc>
      </w:tr>
    </w:tbl>
    <w:p>
      <w:pPr>
        <w:spacing w:after="0" w:line="200" w:lineRule="exact"/>
        <w:rPr>
          <w:sz w:val="24"/>
          <w:szCs w:val="24"/>
          <w:color w:val="auto"/>
        </w:rPr>
      </w:pPr>
    </w:p>
    <w:p>
      <w:pPr>
        <w:spacing w:after="0" w:line="373" w:lineRule="exact"/>
        <w:rPr>
          <w:sz w:val="24"/>
          <w:szCs w:val="24"/>
          <w:color w:val="auto"/>
        </w:rPr>
      </w:pPr>
    </w:p>
    <w:p>
      <w:pPr>
        <w:spacing w:after="0" w:line="253" w:lineRule="auto"/>
        <w:rPr>
          <w:sz w:val="20"/>
          <w:szCs w:val="20"/>
          <w:color w:val="auto"/>
        </w:rPr>
      </w:pPr>
      <w:r>
        <w:rPr>
          <w:rFonts w:ascii="Arial" w:cs="Arial" w:eastAsia="Arial" w:hAnsi="Arial"/>
          <w:sz w:val="21"/>
          <w:szCs w:val="21"/>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51" w:lineRule="exact"/>
        <w:rPr>
          <w:sz w:val="20"/>
          <w:szCs w:val="20"/>
          <w:color w:val="auto"/>
        </w:rPr>
      </w:pPr>
      <w:r>
        <w:rPr>
          <w:rFonts w:ascii="Arial" w:cs="Arial" w:eastAsia="Arial" w:hAnsi="Arial"/>
          <w:sz w:val="22"/>
          <w:szCs w:val="22"/>
          <w:color w:val="auto"/>
        </w:rPr>
        <w:t xml:space="preserve">Emerging growth company </w:t>
      </w:r>
      <w:r>
        <w:rPr>
          <w:rFonts w:ascii="MS PGothic" w:cs="MS PGothic" w:eastAsia="MS PGothic" w:hAnsi="MS PGothic"/>
          <w:sz w:val="22"/>
          <w:szCs w:val="22"/>
          <w:color w:val="auto"/>
        </w:rPr>
        <w:t>☐</w:t>
      </w:r>
    </w:p>
    <w:p>
      <w:pPr>
        <w:spacing w:after="0" w:line="1" w:lineRule="exact"/>
        <w:rPr>
          <w:sz w:val="24"/>
          <w:szCs w:val="24"/>
          <w:color w:val="auto"/>
        </w:rPr>
      </w:pPr>
    </w:p>
    <w:p>
      <w:pPr>
        <w:ind w:right="240"/>
        <w:spacing w:after="0" w:line="269" w:lineRule="exact"/>
        <w:rPr>
          <w:sz w:val="20"/>
          <w:szCs w:val="20"/>
          <w:color w:val="auto"/>
        </w:rPr>
      </w:pPr>
      <w:r>
        <w:rPr>
          <w:rFonts w:ascii="Arial" w:cs="Arial" w:eastAsia="Arial" w:hAnsi="Arial"/>
          <w:sz w:val="19"/>
          <w:szCs w:val="19"/>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244475</wp:posOffset>
            </wp:positionV>
            <wp:extent cx="72466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340"/>
          </w:cols>
          <w:pgMar w:left="240" w:top="530" w:right="319" w:bottom="1440" w:gutter="0" w:footer="0" w:header="0"/>
          <w:type w:val="continuous"/>
        </w:sectPr>
      </w:pPr>
    </w:p>
    <w:bookmarkStart w:id="1" w:name="page2"/>
    <w:bookmarkEnd w:id="1"/>
    <w:p>
      <w:pPr>
        <w:ind w:right="1060"/>
        <w:spacing w:after="0" w:line="256" w:lineRule="auto"/>
        <w:rPr>
          <w:sz w:val="20"/>
          <w:szCs w:val="20"/>
          <w:color w:val="auto"/>
        </w:rPr>
      </w:pPr>
      <w:r>
        <w:rPr>
          <w:rFonts w:ascii="Arial" w:cs="Arial" w:eastAsia="Arial" w:hAnsi="Arial"/>
          <w:sz w:val="22"/>
          <w:szCs w:val="22"/>
          <w:b w:val="1"/>
          <w:bCs w:val="1"/>
          <w:color w:val="auto"/>
        </w:rPr>
        <w:t>Item 5.02. Departure of Directors or Certain Officers; Election of Directors; Appointment of Certain Officers; Compensatory Arrangements of Certain Officers.</w:t>
      </w:r>
    </w:p>
    <w:p>
      <w:pPr>
        <w:spacing w:after="0" w:line="196" w:lineRule="exact"/>
        <w:rPr>
          <w:sz w:val="20"/>
          <w:szCs w:val="20"/>
          <w:color w:val="auto"/>
        </w:rPr>
      </w:pPr>
    </w:p>
    <w:p>
      <w:pPr>
        <w:jc w:val="both"/>
        <w:ind w:firstLine="8"/>
        <w:spacing w:after="0" w:line="249" w:lineRule="auto"/>
        <w:tabs>
          <w:tab w:leader="none" w:pos="334" w:val="left"/>
        </w:tabs>
        <w:numPr>
          <w:ilvl w:val="0"/>
          <w:numId w:val="2"/>
        </w:numPr>
        <w:rPr>
          <w:rFonts w:ascii="Arial" w:cs="Arial" w:eastAsia="Arial" w:hAnsi="Arial"/>
          <w:sz w:val="21"/>
          <w:szCs w:val="21"/>
          <w:color w:val="auto"/>
        </w:rPr>
      </w:pPr>
      <w:r>
        <w:rPr>
          <w:rFonts w:ascii="Arial" w:cs="Arial" w:eastAsia="Arial" w:hAnsi="Arial"/>
          <w:sz w:val="21"/>
          <w:szCs w:val="21"/>
          <w:color w:val="auto"/>
        </w:rPr>
        <w:t>The Compensation Committee (the “Committee”) of the Board of Directors of Medpace Holdings, Inc. (the “Company”) approved the following base salary increases, effective March 1, 2020: August J. Troendle, President and Chief Executive Officer of the Company, from $520,250 to $625,000; Jesse J. Geiger, Chief Financial Officer and Chief Operating Officer, Laboratory Operations, from $410,650 to $450,000; Susan E. Burwig, Executive Vice President, Operations, from $421,100 to $475,000; and Stephen P. Ewald, General Counsel and Corporate Secretary, from $302,350 to $400,000.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478790</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355"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22"/>
          <w:szCs w:val="22"/>
          <w:color w:val="auto"/>
        </w:rPr>
        <w:t>SIGNATURE</w:t>
      </w:r>
    </w:p>
    <w:p>
      <w:pPr>
        <w:spacing w:after="0" w:line="207" w:lineRule="exact"/>
        <w:rPr>
          <w:sz w:val="20"/>
          <w:szCs w:val="20"/>
          <w:color w:val="auto"/>
        </w:rPr>
      </w:pPr>
    </w:p>
    <w:p>
      <w:pPr>
        <w:ind w:right="140" w:firstLine="648"/>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5680" w:type="dxa"/>
            <w:vAlign w:val="bottom"/>
            <w:gridSpan w:val="2"/>
          </w:tcPr>
          <w:p>
            <w:pPr>
              <w:ind w:left="100"/>
              <w:spacing w:after="0"/>
              <w:rPr>
                <w:sz w:val="20"/>
                <w:szCs w:val="20"/>
                <w:color w:val="auto"/>
              </w:rPr>
            </w:pPr>
            <w:r>
              <w:rPr>
                <w:rFonts w:ascii="Arial" w:cs="Arial" w:eastAsia="Arial" w:hAnsi="Arial"/>
                <w:sz w:val="18"/>
                <w:szCs w:val="18"/>
                <w:b w:val="1"/>
                <w:bCs w:val="1"/>
                <w:color w:val="auto"/>
              </w:rPr>
              <w:t>MEDPACE HOLDINGS, INC.</w:t>
            </w:r>
          </w:p>
        </w:tc>
      </w:tr>
      <w:tr>
        <w:trPr>
          <w:trHeight w:val="439"/>
        </w:trPr>
        <w:tc>
          <w:tcPr>
            <w:tcW w:w="5740" w:type="dxa"/>
            <w:vAlign w:val="bottom"/>
            <w:gridSpan w:val="2"/>
          </w:tcPr>
          <w:p>
            <w:pPr>
              <w:spacing w:after="0"/>
              <w:rPr>
                <w:sz w:val="20"/>
                <w:szCs w:val="20"/>
                <w:color w:val="auto"/>
              </w:rPr>
            </w:pPr>
            <w:r>
              <w:rPr>
                <w:rFonts w:ascii="Arial" w:cs="Arial" w:eastAsia="Arial" w:hAnsi="Arial"/>
                <w:sz w:val="18"/>
                <w:szCs w:val="18"/>
                <w:color w:val="auto"/>
              </w:rPr>
              <w:t>Date:    March 5, 2020</w:t>
            </w:r>
          </w:p>
        </w:tc>
        <w:tc>
          <w:tcPr>
            <w:tcW w:w="780" w:type="dxa"/>
            <w:vAlign w:val="bottom"/>
          </w:tcPr>
          <w:p>
            <w:pPr>
              <w:ind w:left="100"/>
              <w:spacing w:after="0"/>
              <w:rPr>
                <w:sz w:val="20"/>
                <w:szCs w:val="20"/>
                <w:color w:val="auto"/>
              </w:rPr>
            </w:pPr>
            <w:r>
              <w:rPr>
                <w:rFonts w:ascii="Arial" w:cs="Arial" w:eastAsia="Arial" w:hAnsi="Arial"/>
                <w:sz w:val="18"/>
                <w:szCs w:val="18"/>
                <w:color w:val="auto"/>
              </w:rPr>
              <w:t>By:</w:t>
            </w:r>
          </w:p>
        </w:tc>
        <w:tc>
          <w:tcPr>
            <w:tcW w:w="4900" w:type="dxa"/>
            <w:vAlign w:val="bottom"/>
          </w:tcPr>
          <w:p>
            <w:pPr>
              <w:spacing w:after="0"/>
              <w:rPr>
                <w:sz w:val="20"/>
                <w:szCs w:val="20"/>
                <w:color w:val="auto"/>
              </w:rPr>
            </w:pPr>
            <w:r>
              <w:rPr>
                <w:rFonts w:ascii="Arial" w:cs="Arial" w:eastAsia="Arial" w:hAnsi="Arial"/>
                <w:sz w:val="18"/>
                <w:szCs w:val="18"/>
                <w:color w:val="auto"/>
              </w:rPr>
              <w:t>/s/ Stephen P. Ewald</w:t>
            </w:r>
          </w:p>
        </w:tc>
      </w:tr>
      <w:tr>
        <w:trPr>
          <w:trHeight w:val="202"/>
        </w:trPr>
        <w:tc>
          <w:tcPr>
            <w:tcW w:w="720" w:type="dxa"/>
            <w:vAlign w:val="bottom"/>
          </w:tcPr>
          <w:p>
            <w:pPr>
              <w:spacing w:after="0"/>
              <w:rPr>
                <w:sz w:val="17"/>
                <w:szCs w:val="17"/>
                <w:color w:val="auto"/>
              </w:rPr>
            </w:pPr>
          </w:p>
        </w:tc>
        <w:tc>
          <w:tcPr>
            <w:tcW w:w="5020" w:type="dxa"/>
            <w:vAlign w:val="bottom"/>
            <w:tcBorders>
              <w:top w:val="single" w:sz="8" w:color="auto"/>
            </w:tcBorders>
          </w:tcPr>
          <w:p>
            <w:pPr>
              <w:spacing w:after="0"/>
              <w:rPr>
                <w:sz w:val="17"/>
                <w:szCs w:val="17"/>
                <w:color w:val="auto"/>
              </w:rPr>
            </w:pPr>
          </w:p>
        </w:tc>
        <w:tc>
          <w:tcPr>
            <w:tcW w:w="780" w:type="dxa"/>
            <w:vAlign w:val="bottom"/>
          </w:tcPr>
          <w:p>
            <w:pPr>
              <w:ind w:left="100"/>
              <w:spacing w:after="0" w:line="201" w:lineRule="exact"/>
              <w:rPr>
                <w:sz w:val="20"/>
                <w:szCs w:val="20"/>
                <w:color w:val="auto"/>
              </w:rPr>
            </w:pPr>
            <w:r>
              <w:rPr>
                <w:rFonts w:ascii="Arial" w:cs="Arial" w:eastAsia="Arial" w:hAnsi="Arial"/>
                <w:sz w:val="18"/>
                <w:szCs w:val="18"/>
                <w:color w:val="auto"/>
              </w:rPr>
              <w:t>Name:</w:t>
            </w:r>
          </w:p>
        </w:tc>
        <w:tc>
          <w:tcPr>
            <w:tcW w:w="49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Stephen P. Ewald</w:t>
            </w:r>
          </w:p>
        </w:tc>
      </w:tr>
      <w:tr>
        <w:trPr>
          <w:trHeight w:val="230"/>
        </w:trPr>
        <w:tc>
          <w:tcPr>
            <w:tcW w:w="7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780" w:type="dxa"/>
            <w:vAlign w:val="bottom"/>
          </w:tcPr>
          <w:p>
            <w:pPr>
              <w:ind w:left="100"/>
              <w:spacing w:after="0"/>
              <w:rPr>
                <w:sz w:val="20"/>
                <w:szCs w:val="20"/>
                <w:color w:val="auto"/>
              </w:rPr>
            </w:pPr>
            <w:r>
              <w:rPr>
                <w:rFonts w:ascii="Arial" w:cs="Arial" w:eastAsia="Arial" w:hAnsi="Arial"/>
                <w:sz w:val="18"/>
                <w:szCs w:val="18"/>
                <w:color w:val="auto"/>
              </w:rPr>
              <w:t>Title:</w:t>
            </w:r>
          </w:p>
        </w:tc>
        <w:tc>
          <w:tcPr>
            <w:tcW w:w="4900" w:type="dxa"/>
            <w:vAlign w:val="bottom"/>
          </w:tcPr>
          <w:p>
            <w:pPr>
              <w:spacing w:after="0"/>
              <w:rPr>
                <w:sz w:val="20"/>
                <w:szCs w:val="20"/>
                <w:color w:val="auto"/>
              </w:rPr>
            </w:pPr>
            <w:r>
              <w:rPr>
                <w:rFonts w:ascii="Arial" w:cs="Arial" w:eastAsia="Arial" w:hAnsi="Arial"/>
                <w:sz w:val="18"/>
                <w:szCs w:val="18"/>
                <w:color w:val="auto"/>
              </w:rPr>
              <w:t>General Counsel and Corporate Secretary</w:t>
            </w:r>
          </w:p>
        </w:tc>
      </w:tr>
    </w:tbl>
    <w:p>
      <w:pPr>
        <w:spacing w:after="0" w:line="1" w:lineRule="exact"/>
        <w:rPr>
          <w:sz w:val="20"/>
          <w:szCs w:val="20"/>
          <w:color w:val="auto"/>
        </w:rPr>
      </w:pP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lvl w:ilvl="1">
      <w:lvlJc w:val="left"/>
      <w:lvlText w:val="☐"/>
      <w:numFmt w:val="bullet"/>
      <w:start w:val="1"/>
    </w:lvl>
  </w:abstractNum>
  <w:abstractNum w:abstractNumId="1">
    <w:nsid w:val="66334873"/>
    <w:multiLevelType w:val="hybridMultilevel"/>
    <w:lvl w:ilvl="0">
      <w:lvlJc w:val="left"/>
      <w:lvlText w:val="(%1)"/>
      <w:numFmt w:val="lowerLetter"/>
      <w:start w:val="5"/>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2020-03-05T15:18:29Z</dcterms:created>
  <dcterms:modified xsi:type="dcterms:W3CDTF">2020-03-05T15:18:29Z</dcterms:modified>
</cp:coreProperties>
</file>