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999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994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Troendle August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MEDPACE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5375 MEDPACE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Medpace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MEDP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CINCINNATI</w:t>
            </w:r>
          </w:p>
        </w:tc>
        <w:tc>
          <w:tcPr>
            <w:tcW w:w="940" w:type="dxa"/>
            <w:vAlign w:val="bottom"/>
          </w:tcPr>
          <w:p>
            <w:pPr>
              <w:ind w:left="120"/>
              <w:spacing w:after="0"/>
              <w:rPr>
                <w:sz w:val="20"/>
                <w:szCs w:val="20"/>
                <w:color w:val="auto"/>
              </w:rPr>
            </w:pPr>
            <w:r>
              <w:rPr>
                <w:rFonts w:ascii="Arial" w:cs="Arial" w:eastAsia="Arial" w:hAnsi="Arial"/>
                <w:sz w:val="17"/>
                <w:szCs w:val="17"/>
                <w:color w:val="0000FF"/>
              </w:rPr>
              <w:t>OH</w:t>
            </w:r>
          </w:p>
        </w:tc>
        <w:tc>
          <w:tcPr>
            <w:tcW w:w="1600" w:type="dxa"/>
            <w:vAlign w:val="bottom"/>
          </w:tcPr>
          <w:p>
            <w:pPr>
              <w:ind w:left="400"/>
              <w:spacing w:after="0"/>
              <w:rPr>
                <w:sz w:val="20"/>
                <w:szCs w:val="20"/>
                <w:color w:val="auto"/>
              </w:rPr>
            </w:pPr>
            <w:r>
              <w:rPr>
                <w:rFonts w:ascii="Arial" w:cs="Arial" w:eastAsia="Arial" w:hAnsi="Arial"/>
                <w:sz w:val="17"/>
                <w:szCs w:val="17"/>
                <w:color w:val="0000FF"/>
              </w:rPr>
              <w:t>45227</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20"/>
              <w:spacing w:after="0"/>
              <w:rPr>
                <w:sz w:val="20"/>
                <w:szCs w:val="20"/>
                <w:color w:val="auto"/>
              </w:rPr>
            </w:pPr>
            <w:r>
              <w:rPr>
                <w:rFonts w:ascii="Arial" w:cs="Arial" w:eastAsia="Arial" w:hAnsi="Arial"/>
                <w:sz w:val="17"/>
                <w:szCs w:val="17"/>
                <w:color w:val="0000FF"/>
              </w:rPr>
              <w:t>04/21/2021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60" w:type="dxa"/>
            <w:vAlign w:val="bottom"/>
            <w:vMerge w:val="restart"/>
          </w:tcPr>
          <w:p>
            <w:pPr>
              <w:jc w:val="right"/>
              <w:ind w:right="71"/>
              <w:spacing w:after="0"/>
              <w:rPr>
                <w:sz w:val="20"/>
                <w:szCs w:val="20"/>
                <w:color w:val="auto"/>
              </w:rPr>
            </w:pPr>
            <w:r>
              <w:rPr>
                <w:rFonts w:ascii="Arial" w:cs="Arial" w:eastAsia="Arial" w:hAnsi="Arial"/>
                <w:sz w:val="17"/>
                <w:szCs w:val="17"/>
                <w:color w:val="0000FF"/>
              </w:rPr>
              <w:t>15,687</w:t>
            </w:r>
            <w:r>
              <w:rPr>
                <w:rFonts w:ascii="Arial" w:cs="Arial" w:eastAsia="Arial" w:hAnsi="Arial"/>
                <w:sz w:val="22"/>
                <w:szCs w:val="22"/>
                <w:color w:val="008000"/>
                <w:vertAlign w:val="superscript"/>
              </w:rPr>
              <w:t>(1)</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187.02</w:t>
            </w:r>
            <w:r>
              <w:rPr>
                <w:rFonts w:ascii="Arial" w:cs="Arial" w:eastAsia="Arial" w:hAnsi="Arial"/>
                <w:sz w:val="22"/>
                <w:szCs w:val="22"/>
                <w:color w:val="008000"/>
                <w:w w:val="93"/>
                <w:vertAlign w:val="superscript"/>
              </w:rPr>
              <w:t>(2)</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6,362,903</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Medpace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0000FF"/>
              </w:rPr>
              <w:t>Investors,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20"/>
              <w:spacing w:after="0"/>
              <w:rPr>
                <w:sz w:val="20"/>
                <w:szCs w:val="20"/>
                <w:color w:val="auto"/>
              </w:rPr>
            </w:pPr>
            <w:r>
              <w:rPr>
                <w:rFonts w:ascii="Arial" w:cs="Arial" w:eastAsia="Arial" w:hAnsi="Arial"/>
                <w:sz w:val="17"/>
                <w:szCs w:val="17"/>
                <w:color w:val="0000FF"/>
              </w:rPr>
              <w:t>04/22/2021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60" w:type="dxa"/>
            <w:vAlign w:val="bottom"/>
            <w:vMerge w:val="restart"/>
          </w:tcPr>
          <w:p>
            <w:pPr>
              <w:jc w:val="right"/>
              <w:ind w:right="71"/>
              <w:spacing w:after="0"/>
              <w:rPr>
                <w:sz w:val="20"/>
                <w:szCs w:val="20"/>
                <w:color w:val="auto"/>
              </w:rPr>
            </w:pPr>
            <w:r>
              <w:rPr>
                <w:rFonts w:ascii="Arial" w:cs="Arial" w:eastAsia="Arial" w:hAnsi="Arial"/>
                <w:sz w:val="17"/>
                <w:szCs w:val="17"/>
                <w:color w:val="0000FF"/>
              </w:rPr>
              <w:t>14,377</w:t>
            </w:r>
            <w:r>
              <w:rPr>
                <w:rFonts w:ascii="Arial" w:cs="Arial" w:eastAsia="Arial" w:hAnsi="Arial"/>
                <w:sz w:val="22"/>
                <w:szCs w:val="22"/>
                <w:color w:val="008000"/>
                <w:vertAlign w:val="superscript"/>
              </w:rPr>
              <w:t>(1)</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188.64</w:t>
            </w:r>
            <w:r>
              <w:rPr>
                <w:rFonts w:ascii="Arial" w:cs="Arial" w:eastAsia="Arial" w:hAnsi="Arial"/>
                <w:sz w:val="22"/>
                <w:szCs w:val="22"/>
                <w:color w:val="008000"/>
                <w:w w:val="93"/>
                <w:vertAlign w:val="superscript"/>
              </w:rPr>
              <w:t>(4)</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6,348,526</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Medpace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0000FF"/>
              </w:rPr>
              <w:t>Investors,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3"/>
          </w:tcPr>
          <w:p>
            <w:pPr>
              <w:ind w:left="2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706,643</w:t>
            </w:r>
          </w:p>
        </w:tc>
        <w:tc>
          <w:tcPr>
            <w:tcW w:w="28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Medpace Investors, LLC ("MPI") on March 12, 2021.</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is a weighted average price. These shares were sold in multiple transactions ranging from $182.95 to $189.39. The Reporting Person undertakes to provide full pricing information to the Issuer, any security holder of the Issuer or the staff of the Securities and Exchange Commission upon request.</w:t>
      </w:r>
    </w:p>
    <w:p>
      <w:pPr>
        <w:spacing w:after="0" w:line="15" w:lineRule="exact"/>
        <w:rPr>
          <w:rFonts w:ascii="Arial" w:cs="Arial" w:eastAsia="Arial" w:hAnsi="Arial"/>
          <w:sz w:val="13"/>
          <w:szCs w:val="13"/>
          <w:color w:val="008000"/>
        </w:rPr>
      </w:pPr>
    </w:p>
    <w:p>
      <w:pPr>
        <w:ind w:left="40" w:right="5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the sole manager and controlling unit holder of MPI and has sole voting and investment control with respect to the securities held by MPI. The Reporting Person may be deemed to indirectly beneficially own the securities of the Issuer held by MPI but disclaims beneficial ownership of such securities except to the extent of his pecuniary interest therein.</w:t>
      </w: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is a weighted average price. These shares were sold in multiple transactions ranging from $185.25 to $191.62. The Reporting Person undertakes to provide full pricing information to the Issuer, any security holder of the Issuer or the staff of the Securities and Exchange Commission upon request.</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Stephen P. Ewald,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5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Attorney-in-Fact for August J. 04/23/2021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Troendle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22058" TargetMode="External"/><Relationship Id="rId13" Type="http://schemas.openxmlformats.org/officeDocument/2006/relationships/hyperlink" Target="http://www.sec.gov/cgi-bin/browse-edgar?action=getcompany&amp;CIK=0001668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2021-04-23T15:30:56Z</dcterms:created>
  <dcterms:modified xsi:type="dcterms:W3CDTF">2021-04-23T15:30:56Z</dcterms:modified>
</cp:coreProperties>
</file>