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001-37856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Medpace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tbl>
      <w:tblPr>
        <w:tblW w:w="3854" w:type="dxa"/>
        <w:jc w:val="left"/>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32-0434904</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5375 Medpace Way, Cincinnati, OH 45227</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(513) 579-9911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099" w:type="dxa"/>
        <w:jc w:val="left"/>
        <w:tblInd w:w="0" w:type="dxa"/>
        <w:tblLayout w:type="fixed"/>
        <w:tblCellMar>
          <w:top w:w="28" w:type="dxa"/>
          <w:left w:w="28" w:type="dxa"/>
          <w:bottom w:w="28" w:type="dxa"/>
          <w:right w:w="28" w:type="dxa"/>
        </w:tblCellMar>
      </w:tblPr>
      <w:tblGrid>
        <w:gridCol w:w="1005"/>
        <w:gridCol w:w="880"/>
        <w:gridCol w:w="890"/>
        <w:gridCol w:w="539"/>
        <w:gridCol w:w="539"/>
        <w:gridCol w:w="541"/>
        <w:gridCol w:w="1085"/>
        <w:gridCol w:w="1085"/>
        <w:gridCol w:w="1535"/>
      </w:tblGrid>
      <w:tr>
        <w:trPr/>
        <w:tc>
          <w:tcPr>
            <w:tcW w:w="100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2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2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2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7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MEDP</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color w:val="000000"/>
          <w:sz w:val="20"/>
        </w:rPr>
        <w:t>o</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color w:val="000000"/>
          <w:sz w:val="20"/>
        </w:rPr>
        <w:t>o</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Wingdings;sans-serif" w:hAnsi="Wingdings;sans-serif"/>
                <w:b/>
                <w:color w:val="000000"/>
                <w:sz w:val="20"/>
              </w:rPr>
            </w:pPr>
            <w:r>
              <w:rPr>
                <w:rFonts w:ascii="Wingdings;sans-serif" w:hAnsi="Wingdings;sans-serif"/>
                <w:b/>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Wingdings;sans-serif" w:hAnsi="Wingdings;sans-serif"/>
                <w:b/>
                <w:color w:val="000000"/>
                <w:sz w:val="20"/>
              </w:rPr>
            </w:pPr>
            <w:r>
              <w:rPr>
                <w:rFonts w:ascii="Wingdings;sans-serif" w:hAnsi="Wingdings;sans-serif"/>
                <w:b/>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20"/>
        </w:rPr>
        <w:t>o</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color w:val="000000"/>
          <w:sz w:val="20"/>
        </w:rPr>
        <w:t>x</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7737" w:type="dxa"/>
        <w:jc w:val="left"/>
        <w:tblInd w:w="0" w:type="dxa"/>
        <w:tblLayout w:type="fixed"/>
        <w:tblCellMar>
          <w:top w:w="28" w:type="dxa"/>
          <w:left w:w="28" w:type="dxa"/>
          <w:bottom w:w="28" w:type="dxa"/>
          <w:right w:w="28" w:type="dxa"/>
        </w:tblCellMar>
      </w:tblPr>
      <w:tblGrid>
        <w:gridCol w:w="1001"/>
        <w:gridCol w:w="884"/>
        <w:gridCol w:w="890"/>
        <w:gridCol w:w="109"/>
        <w:gridCol w:w="109"/>
        <w:gridCol w:w="109"/>
        <w:gridCol w:w="1354"/>
        <w:gridCol w:w="1354"/>
        <w:gridCol w:w="1927"/>
      </w:tblGrid>
      <w:tr>
        <w:trPr/>
        <w:tc>
          <w:tcPr>
            <w:tcW w:w="100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r>
      <w:tr>
        <w:trPr/>
        <w:tc>
          <w:tcPr>
            <w:tcW w:w="2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0" w:before="0" w:after="0"/>
              <w:jc w:val="center"/>
              <w:rPr>
                <w:rFonts w:ascii="Times New Roman;serif" w:hAnsi="Times New Roman;serif"/>
                <w:b/>
                <w:color w:val="000000"/>
                <w:sz w:val="20"/>
              </w:rPr>
            </w:pPr>
            <w:r>
              <w:rPr>
                <w:rFonts w:ascii="Times New Roman;serif" w:hAnsi="Times New Roman;serif"/>
                <w:b/>
                <w:color w:val="000000"/>
                <w:sz w:val="20"/>
              </w:rPr>
              <w:t>27,971,686 shares outstanding as of October 16, 2026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QUARTERLY PERIOD ENDED SEPTEMBER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0"/>
        <w:gridCol w:w="318"/>
        <w:gridCol w:w="319"/>
        <w:gridCol w:w="2896"/>
        <w:gridCol w:w="2896"/>
        <w:gridCol w:w="2901"/>
        <w:gridCol w:w="149"/>
        <w:gridCol w:w="149"/>
        <w:gridCol w:w="217"/>
      </w:tblGrid>
      <w:tr>
        <w:trPr/>
        <w:tc>
          <w:tcPr>
            <w:tcW w:w="36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Item Number</w:t>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0">
              <w:r>
                <w:rPr>
                  <w:rStyle w:val="InternetLink"/>
                  <w:rFonts w:ascii="Times New Roman;serif" w:hAnsi="Times New Roman;serif"/>
                  <w:b/>
                  <w:color w:val="0000FF"/>
                  <w:sz w:val="20"/>
                  <w:u w:val="single"/>
                </w:rPr>
                <w:t>PART I — FINANCIAL INFORMATION</w:t>
              </w:r>
            </w:hyperlink>
          </w:p>
        </w:tc>
        <w:tc>
          <w:tcPr>
            <w:tcW w:w="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right"/>
              <w:rPr/>
            </w:pPr>
            <w:hyperlink w:anchor="i62d45cbbce7740f7890f266eee09093d_10">
              <w:r>
                <w:rPr>
                  <w:rStyle w:val="InternetLink"/>
                  <w:rFonts w:ascii="Times New Roman;serif" w:hAnsi="Times New Roman;serif"/>
                  <w:b w:val="false"/>
                  <w:strike w:val="false"/>
                  <w:dstrike w:val="false"/>
                  <w:color w:val="000000"/>
                  <w:sz w:val="20"/>
                  <w:u w:val="none"/>
                  <w:effect w:val="none"/>
                </w:rPr>
                <w:t>3</w:t>
              </w:r>
            </w:hyperlink>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3">
              <w:r>
                <w:rPr>
                  <w:rStyle w:val="InternetLink"/>
                  <w:rFonts w:ascii="Times New Roman;serif" w:hAnsi="Times New Roman;serif"/>
                  <w:b w:val="false"/>
                  <w:strike w:val="false"/>
                  <w:dstrike w:val="false"/>
                  <w:color w:val="000000"/>
                  <w:sz w:val="20"/>
                  <w:u w:val="none"/>
                  <w:effect w:val="none"/>
                </w:rPr>
                <w:t>Item 1.</w:t>
              </w:r>
            </w:hyperlink>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3">
              <w:r>
                <w:rPr>
                  <w:rStyle w:val="InternetLink"/>
                  <w:rFonts w:ascii="Times New Roman;serif" w:hAnsi="Times New Roman;serif"/>
                  <w:b w:val="false"/>
                  <w:color w:val="0000FF"/>
                  <w:sz w:val="20"/>
                  <w:u w:val="single"/>
                </w:rPr>
                <w:t>Financial Statements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0">
              <w:r>
                <w:rPr>
                  <w:rStyle w:val="InternetLink"/>
                  <w:rFonts w:ascii="Times New Roman;serif" w:hAnsi="Times New Roman;serif"/>
                  <w:b w:val="false"/>
                  <w:strike w:val="false"/>
                  <w:dstrike w:val="false"/>
                  <w:color w:val="000000"/>
                  <w:sz w:val="20"/>
                  <w:u w:val="none"/>
                  <w:effect w:val="none"/>
                </w:rPr>
                <w:t>3</w:t>
              </w:r>
            </w:hyperlink>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6">
              <w:r>
                <w:rPr>
                  <w:rStyle w:val="InternetLink"/>
                  <w:rFonts w:ascii="Times New Roman;serif" w:hAnsi="Times New Roman;serif"/>
                  <w:b w:val="false"/>
                  <w:color w:val="000080"/>
                  <w:sz w:val="20"/>
                  <w:u w:val="single"/>
                </w:rPr>
                <w:t xml:space="preserve">Condensed Consolidated Balance Sheets as of </w:t>
              </w:r>
            </w:hyperlink>
            <w:hyperlink w:anchor="i62d45cbbce7740f7890f266eee09093d_16">
              <w:r>
                <w:rPr>
                  <w:rStyle w:val="InternetLink"/>
                  <w:rFonts w:ascii="Times New Roman;serif" w:hAnsi="Times New Roman;serif"/>
                  <w:b w:val="false"/>
                  <w:color w:val="000080"/>
                  <w:sz w:val="20"/>
                  <w:u w:val="single"/>
                </w:rPr>
                <w:t>September</w:t>
              </w:r>
            </w:hyperlink>
            <w:hyperlink w:anchor="i62d45cbbce7740f7890f266eee09093d_16">
              <w:r>
                <w:rPr>
                  <w:rStyle w:val="InternetLink"/>
                  <w:rFonts w:ascii="Times New Roman;serif" w:hAnsi="Times New Roman;serif"/>
                  <w:b w:val="false"/>
                  <w:color w:val="000080"/>
                  <w:sz w:val="20"/>
                  <w:u w:val="single"/>
                </w:rPr>
                <w:t xml:space="preserve"> 30, 2026 and December 31, 2025</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6">
              <w:r>
                <w:rPr>
                  <w:rStyle w:val="InternetLink"/>
                  <w:rFonts w:ascii="Times New Roman;serif" w:hAnsi="Times New Roman;serif"/>
                  <w:b w:val="false"/>
                  <w:strike w:val="false"/>
                  <w:dstrike w:val="false"/>
                  <w:color w:val="000000"/>
                  <w:sz w:val="20"/>
                  <w:u w:val="none"/>
                  <w:effect w:val="none"/>
                </w:rPr>
                <w:t>3</w:t>
              </w:r>
            </w:hyperlink>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2d45cbbce7740f7890f266eee09093d_19">
              <w:r>
                <w:rPr>
                  <w:rStyle w:val="InternetLink"/>
                  <w:rFonts w:ascii="Times New Roman;serif" w:hAnsi="Times New Roman;serif"/>
                  <w:b w:val="false"/>
                  <w:color w:val="000080"/>
                  <w:sz w:val="20"/>
                  <w:u w:val="single"/>
                </w:rPr>
                <w:t xml:space="preserve">Condensed Consolidated Statements of Operations for the three and </w:t>
              </w:r>
            </w:hyperlink>
            <w:hyperlink w:anchor="i62d45cbbce7740f7890f266eee09093d_19">
              <w:r>
                <w:rPr>
                  <w:rStyle w:val="InternetLink"/>
                  <w:rFonts w:ascii="Times New Roman;serif" w:hAnsi="Times New Roman;serif"/>
                  <w:b w:val="false"/>
                  <w:color w:val="000080"/>
                  <w:sz w:val="20"/>
                  <w:u w:val="single"/>
                </w:rPr>
                <w:t>nine</w:t>
              </w:r>
            </w:hyperlink>
            <w:hyperlink w:anchor="i62d45cbbce7740f7890f266eee09093d_19">
              <w:r>
                <w:rPr>
                  <w:rStyle w:val="InternetLink"/>
                  <w:rFonts w:ascii="Times New Roman;serif" w:hAnsi="Times New Roman;serif"/>
                  <w:b w:val="false"/>
                  <w:color w:val="000080"/>
                  <w:sz w:val="20"/>
                  <w:u w:val="single"/>
                </w:rPr>
                <w:t xml:space="preserve"> months ended </w:t>
              </w:r>
            </w:hyperlink>
            <w:hyperlink w:anchor="i62d45cbbce7740f7890f266eee09093d_19">
              <w:r>
                <w:rPr>
                  <w:rStyle w:val="InternetLink"/>
                  <w:rFonts w:ascii="Times New Roman;serif" w:hAnsi="Times New Roman;serif"/>
                  <w:b w:val="false"/>
                  <w:color w:val="000080"/>
                  <w:sz w:val="20"/>
                  <w:u w:val="single"/>
                </w:rPr>
                <w:t>September</w:t>
              </w:r>
            </w:hyperlink>
            <w:hyperlink w:anchor="i62d45cbbce7740f7890f266eee09093d_19">
              <w:r>
                <w:rPr>
                  <w:rStyle w:val="InternetLink"/>
                  <w:rFonts w:ascii="Times New Roman;serif" w:hAnsi="Times New Roman;serif"/>
                  <w:b w:val="false"/>
                  <w:color w:val="000080"/>
                  <w:sz w:val="20"/>
                  <w:u w:val="single"/>
                </w:rPr>
                <w:t xml:space="preserv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9">
              <w:r>
                <w:rPr>
                  <w:rStyle w:val="InternetLink"/>
                  <w:rFonts w:ascii="Times New Roman;serif" w:hAnsi="Times New Roman;serif"/>
                  <w:b w:val="false"/>
                  <w:strike w:val="false"/>
                  <w:dstrike w:val="false"/>
                  <w:color w:val="000000"/>
                  <w:sz w:val="20"/>
                  <w:u w:val="none"/>
                  <w:effect w:val="none"/>
                </w:rPr>
                <w:t>4</w:t>
              </w:r>
            </w:hyperlink>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2d45cbbce7740f7890f266eee09093d_22">
              <w:r>
                <w:rPr>
                  <w:rStyle w:val="InternetLink"/>
                  <w:rFonts w:ascii="Times New Roman;serif" w:hAnsi="Times New Roman;serif"/>
                  <w:b w:val="false"/>
                  <w:color w:val="000080"/>
                  <w:sz w:val="20"/>
                  <w:u w:val="single"/>
                </w:rPr>
                <w:t xml:space="preserve">Condensed Consolidated Statements of Comprehensive Income for the three and </w:t>
              </w:r>
            </w:hyperlink>
            <w:hyperlink w:anchor="i62d45cbbce7740f7890f266eee09093d_22">
              <w:r>
                <w:rPr>
                  <w:rStyle w:val="InternetLink"/>
                  <w:rFonts w:ascii="Times New Roman;serif" w:hAnsi="Times New Roman;serif"/>
                  <w:b w:val="false"/>
                  <w:color w:val="000080"/>
                  <w:sz w:val="20"/>
                  <w:u w:val="single"/>
                </w:rPr>
                <w:t>nine</w:t>
              </w:r>
            </w:hyperlink>
            <w:hyperlink w:anchor="i62d45cbbce7740f7890f266eee09093d_22">
              <w:r>
                <w:rPr>
                  <w:rStyle w:val="InternetLink"/>
                  <w:rFonts w:ascii="Times New Roman;serif" w:hAnsi="Times New Roman;serif"/>
                  <w:b w:val="false"/>
                  <w:color w:val="000080"/>
                  <w:sz w:val="20"/>
                  <w:u w:val="single"/>
                </w:rPr>
                <w:t xml:space="preserve"> months ended </w:t>
              </w:r>
            </w:hyperlink>
            <w:hyperlink w:anchor="i62d45cbbce7740f7890f266eee09093d_22">
              <w:r>
                <w:rPr>
                  <w:rStyle w:val="InternetLink"/>
                  <w:rFonts w:ascii="Times New Roman;serif" w:hAnsi="Times New Roman;serif"/>
                  <w:b w:val="false"/>
                  <w:color w:val="000080"/>
                  <w:sz w:val="20"/>
                  <w:u w:val="single"/>
                </w:rPr>
                <w:t>September</w:t>
              </w:r>
            </w:hyperlink>
            <w:hyperlink w:anchor="i62d45cbbce7740f7890f266eee09093d_22">
              <w:r>
                <w:rPr>
                  <w:rStyle w:val="InternetLink"/>
                  <w:rFonts w:ascii="Times New Roman;serif" w:hAnsi="Times New Roman;serif"/>
                  <w:b w:val="false"/>
                  <w:color w:val="000080"/>
                  <w:sz w:val="20"/>
                  <w:u w:val="single"/>
                </w:rPr>
                <w:t xml:space="preserv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22">
              <w:r>
                <w:rPr>
                  <w:rStyle w:val="InternetLink"/>
                  <w:rFonts w:ascii="Times New Roman;serif" w:hAnsi="Times New Roman;serif"/>
                  <w:b w:val="false"/>
                  <w:strike w:val="false"/>
                  <w:dstrike w:val="false"/>
                  <w:color w:val="000000"/>
                  <w:sz w:val="20"/>
                  <w:u w:val="none"/>
                  <w:effect w:val="none"/>
                </w:rPr>
                <w:t>5</w:t>
              </w:r>
            </w:hyperlink>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2d45cbbce7740f7890f266eee09093d_25">
              <w:r>
                <w:rPr>
                  <w:rStyle w:val="InternetLink"/>
                  <w:rFonts w:ascii="Times New Roman;serif" w:hAnsi="Times New Roman;serif"/>
                  <w:b w:val="false"/>
                  <w:color w:val="000080"/>
                  <w:sz w:val="20"/>
                  <w:u w:val="single"/>
                </w:rPr>
                <w:t xml:space="preserve">Condensed Consolidated Statements of Shareholders’ Equity for the three and </w:t>
              </w:r>
            </w:hyperlink>
            <w:hyperlink w:anchor="i62d45cbbce7740f7890f266eee09093d_25">
              <w:r>
                <w:rPr>
                  <w:rStyle w:val="InternetLink"/>
                  <w:rFonts w:ascii="Times New Roman;serif" w:hAnsi="Times New Roman;serif"/>
                  <w:b w:val="false"/>
                  <w:color w:val="000080"/>
                  <w:sz w:val="20"/>
                  <w:u w:val="single"/>
                </w:rPr>
                <w:t>nine</w:t>
              </w:r>
            </w:hyperlink>
            <w:hyperlink w:anchor="i62d45cbbce7740f7890f266eee09093d_25">
              <w:r>
                <w:rPr>
                  <w:rStyle w:val="InternetLink"/>
                  <w:rFonts w:ascii="Times New Roman;serif" w:hAnsi="Times New Roman;serif"/>
                  <w:b w:val="false"/>
                  <w:color w:val="000080"/>
                  <w:sz w:val="20"/>
                  <w:u w:val="single"/>
                </w:rPr>
                <w:t xml:space="preserve"> months ended</w:t>
              </w:r>
            </w:hyperlink>
            <w:hyperlink w:anchor="i62d45cbbce7740f7890f266eee09093d_25">
              <w:r>
                <w:rPr>
                  <w:rStyle w:val="InternetLink"/>
                  <w:rFonts w:ascii="Times New Roman;serif" w:hAnsi="Times New Roman;serif"/>
                  <w:b w:val="false"/>
                  <w:color w:val="000080"/>
                  <w:sz w:val="20"/>
                  <w:u w:val="single"/>
                </w:rPr>
                <w:t xml:space="preserve"> </w:t>
              </w:r>
            </w:hyperlink>
            <w:hyperlink w:anchor="i62d45cbbce7740f7890f266eee09093d_25">
              <w:r>
                <w:rPr>
                  <w:rStyle w:val="InternetLink"/>
                  <w:rFonts w:ascii="Times New Roman;serif" w:hAnsi="Times New Roman;serif"/>
                  <w:b w:val="false"/>
                  <w:color w:val="000080"/>
                  <w:sz w:val="20"/>
                  <w:u w:val="single"/>
                </w:rPr>
                <w:t>September</w:t>
              </w:r>
            </w:hyperlink>
            <w:hyperlink w:anchor="i62d45cbbce7740f7890f266eee09093d_25">
              <w:r>
                <w:rPr>
                  <w:rStyle w:val="InternetLink"/>
                  <w:rFonts w:ascii="Times New Roman;serif" w:hAnsi="Times New Roman;serif"/>
                  <w:b w:val="false"/>
                  <w:color w:val="000080"/>
                  <w:sz w:val="20"/>
                  <w:u w:val="single"/>
                </w:rPr>
                <w:t xml:space="preserv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25">
              <w:r>
                <w:rPr>
                  <w:rStyle w:val="InternetLink"/>
                  <w:rFonts w:ascii="Times New Roman;serif" w:hAnsi="Times New Roman;serif"/>
                  <w:b w:val="false"/>
                  <w:strike w:val="false"/>
                  <w:dstrike w:val="false"/>
                  <w:color w:val="000000"/>
                  <w:sz w:val="20"/>
                  <w:u w:val="none"/>
                  <w:effect w:val="none"/>
                </w:rPr>
                <w:t>6</w:t>
              </w:r>
            </w:hyperlink>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2d45cbbce7740f7890f266eee09093d_28">
              <w:r>
                <w:rPr>
                  <w:rStyle w:val="InternetLink"/>
                  <w:rFonts w:ascii="Times New Roman;serif" w:hAnsi="Times New Roman;serif"/>
                  <w:b w:val="false"/>
                  <w:color w:val="000080"/>
                  <w:sz w:val="20"/>
                  <w:u w:val="single"/>
                </w:rPr>
                <w:t xml:space="preserve">Condensed Consolidated Statements of Cash Flows for the </w:t>
              </w:r>
            </w:hyperlink>
            <w:hyperlink w:anchor="i62d45cbbce7740f7890f266eee09093d_28">
              <w:r>
                <w:rPr>
                  <w:rStyle w:val="InternetLink"/>
                  <w:rFonts w:ascii="Times New Roman;serif" w:hAnsi="Times New Roman;serif"/>
                  <w:b w:val="false"/>
                  <w:color w:val="000080"/>
                  <w:sz w:val="20"/>
                  <w:u w:val="single"/>
                </w:rPr>
                <w:t>nine</w:t>
              </w:r>
            </w:hyperlink>
            <w:hyperlink w:anchor="i62d45cbbce7740f7890f266eee09093d_28">
              <w:r>
                <w:rPr>
                  <w:rStyle w:val="InternetLink"/>
                  <w:rFonts w:ascii="Times New Roman;serif" w:hAnsi="Times New Roman;serif"/>
                  <w:b w:val="false"/>
                  <w:color w:val="000080"/>
                  <w:sz w:val="20"/>
                  <w:u w:val="single"/>
                </w:rPr>
                <w:t xml:space="preserve"> months ended </w:t>
              </w:r>
            </w:hyperlink>
            <w:hyperlink w:anchor="i62d45cbbce7740f7890f266eee09093d_28">
              <w:r>
                <w:rPr>
                  <w:rStyle w:val="InternetLink"/>
                  <w:rFonts w:ascii="Times New Roman;serif" w:hAnsi="Times New Roman;serif"/>
                  <w:b w:val="false"/>
                  <w:color w:val="000080"/>
                  <w:sz w:val="20"/>
                  <w:u w:val="single"/>
                </w:rPr>
                <w:t>September</w:t>
              </w:r>
            </w:hyperlink>
            <w:hyperlink w:anchor="i62d45cbbce7740f7890f266eee09093d_28">
              <w:r>
                <w:rPr>
                  <w:rStyle w:val="InternetLink"/>
                  <w:rFonts w:ascii="Times New Roman;serif" w:hAnsi="Times New Roman;serif"/>
                  <w:b w:val="false"/>
                  <w:color w:val="000080"/>
                  <w:sz w:val="20"/>
                  <w:u w:val="single"/>
                </w:rPr>
                <w:t xml:space="preserv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28">
              <w:r>
                <w:rPr>
                  <w:rStyle w:val="InternetLink"/>
                  <w:rFonts w:ascii="Times New Roman;serif" w:hAnsi="Times New Roman;serif"/>
                  <w:b w:val="false"/>
                  <w:strike w:val="false"/>
                  <w:dstrike w:val="false"/>
                  <w:color w:val="000000"/>
                  <w:sz w:val="20"/>
                  <w:u w:val="none"/>
                  <w:effect w:val="none"/>
                </w:rPr>
                <w:t>7</w:t>
              </w:r>
            </w:hyperlink>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31">
              <w:r>
                <w:rPr>
                  <w:rStyle w:val="InternetLink"/>
                  <w:rFonts w:ascii="Times New Roman;serif" w:hAnsi="Times New Roman;serif"/>
                  <w:b w:val="false"/>
                  <w:color w:val="0000FF"/>
                  <w:sz w:val="20"/>
                  <w:u w:val="single"/>
                </w:rPr>
                <w:t>Notes to Condensed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31">
              <w:r>
                <w:rPr>
                  <w:rStyle w:val="InternetLink"/>
                  <w:rFonts w:ascii="Times New Roman;serif" w:hAnsi="Times New Roman;serif"/>
                  <w:b w:val="false"/>
                  <w:strike w:val="false"/>
                  <w:dstrike w:val="false"/>
                  <w:color w:val="000000"/>
                  <w:sz w:val="20"/>
                  <w:u w:val="none"/>
                  <w:effect w:val="none"/>
                </w:rPr>
                <w:t>8</w:t>
              </w:r>
            </w:hyperlink>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73">
              <w:r>
                <w:rPr>
                  <w:rStyle w:val="InternetLink"/>
                  <w:rFonts w:ascii="Times New Roman;serif" w:hAnsi="Times New Roman;serif"/>
                  <w:b w:val="false"/>
                  <w:strike w:val="false"/>
                  <w:dstrike w:val="false"/>
                  <w:color w:val="000000"/>
                  <w:sz w:val="20"/>
                  <w:u w:val="none"/>
                  <w:effect w:val="none"/>
                </w:rPr>
                <w:t>Item 2.</w:t>
              </w:r>
            </w:hyperlink>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73">
              <w:r>
                <w:rPr>
                  <w:rStyle w:val="InternetLink"/>
                  <w:rFonts w:ascii="Times New Roman;serif" w:hAnsi="Times New Roman;serif"/>
                  <w:b w:val="false"/>
                  <w:strike w:val="false"/>
                  <w:dstrike w:val="false"/>
                  <w:color w:val="000000"/>
                  <w:sz w:val="20"/>
                  <w:u w:val="none"/>
                  <w:effect w:val="none"/>
                </w:rPr>
                <w:t>19</w:t>
              </w:r>
            </w:hyperlink>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06">
              <w:r>
                <w:rPr>
                  <w:rStyle w:val="InternetLink"/>
                  <w:rFonts w:ascii="Times New Roman;serif" w:hAnsi="Times New Roman;serif"/>
                  <w:b w:val="false"/>
                  <w:strike w:val="false"/>
                  <w:dstrike w:val="false"/>
                  <w:color w:val="000000"/>
                  <w:sz w:val="20"/>
                  <w:u w:val="none"/>
                  <w:effect w:val="none"/>
                </w:rPr>
                <w:t>Item 3.</w:t>
              </w:r>
            </w:hyperlink>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06">
              <w:r>
                <w:rPr>
                  <w:rStyle w:val="InternetLink"/>
                  <w:rFonts w:ascii="Times New Roman;serif" w:hAnsi="Times New Roman;serif"/>
                  <w:b w:val="false"/>
                  <w:color w:val="0000FF"/>
                  <w:sz w:val="20"/>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06">
              <w:r>
                <w:rPr>
                  <w:rStyle w:val="InternetLink"/>
                  <w:rFonts w:ascii="Times New Roman;serif" w:hAnsi="Times New Roman;serif"/>
                  <w:b w:val="false"/>
                  <w:strike w:val="false"/>
                  <w:dstrike w:val="false"/>
                  <w:color w:val="000000"/>
                  <w:sz w:val="20"/>
                  <w:u w:val="none"/>
                  <w:effect w:val="none"/>
                </w:rPr>
                <w:t>26</w:t>
              </w:r>
            </w:hyperlink>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09">
              <w:r>
                <w:rPr>
                  <w:rStyle w:val="InternetLink"/>
                  <w:rFonts w:ascii="Times New Roman;serif" w:hAnsi="Times New Roman;serif"/>
                  <w:b w:val="false"/>
                  <w:strike w:val="false"/>
                  <w:dstrike w:val="false"/>
                  <w:color w:val="000000"/>
                  <w:sz w:val="20"/>
                  <w:u w:val="none"/>
                  <w:effect w:val="none"/>
                </w:rPr>
                <w:t>Item 4.</w:t>
              </w:r>
            </w:hyperlink>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09">
              <w:r>
                <w:rPr>
                  <w:rStyle w:val="InternetLink"/>
                  <w:rFonts w:ascii="Times New Roman;serif" w:hAnsi="Times New Roman;serif"/>
                  <w:b w:val="false"/>
                  <w:color w:val="0000FF"/>
                  <w:sz w:val="20"/>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09">
              <w:r>
                <w:rPr>
                  <w:rStyle w:val="InternetLink"/>
                  <w:rFonts w:ascii="Times New Roman;serif" w:hAnsi="Times New Roman;serif"/>
                  <w:b w:val="false"/>
                  <w:strike w:val="false"/>
                  <w:dstrike w:val="false"/>
                  <w:color w:val="000000"/>
                  <w:sz w:val="20"/>
                  <w:u w:val="none"/>
                  <w:effect w:val="none"/>
                </w:rPr>
                <w:t>26</w:t>
              </w:r>
            </w:hyperlink>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12">
              <w:r>
                <w:rPr>
                  <w:rStyle w:val="InternetLink"/>
                  <w:rFonts w:ascii="Times New Roman;serif" w:hAnsi="Times New Roman;serif"/>
                  <w:b/>
                  <w:color w:val="0000FF"/>
                  <w:sz w:val="20"/>
                  <w:u w:val="single"/>
                </w:rPr>
                <w:t>PART II — 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12">
              <w:r>
                <w:rPr>
                  <w:rStyle w:val="InternetLink"/>
                  <w:rFonts w:ascii="Times New Roman;serif" w:hAnsi="Times New Roman;serif"/>
                  <w:b w:val="false"/>
                  <w:strike w:val="false"/>
                  <w:dstrike w:val="false"/>
                  <w:color w:val="000000"/>
                  <w:sz w:val="20"/>
                  <w:u w:val="none"/>
                  <w:effect w:val="none"/>
                </w:rPr>
                <w:t>27</w:t>
              </w:r>
            </w:hyperlink>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15">
              <w:r>
                <w:rPr>
                  <w:rStyle w:val="InternetLink"/>
                  <w:rFonts w:ascii="Times New Roman;serif" w:hAnsi="Times New Roman;serif"/>
                  <w:b w:val="false"/>
                  <w:strike w:val="false"/>
                  <w:dstrike w:val="false"/>
                  <w:color w:val="000000"/>
                  <w:sz w:val="20"/>
                  <w:u w:val="none"/>
                  <w:effect w:val="none"/>
                </w:rPr>
                <w:t>Item 1.</w:t>
              </w:r>
            </w:hyperlink>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15">
              <w:r>
                <w:rPr>
                  <w:rStyle w:val="InternetLink"/>
                  <w:rFonts w:ascii="Times New Roman;serif" w:hAnsi="Times New Roman;serif"/>
                  <w:b w:val="false"/>
                  <w:color w:val="0000FF"/>
                  <w:sz w:val="20"/>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15">
              <w:r>
                <w:rPr>
                  <w:rStyle w:val="InternetLink"/>
                  <w:rFonts w:ascii="Times New Roman;serif" w:hAnsi="Times New Roman;serif"/>
                  <w:b w:val="false"/>
                  <w:strike w:val="false"/>
                  <w:dstrike w:val="false"/>
                  <w:color w:val="000000"/>
                  <w:sz w:val="20"/>
                  <w:u w:val="none"/>
                  <w:effect w:val="none"/>
                </w:rPr>
                <w:t>27</w:t>
              </w:r>
            </w:hyperlink>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18">
              <w:r>
                <w:rPr>
                  <w:rStyle w:val="InternetLink"/>
                  <w:rFonts w:ascii="Times New Roman;serif" w:hAnsi="Times New Roman;serif"/>
                  <w:b w:val="false"/>
                  <w:strike w:val="false"/>
                  <w:dstrike w:val="false"/>
                  <w:color w:val="000000"/>
                  <w:sz w:val="20"/>
                  <w:u w:val="none"/>
                  <w:effect w:val="none"/>
                </w:rPr>
                <w:t>Item 1A.</w:t>
              </w:r>
            </w:hyperlink>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18">
              <w:r>
                <w:rPr>
                  <w:rStyle w:val="InternetLink"/>
                  <w:rFonts w:ascii="Times New Roman;serif" w:hAnsi="Times New Roman;serif"/>
                  <w:b w:val="false"/>
                  <w:color w:val="0000FF"/>
                  <w:sz w:val="20"/>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18">
              <w:r>
                <w:rPr>
                  <w:rStyle w:val="InternetLink"/>
                  <w:rFonts w:ascii="Times New Roman;serif" w:hAnsi="Times New Roman;serif"/>
                  <w:b w:val="false"/>
                  <w:strike w:val="false"/>
                  <w:dstrike w:val="false"/>
                  <w:color w:val="000000"/>
                  <w:sz w:val="20"/>
                  <w:u w:val="none"/>
                  <w:effect w:val="none"/>
                </w:rPr>
                <w:t>27</w:t>
              </w:r>
            </w:hyperlink>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21">
              <w:r>
                <w:rPr>
                  <w:rStyle w:val="InternetLink"/>
                  <w:rFonts w:ascii="Times New Roman;serif" w:hAnsi="Times New Roman;serif"/>
                  <w:b w:val="false"/>
                  <w:strike w:val="false"/>
                  <w:dstrike w:val="false"/>
                  <w:color w:val="000000"/>
                  <w:sz w:val="20"/>
                  <w:u w:val="none"/>
                  <w:effect w:val="none"/>
                </w:rPr>
                <w:t>Item 2.</w:t>
              </w:r>
            </w:hyperlink>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21">
              <w:r>
                <w:rPr>
                  <w:rStyle w:val="InternetLink"/>
                  <w:rFonts w:ascii="Times New Roman;serif" w:hAnsi="Times New Roman;serif"/>
                  <w:b w:val="false"/>
                  <w:color w:val="0000FF"/>
                  <w:sz w:val="20"/>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21">
              <w:r>
                <w:rPr>
                  <w:rStyle w:val="InternetLink"/>
                  <w:rFonts w:ascii="Times New Roman;serif" w:hAnsi="Times New Roman;serif"/>
                  <w:b w:val="false"/>
                  <w:strike w:val="false"/>
                  <w:dstrike w:val="false"/>
                  <w:color w:val="000000"/>
                  <w:sz w:val="20"/>
                  <w:u w:val="none"/>
                  <w:effect w:val="none"/>
                </w:rPr>
                <w:t>27</w:t>
              </w:r>
            </w:hyperlink>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24">
              <w:r>
                <w:rPr>
                  <w:rStyle w:val="InternetLink"/>
                  <w:rFonts w:ascii="Times New Roman;serif" w:hAnsi="Times New Roman;serif"/>
                  <w:b w:val="false"/>
                  <w:strike w:val="false"/>
                  <w:dstrike w:val="false"/>
                  <w:color w:val="000000"/>
                  <w:sz w:val="20"/>
                  <w:u w:val="none"/>
                  <w:effect w:val="none"/>
                </w:rPr>
                <w:t>Item 3.</w:t>
              </w:r>
            </w:hyperlink>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24">
              <w:r>
                <w:rPr>
                  <w:rStyle w:val="InternetLink"/>
                  <w:rFonts w:ascii="Times New Roman;serif" w:hAnsi="Times New Roman;serif"/>
                  <w:b w:val="false"/>
                  <w:color w:val="0000FF"/>
                  <w:sz w:val="20"/>
                  <w:u w:val="singl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24">
              <w:r>
                <w:rPr>
                  <w:rStyle w:val="InternetLink"/>
                  <w:rFonts w:ascii="Times New Roman;serif" w:hAnsi="Times New Roman;serif"/>
                  <w:b w:val="false"/>
                  <w:strike w:val="false"/>
                  <w:dstrike w:val="false"/>
                  <w:color w:val="000000"/>
                  <w:sz w:val="20"/>
                  <w:u w:val="none"/>
                  <w:effect w:val="none"/>
                </w:rPr>
                <w:t>27</w:t>
              </w:r>
            </w:hyperlink>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27">
              <w:r>
                <w:rPr>
                  <w:rStyle w:val="InternetLink"/>
                  <w:rFonts w:ascii="Times New Roman;serif" w:hAnsi="Times New Roman;serif"/>
                  <w:b w:val="false"/>
                  <w:strike w:val="false"/>
                  <w:dstrike w:val="false"/>
                  <w:color w:val="000000"/>
                  <w:sz w:val="20"/>
                  <w:u w:val="none"/>
                  <w:effect w:val="none"/>
                </w:rPr>
                <w:t>Item 4.</w:t>
              </w:r>
            </w:hyperlink>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27">
              <w:r>
                <w:rPr>
                  <w:rStyle w:val="InternetLink"/>
                  <w:rFonts w:ascii="Times New Roman;serif" w:hAnsi="Times New Roman;serif"/>
                  <w:b w:val="false"/>
                  <w:color w:val="0000FF"/>
                  <w:sz w:val="20"/>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27">
              <w:r>
                <w:rPr>
                  <w:rStyle w:val="InternetLink"/>
                  <w:rFonts w:ascii="Times New Roman;serif" w:hAnsi="Times New Roman;serif"/>
                  <w:b w:val="false"/>
                  <w:strike w:val="false"/>
                  <w:dstrike w:val="false"/>
                  <w:color w:val="000000"/>
                  <w:sz w:val="20"/>
                  <w:u w:val="none"/>
                  <w:effect w:val="none"/>
                </w:rPr>
                <w:t>27</w:t>
              </w:r>
            </w:hyperlink>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30">
              <w:r>
                <w:rPr>
                  <w:rStyle w:val="InternetLink"/>
                  <w:rFonts w:ascii="Times New Roman;serif" w:hAnsi="Times New Roman;serif"/>
                  <w:b w:val="false"/>
                  <w:strike w:val="false"/>
                  <w:dstrike w:val="false"/>
                  <w:color w:val="000000"/>
                  <w:sz w:val="20"/>
                  <w:u w:val="none"/>
                  <w:effect w:val="none"/>
                </w:rPr>
                <w:t>Item 5.</w:t>
              </w:r>
            </w:hyperlink>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30">
              <w:r>
                <w:rPr>
                  <w:rStyle w:val="InternetLink"/>
                  <w:rFonts w:ascii="Times New Roman;serif" w:hAnsi="Times New Roman;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30">
              <w:r>
                <w:rPr>
                  <w:rStyle w:val="InternetLink"/>
                  <w:rFonts w:ascii="Times New Roman;serif" w:hAnsi="Times New Roman;serif"/>
                  <w:b w:val="false"/>
                  <w:strike w:val="false"/>
                  <w:dstrike w:val="false"/>
                  <w:color w:val="000000"/>
                  <w:sz w:val="20"/>
                  <w:u w:val="none"/>
                  <w:effect w:val="none"/>
                </w:rPr>
                <w:t>28</w:t>
              </w:r>
            </w:hyperlink>
          </w:p>
        </w:tc>
      </w:tr>
      <w:tr>
        <w:trPr/>
        <w:tc>
          <w:tcPr>
            <w:tcW w:w="99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36">
              <w:r>
                <w:rPr>
                  <w:rStyle w:val="InternetLink"/>
                  <w:rFonts w:ascii="Times New Roman;serif" w:hAnsi="Times New Roman;serif"/>
                  <w:b w:val="false"/>
                  <w:strike w:val="false"/>
                  <w:dstrike w:val="false"/>
                  <w:color w:val="000000"/>
                  <w:sz w:val="20"/>
                  <w:u w:val="none"/>
                  <w:effect w:val="none"/>
                </w:rPr>
                <w:t>Item 6.</w:t>
              </w:r>
            </w:hyperlink>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36">
              <w:r>
                <w:rPr>
                  <w:rStyle w:val="InternetLink"/>
                  <w:rFonts w:ascii="Times New Roman;serif" w:hAnsi="Times New Roman;serif"/>
                  <w:b w:val="false"/>
                  <w:color w:val="0000FF"/>
                  <w:sz w:val="20"/>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36">
              <w:r>
                <w:rPr>
                  <w:rStyle w:val="InternetLink"/>
                  <w:rFonts w:ascii="Times New Roman;serif" w:hAnsi="Times New Roman;serif"/>
                  <w:b w:val="false"/>
                  <w:strike w:val="false"/>
                  <w:dstrike w:val="false"/>
                  <w:color w:val="000000"/>
                  <w:sz w:val="20"/>
                  <w:u w:val="none"/>
                  <w:effect w:val="none"/>
                </w:rPr>
                <w:t>28</w:t>
              </w:r>
            </w:hyperlink>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39">
              <w:r>
                <w:rPr>
                  <w:rStyle w:val="InternetLink"/>
                  <w:rFonts w:ascii="Times New Roman;serif" w:hAnsi="Times New Roman;serif"/>
                  <w:b w:val="false"/>
                  <w:color w:val="0000FF"/>
                  <w:sz w:val="20"/>
                  <w:u w:val="single"/>
                </w:rPr>
                <w:t>EXHIBIT INDEX</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39">
              <w:r>
                <w:rPr>
                  <w:rStyle w:val="InternetLink"/>
                  <w:rFonts w:ascii="Times New Roman;serif" w:hAnsi="Times New Roman;serif"/>
                  <w:b w:val="false"/>
                  <w:strike w:val="false"/>
                  <w:dstrike w:val="false"/>
                  <w:color w:val="000000"/>
                  <w:sz w:val="20"/>
                  <w:u w:val="none"/>
                  <w:effect w:val="none"/>
                </w:rPr>
                <w:t>29</w:t>
              </w:r>
            </w:hyperlink>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2d45cbbce7740f7890f266eee09093d_142">
              <w:r>
                <w:rPr>
                  <w:rStyle w:val="InternetLink"/>
                  <w:rFonts w:ascii="Times New Roman;serif" w:hAnsi="Times New Roman;serif"/>
                  <w:b w:val="false"/>
                  <w:color w:val="0000FF"/>
                  <w:sz w:val="20"/>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2d45cbbce7740f7890f266eee09093d_142">
              <w:r>
                <w:rPr>
                  <w:rStyle w:val="InternetLink"/>
                  <w:rFonts w:ascii="Times New Roman;serif" w:hAnsi="Times New Roman;serif"/>
                  <w:b w:val="false"/>
                  <w:strike w:val="false"/>
                  <w:dstrike w:val="false"/>
                  <w:color w:val="000000"/>
                  <w:sz w:val="20"/>
                  <w:u w:val="none"/>
                  <w:effect w:val="non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3016"/>
        <w:gridCol w:w="2104"/>
        <w:gridCol w:w="2119"/>
        <w:gridCol w:w="211"/>
        <w:gridCol w:w="976"/>
        <w:gridCol w:w="109"/>
        <w:gridCol w:w="109"/>
        <w:gridCol w:w="109"/>
        <w:gridCol w:w="109"/>
        <w:gridCol w:w="211"/>
        <w:gridCol w:w="976"/>
        <w:gridCol w:w="156"/>
      </w:tblGrid>
      <w:tr>
        <w:trPr/>
        <w:tc>
          <w:tcPr>
            <w:tcW w:w="301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vMerge w:val="restart"/>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 except share amounts)</w:t>
            </w:r>
          </w:p>
        </w:tc>
        <w:tc>
          <w:tcPr>
            <w:tcW w:w="2966"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As of</w:t>
            </w:r>
            <w:r>
              <w:rPr>
                <w:color w:val="000000"/>
              </w:rPr>
              <w:t xml:space="preserve"> </w:t>
            </w:r>
          </w:p>
        </w:tc>
      </w:tr>
      <w:tr>
        <w:trPr/>
        <w:tc>
          <w:tcPr>
            <w:tcW w:w="723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497,049 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and unbilled, net (includes $2.9 million and $3.5 million with related parties at September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447,642 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402,078 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1,245,000 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989,624 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131,055 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117,815 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662,396 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2,302,595 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1,975,472 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(includes $0.3 million with related parties at September 30, 2026 and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408,382 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Advanced billings (includes $12.2 million and $12.3 million with related parties at September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854,390 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52,834 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1,496,097 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1,343,748 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57,655 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1,717,656 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1,516,401 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11)</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$0.01 par-value; 5,000,000 shares authorized; no shares issued and outstanding at September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par-value; 250,000,000 shares authorized at September 30, 2026 and December 31, 2025; 27,966,686 and 28,370,780 shares issued and outstanding at September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- 69,593 and 69,623 shares at September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978,282 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935,830 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(373,573)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(459,981)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584,939 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459,071 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2,302,595 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1,975,472 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1791"/>
        <w:gridCol w:w="1247"/>
        <w:gridCol w:w="125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79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 except per share amounts)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net (includes $3.8 million and $12.2 million with related parties for the three months ended September 30, 2026 and 2025, respectively, and $15.8 million and $42.9 million with related parties for the nine months ended September 30, 2026 and 2025, respectively)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659,903 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2,129,935 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1,821,784 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549,977 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Reimbursed out-of-pocket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276,629 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716,505 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492,115 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462,964 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1,508,087 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1,266,482 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152,643 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550,460 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518,095 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1,676,068 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1,440,118 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165,540 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453,867 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381,666 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16,293 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170,906 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142,836 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470,160 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385,544 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87,468 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137,460 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111,135 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382,692 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315,990 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shareholders: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29,033</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29,710</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10065" w:type="dxa"/>
        <w:jc w:val="left"/>
        <w:tblInd w:w="0" w:type="dxa"/>
        <w:tblLayout w:type="fixed"/>
        <w:tblCellMar>
          <w:top w:w="28" w:type="dxa"/>
          <w:left w:w="28" w:type="dxa"/>
          <w:bottom w:w="28" w:type="dxa"/>
          <w:right w:w="28" w:type="dxa"/>
        </w:tblCellMar>
      </w:tblPr>
      <w:tblGrid>
        <w:gridCol w:w="1613"/>
        <w:gridCol w:w="1418"/>
        <w:gridCol w:w="142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137,460 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111,135 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382,692 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315,990 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136,643 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111,137 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379,699 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325,081 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MEDPACE HOLDINGS, INC. AND SUBSIDIARIES</w:t>
      </w:r>
      <w:r>
        <w:rPr>
          <w:color w:val="000000"/>
        </w:rPr>
        <w:t xml:space="preserve"> </w:t>
      </w:r>
    </w:p>
    <w:p>
      <w:pPr>
        <w:pStyle w:val="TextBody"/>
        <w:bidi w:val="0"/>
        <w:spacing w:lineRule="auto" w:line="288" w:before="4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SHAREHOLDERS' EQUITY (UNAUDITED)</w:t>
      </w:r>
    </w:p>
    <w:tbl>
      <w:tblPr>
        <w:tblW w:w="10205" w:type="dxa"/>
        <w:jc w:val="left"/>
        <w:tblInd w:w="0" w:type="dxa"/>
        <w:tblLayout w:type="fixed"/>
        <w:tblCellMar>
          <w:top w:w="28" w:type="dxa"/>
          <w:left w:w="28" w:type="dxa"/>
          <w:bottom w:w="28" w:type="dxa"/>
          <w:right w:w="28" w:type="dxa"/>
        </w:tblCellMar>
      </w:tblPr>
      <w:tblGrid>
        <w:gridCol w:w="793"/>
        <w:gridCol w:w="380"/>
        <w:gridCol w:w="381"/>
        <w:gridCol w:w="233"/>
        <w:gridCol w:w="516"/>
        <w:gridCol w:w="120"/>
        <w:gridCol w:w="109"/>
        <w:gridCol w:w="109"/>
        <w:gridCol w:w="109"/>
        <w:gridCol w:w="216"/>
        <w:gridCol w:w="767"/>
        <w:gridCol w:w="111"/>
        <w:gridCol w:w="109"/>
        <w:gridCol w:w="109"/>
        <w:gridCol w:w="109"/>
        <w:gridCol w:w="211"/>
        <w:gridCol w:w="826"/>
        <w:gridCol w:w="109"/>
        <w:gridCol w:w="109"/>
        <w:gridCol w:w="109"/>
        <w:gridCol w:w="109"/>
        <w:gridCol w:w="265"/>
        <w:gridCol w:w="1082"/>
        <w:gridCol w:w="136"/>
        <w:gridCol w:w="109"/>
        <w:gridCol w:w="109"/>
        <w:gridCol w:w="109"/>
        <w:gridCol w:w="243"/>
        <w:gridCol w:w="854"/>
        <w:gridCol w:w="128"/>
        <w:gridCol w:w="109"/>
        <w:gridCol w:w="109"/>
        <w:gridCol w:w="109"/>
        <w:gridCol w:w="211"/>
        <w:gridCol w:w="826"/>
        <w:gridCol w:w="162"/>
      </w:tblGrid>
      <w:tr>
        <w:trPr/>
        <w:tc>
          <w:tcPr>
            <w:tcW w:w="79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869"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Common</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Treasury</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Accumulated</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Other</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Comprehensive</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Loss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Total</w:t>
            </w:r>
            <w:r>
              <w:rPr>
                <w:color w:val="000000"/>
              </w:rPr>
              <w:t xml:space="preserve"> </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2024</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(12,235)</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844,050 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8,167 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(14,743)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825,545 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25,945 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(392,478)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(392,490)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(12,235)</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886,883 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(269,716)</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(11,621)</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593,609 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(523,759)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(523,776)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2025</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(12,235)</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893,174 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(703,215)</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(5,654)</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172,351 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111,135 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111,135 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7,987 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(4,157)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(4,157)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September 30, 2025</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(12,235)</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907,483 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(596,237)</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(5,652)</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293,641 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Common</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Treasury</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Accumulated</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Other</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Comprehensive</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Total</w:t>
            </w:r>
            <w:r>
              <w:rPr>
                <w:color w:val="000000"/>
              </w:rPr>
              <w:t xml:space="preserve"> </w:t>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2025</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(12,156)</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935,830 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(459,981)</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(4,906)</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459,071 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2026</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(12,156)</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953,416 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(336,111)</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(7,121)</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598,314 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121,362 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121,362 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(296,619)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(296,626)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2026</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(12,151)</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964,183 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(511,368)</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(7,082)</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433,861 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137,460 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137,460 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September 30, 2026</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(12,151)</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978,282 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(373,573)</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(7,899)</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584,939 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383" w:type="dxa"/>
        <w:jc w:val="left"/>
        <w:tblInd w:w="0" w:type="dxa"/>
        <w:tblLayout w:type="fixed"/>
        <w:tblCellMar>
          <w:top w:w="28" w:type="dxa"/>
          <w:left w:w="28" w:type="dxa"/>
          <w:bottom w:w="28" w:type="dxa"/>
          <w:right w:w="28" w:type="dxa"/>
        </w:tblCellMar>
      </w:tblPr>
      <w:tblGrid>
        <w:gridCol w:w="2433"/>
        <w:gridCol w:w="2139"/>
        <w:gridCol w:w="2147"/>
        <w:gridCol w:w="211"/>
        <w:gridCol w:w="826"/>
        <w:gridCol w:w="109"/>
        <w:gridCol w:w="109"/>
        <w:gridCol w:w="109"/>
        <w:gridCol w:w="109"/>
        <w:gridCol w:w="211"/>
        <w:gridCol w:w="826"/>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315,990 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unbilled,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(77,119)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(15,607)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530,396 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520,571 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(50,771)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(26,667)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(294,764)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(917,389)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(269,174)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(883,117)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(384,085)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669,436 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705,315 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285,351 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Medpace Holdings, Inc. (together with its subsidiaries, “Medpace” or the “Company”),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project management, regulatory affairs, clinical monitoring, data management and analysis, pharmacovigilance new drug application submissions, post-marketing clinical support, laboratory services, clinical human pharmacology, imaging services, and electrocardiography reading support for clinical trials.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principally based in North America, Europe, and Asia.</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interim condensed consolidated financial statements include the accounts of the Company, are prepared in conformity with U.S. generally accepted accounting principles (“GAAP”), and are unaudited. In the opinion of the Company’s management, all adjustments of a normal recurring nature necessary for a fair presentation have been reflected. Certain financial information that is normally included in annual financial statements prepared in accordance with GAAP, but that is not required for interim reporting purposes, has been omitted. The preparation of the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and outcomes could differ from management’s estimates and assumptions. As such, the information included in this quarterly report on Form 10-Q should be read in conjunction with the Company’s audited consolidated financial statements and related notes included in the Company’s Annual Report on Form 10-K for the year ended December 31,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2022, the Company’s Board of Directors (the “Board”) approved a share repurchase program which has been amended several times to increase the aggregate amount of the share repurchase authorization. The Company did not execute any share repurchases during the three months ended September 30, 2026. During the nine months ended September 30, 2026, the Company repurchased 705,616 shares for $294.7 million. During the three and nine months ended September 30, 2025, the Company repurchased 14,649 shares and 2,961,924 shares for $4.5 million and $912.9 million, respectively. As of September 30, 2026, the Company has remaining authorization of $527.0 million under the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Effective October 20, 2026, the Board approved the termination of the current share repurchase authorization and approved a new share repurchase authorization of up to $1.0 billion.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Repurchases under the share repurchase program are executed in the open market or negotiated transactions under trading plans put in place pursuant to Rule 10b5-1. The Company constructively retired the repurchased shares associated with these approved share repurchases, except for a small portion which were retained as Treasury Shares on the condensed consolidated statements of shareholders' equity. Retired share repurchase amounts paid in excess of par value are reflected within Accumulated deficit/Retained earnings in the Company’s condensed consolidated balance sheets.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to improve disclosures by providing more detailed information about the types of expenses in commonly presented expense captions. The guidance is effective for annual reporting periods beginning after December 15, 2026, and interim periods within fiscal years beginning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after December 15, 2027, with early adoption permitted. The Company is currently evaluating the effect this standard will have on its consolidated financial statements and related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to modernize the accounting for software development costs and specify disclosure requirements. The guidance is effective for annual periods beginning after December 15, 2027, and interim reporting periods within those annual reporting periods, with early adoption permitted as of the beginning of an annual reporting period. The Company is currently evaluating the effect this standard will have on its consolidated financial statements and related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which establishes authoritative US GAAP guidance for accounting for grants received for consistency in applying the accounting rules across business entities. The guidance is effective for annual reporting periods beginning after December 15, 2028, and interim reporting periods within those annual reporting periods, with early adoption permitted. The Company is currently evaluating the effect this standard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Net Income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earnings or loss per share (“EPS”) are computed using the two-class method, which is an earnings allocation that determines EPS for each class of common stock and participating securities according to dividends declared and participation rights in undistributed earnings. The Company’s Restricted Stock Awards (“RSA”) are considered participating securities because they are legally issued at the date of grant and holders are entitled to receive non-forfeitable dividends during the vesting term.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computation of diluted EPS includes additional common shares, such as unvested Restricted Stock Units (“RSU”) and stock options with exercise prices less than the average market price of the Company’s common stock during the period (“in-the-money options”), which would be considered outstanding. This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earnings per share for the three and nine months ended September 30, 2026 and 2025 (in thousands, except for earnings per share): </w:t>
      </w:r>
    </w:p>
    <w:tbl>
      <w:tblPr>
        <w:tblW w:w="10140" w:type="dxa"/>
        <w:jc w:val="left"/>
        <w:tblInd w:w="0" w:type="dxa"/>
        <w:tblLayout w:type="fixed"/>
        <w:tblCellMar>
          <w:top w:w="28" w:type="dxa"/>
          <w:left w:w="28" w:type="dxa"/>
          <w:bottom w:w="28" w:type="dxa"/>
          <w:right w:w="28" w:type="dxa"/>
        </w:tblCellMar>
      </w:tblPr>
      <w:tblGrid>
        <w:gridCol w:w="1640"/>
        <w:gridCol w:w="1437"/>
        <w:gridCol w:w="145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137,460 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315,990 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diluted shares</w:t>
            </w:r>
          </w:p>
        </w:tc>
        <w:tc>
          <w:tcPr>
            <w:tcW w:w="1037"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29,710 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share—Basic</w:t>
            </w:r>
          </w:p>
        </w:tc>
        <w:tc>
          <w:tcPr>
            <w:tcW w:w="2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the computation of diluted EPS excludes the effect of (in thousands) 0.5 and 2.4 stock options, respectively, due to each respective period’s average fair value of the Company’s common stock not exceeding the exercise prices. For the nine months ended September 30, 2025, the computation of diluted EPS excludes the effect of (in thousands) 78.1 stock options due to the period’s average fair value of the Company’s common stock not exceeding the exercise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1: Valuations based on quoted prices in active markets for identical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2: Valuations based on directly observable inputs or unobservable inputs corroborated by market data.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3: Valuations based on unobservable inputs supported by little or no market activity representing management’s determination of assumptions of how market participants would price the assets or liabilities.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financial instruments such as cash and cash equivalents, accounts receivable and unbilled, net, accounts payable, accrued expenses and advanced billings approximate their carrying amounts due to their short term maturities.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have material recurring fair value measurements as of September 30, 2026 and December 31, 2025. There were no material transfers between Level 1, Level 2 or Level 3 during the three and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Contract Assets and Contract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and liabilities are reflected in the Company’s condensed consolidated balance sheets within the accounts reflected below.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represent amounts due from the Company’s customers who are concentrated primarily in the pharmaceutical, biotechnology, and medical device industries. Unbilled represents revenue recognized to date that has not been billed or is not yet contractually billable to the customer. In general, amounts become billable upon the achievement of negotiated contractual events, in accordance with predetermined payment schedules or when a reimbursable expense has been incurred. Amounts classified to unbilled are those billable to customers within one year from the respective balance sheet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and unbilled, net consisted of the following (in thousands): </w:t>
      </w:r>
    </w:p>
    <w:tbl>
      <w:tblPr>
        <w:tblW w:w="6294" w:type="dxa"/>
        <w:jc w:val="left"/>
        <w:tblInd w:w="0" w:type="dxa"/>
        <w:tblLayout w:type="fixed"/>
        <w:tblCellMar>
          <w:top w:w="28" w:type="dxa"/>
          <w:left w:w="28" w:type="dxa"/>
          <w:bottom w:w="28" w:type="dxa"/>
          <w:right w:w="28" w:type="dxa"/>
        </w:tblCellMar>
      </w:tblPr>
      <w:tblGrid>
        <w:gridCol w:w="1315"/>
        <w:gridCol w:w="1156"/>
        <w:gridCol w:w="1159"/>
        <w:gridCol w:w="211"/>
        <w:gridCol w:w="826"/>
        <w:gridCol w:w="109"/>
        <w:gridCol w:w="109"/>
        <w:gridCol w:w="109"/>
        <w:gridCol w:w="109"/>
        <w:gridCol w:w="211"/>
        <w:gridCol w:w="82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As of</w:t>
            </w:r>
            <w:r>
              <w:rPr>
                <w:color w:val="000000"/>
              </w:rPr>
              <w:t xml:space="preserve"> </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419,841 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376,755 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and unbilled,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447,642 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402,078 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 represent cash received from customers, or billed amounts per an agreed upon payment schedule, in advance of services being performed or revenue being recognized.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 consisted of the following (in thousands):</w:t>
      </w:r>
    </w:p>
    <w:tbl>
      <w:tblPr>
        <w:tblW w:w="4284" w:type="dxa"/>
        <w:jc w:val="left"/>
        <w:tblInd w:w="0" w:type="dxa"/>
        <w:tblLayout w:type="fixed"/>
        <w:tblCellMar>
          <w:top w:w="28" w:type="dxa"/>
          <w:left w:w="28" w:type="dxa"/>
          <w:bottom w:w="28" w:type="dxa"/>
          <w:right w:w="28" w:type="dxa"/>
        </w:tblCellMar>
      </w:tblPr>
      <w:tblGrid>
        <w:gridCol w:w="586"/>
        <w:gridCol w:w="515"/>
        <w:gridCol w:w="519"/>
        <w:gridCol w:w="211"/>
        <w:gridCol w:w="826"/>
        <w:gridCol w:w="109"/>
        <w:gridCol w:w="109"/>
        <w:gridCol w:w="109"/>
        <w:gridCol w:w="109"/>
        <w:gridCol w:w="211"/>
        <w:gridCol w:w="826"/>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961,855 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854,390 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 Company had approximately $3.8 billion and $3.6 billion of performance obligations remaining to be performed for active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Intangible Assets,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consisted of the following (in thousands): </w:t>
      </w:r>
    </w:p>
    <w:tbl>
      <w:tblPr>
        <w:tblW w:w="5919" w:type="dxa"/>
        <w:jc w:val="left"/>
        <w:tblInd w:w="0" w:type="dxa"/>
        <w:tblLayout w:type="fixed"/>
        <w:tblCellMar>
          <w:top w:w="28" w:type="dxa"/>
          <w:left w:w="28" w:type="dxa"/>
          <w:bottom w:w="28" w:type="dxa"/>
          <w:right w:w="28" w:type="dxa"/>
        </w:tblCellMar>
      </w:tblPr>
      <w:tblGrid>
        <w:gridCol w:w="1179"/>
        <w:gridCol w:w="1036"/>
        <w:gridCol w:w="1040"/>
        <w:gridCol w:w="211"/>
        <w:gridCol w:w="826"/>
        <w:gridCol w:w="109"/>
        <w:gridCol w:w="109"/>
        <w:gridCol w:w="109"/>
        <w:gridCol w:w="109"/>
        <w:gridCol w:w="211"/>
        <w:gridCol w:w="82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As of</w:t>
            </w:r>
            <w:r>
              <w:rPr>
                <w:color w:val="000000"/>
              </w:rPr>
              <w:t xml:space="preserve"> </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145,051 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(143,742)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(143,277)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 (indefinite-lived)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31,646 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31,646 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32,955 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33,420 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estimated amortization expense of the Company’s intangible assets for each of the remaining years is as follows (in thousands):</w:t>
      </w:r>
    </w:p>
    <w:tbl>
      <w:tblPr>
        <w:tblW w:w="2806" w:type="dxa"/>
        <w:jc w:val="left"/>
        <w:tblInd w:w="0" w:type="dxa"/>
        <w:tblLayout w:type="fixed"/>
        <w:tblCellMar>
          <w:top w:w="28" w:type="dxa"/>
          <w:left w:w="28" w:type="dxa"/>
          <w:bottom w:w="28" w:type="dxa"/>
          <w:right w:w="28" w:type="dxa"/>
        </w:tblCellMar>
      </w:tblPr>
      <w:tblGrid>
        <w:gridCol w:w="608"/>
        <w:gridCol w:w="534"/>
        <w:gridCol w:w="538"/>
        <w:gridCol w:w="242"/>
        <w:gridCol w:w="707"/>
        <w:gridCol w:w="177"/>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Accrued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consisted of the following (in thousands): </w:t>
      </w:r>
    </w:p>
    <w:tbl>
      <w:tblPr>
        <w:tblW w:w="5828" w:type="dxa"/>
        <w:jc w:val="left"/>
        <w:tblInd w:w="0" w:type="dxa"/>
        <w:tblLayout w:type="fixed"/>
        <w:tblCellMar>
          <w:top w:w="28" w:type="dxa"/>
          <w:left w:w="28" w:type="dxa"/>
          <w:bottom w:w="28" w:type="dxa"/>
          <w:right w:w="28" w:type="dxa"/>
        </w:tblCellMar>
      </w:tblPr>
      <w:tblGrid>
        <w:gridCol w:w="1147"/>
        <w:gridCol w:w="1006"/>
        <w:gridCol w:w="1011"/>
        <w:gridCol w:w="211"/>
        <w:gridCol w:w="826"/>
        <w:gridCol w:w="109"/>
        <w:gridCol w:w="109"/>
        <w:gridCol w:w="109"/>
        <w:gridCol w:w="109"/>
        <w:gridCol w:w="211"/>
        <w:gridCol w:w="82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98,471 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80,139 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Project related reimbursable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329,944 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316,013 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443,331 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408,382 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30, 2019, the Company entered into a Loan Agreement (as it may be amended from time to time, the “Loan Agreement”) providing for an unsecured credit facility (as amended from time to time, the “Credit Facility”) through its wholly owned subsidiaries, Medpace, Inc., as borrower (the “Borrower”), and Medpace IntermediateCo, Inc., as guarantor (the “Guarantor”). At the same time the Company entered into the Loan Agreement, the Guarantor executed a Guaranty Agreement providing for its guarantee of the payment and performance of the obligations under the Loan Agreement.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17, 2025, the Company entered into Amendment No. 9 to the Loan Agreement, which changed the aggregate principal amount that may be borrowed under the Credit Facility to up to $10.0 million. The Credit Facility expires April 30, 2027 and bears interest at a rate of the sum of The Secured Overnight Financing Rate (SOFR) plus 100 basis points (1.00%) or the highest of the Prime Rate, the sum of the Overnight Bank Funding Rate plus 50 basis points (0.50%) and the sum of Daily Simple SOFR plus 100 basis points (1.00%). As of September 30, 2026 and December 31, 2025, the Company had no indebtedness under the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Loan Agreement contains other customary loan terms, representations and warranties, and affirmative and negative covenants, in each case, subject to customary limitations, exceptions and exclusions. The Loan Agreement contains certain events of default, including, among others, non-payment of principal or interest and breach of the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enters into leases for real estate and equipment. Real estate leases are for our corporate office space and laboratories around the world. Real estate leases have remaining lease terms of less than 1 year to 15 years. Many of the Company’s leases include options to extend the leases on a month to month basis or for set periods for up to 20 years. Many leases also include options to terminate the leases within 1 year or per other contractual terms.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7402" w:type="dxa"/>
        <w:jc w:val="left"/>
        <w:tblInd w:w="0" w:type="dxa"/>
        <w:tblLayout w:type="fixed"/>
        <w:tblCellMar>
          <w:top w:w="28" w:type="dxa"/>
          <w:left w:w="28" w:type="dxa"/>
          <w:bottom w:w="28" w:type="dxa"/>
          <w:right w:w="28" w:type="dxa"/>
        </w:tblCellMar>
      </w:tblPr>
      <w:tblGrid>
        <w:gridCol w:w="635"/>
        <w:gridCol w:w="558"/>
        <w:gridCol w:w="562"/>
        <w:gridCol w:w="257"/>
        <w:gridCol w:w="752"/>
        <w:gridCol w:w="133"/>
        <w:gridCol w:w="133"/>
        <w:gridCol w:w="133"/>
        <w:gridCol w:w="133"/>
        <w:gridCol w:w="257"/>
        <w:gridCol w:w="752"/>
        <w:gridCol w:w="133"/>
        <w:gridCol w:w="109"/>
        <w:gridCol w:w="109"/>
        <w:gridCol w:w="109"/>
        <w:gridCol w:w="227"/>
        <w:gridCol w:w="775"/>
        <w:gridCol w:w="117"/>
        <w:gridCol w:w="117"/>
        <w:gridCol w:w="117"/>
        <w:gridCol w:w="117"/>
        <w:gridCol w:w="227"/>
        <w:gridCol w:w="775"/>
        <w:gridCol w:w="165"/>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8,144 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23,927 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23,425 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2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10,252 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leases was as follows (in thousands):</w:t>
      </w:r>
    </w:p>
    <w:tbl>
      <w:tblPr>
        <w:tblW w:w="8501" w:type="dxa"/>
        <w:jc w:val="left"/>
        <w:tblInd w:w="0" w:type="dxa"/>
        <w:tblLayout w:type="fixed"/>
        <w:tblCellMar>
          <w:top w:w="28" w:type="dxa"/>
          <w:left w:w="28" w:type="dxa"/>
          <w:bottom w:w="28" w:type="dxa"/>
          <w:right w:w="28" w:type="dxa"/>
        </w:tblCellMar>
      </w:tblPr>
      <w:tblGrid>
        <w:gridCol w:w="2126"/>
        <w:gridCol w:w="1864"/>
        <w:gridCol w:w="1874"/>
        <w:gridCol w:w="227"/>
        <w:gridCol w:w="775"/>
        <w:gridCol w:w="117"/>
        <w:gridCol w:w="117"/>
        <w:gridCol w:w="117"/>
        <w:gridCol w:w="117"/>
        <w:gridCol w:w="227"/>
        <w:gridCol w:w="775"/>
        <w:gridCol w:w="165"/>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18,537 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18,738 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27"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53,331 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balance sheet information related to the leases was as follows (in thousands): </w:t>
      </w:r>
    </w:p>
    <w:tbl>
      <w:tblPr>
        <w:tblW w:w="7533" w:type="dxa"/>
        <w:jc w:val="left"/>
        <w:tblInd w:w="0" w:type="dxa"/>
        <w:tblLayout w:type="fixed"/>
        <w:tblCellMar>
          <w:top w:w="28" w:type="dxa"/>
          <w:left w:w="28" w:type="dxa"/>
          <w:bottom w:w="28" w:type="dxa"/>
          <w:right w:w="28" w:type="dxa"/>
        </w:tblCellMar>
      </w:tblPr>
      <w:tblGrid>
        <w:gridCol w:w="1646"/>
        <w:gridCol w:w="1445"/>
        <w:gridCol w:w="1454"/>
        <w:gridCol w:w="211"/>
        <w:gridCol w:w="826"/>
        <w:gridCol w:w="271"/>
        <w:gridCol w:w="109"/>
        <w:gridCol w:w="109"/>
        <w:gridCol w:w="109"/>
        <w:gridCol w:w="211"/>
        <w:gridCol w:w="826"/>
        <w:gridCol w:w="316"/>
      </w:tblGrid>
      <w:tr>
        <w:trPr/>
        <w:tc>
          <w:tcPr>
            <w:tcW w:w="16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As of</w:t>
            </w:r>
            <w:r>
              <w:rPr>
                <w:color w:val="000000"/>
              </w:rPr>
              <w:t xml:space="preserve"> </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 related parties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90,550 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68,416 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 non-related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61,999 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49,399 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152,549 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117,815 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 non-related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16,294 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25,417 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23,209 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99,233 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77,344 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36,299 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146,041 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113,643 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171,458 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136,852 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Lease payments due related to lease liabilities as of September 30, 2026 were as follows (in thousands):</w:t>
      </w:r>
    </w:p>
    <w:tbl>
      <w:tblPr>
        <w:tblW w:w="7027" w:type="dxa"/>
        <w:jc w:val="left"/>
        <w:tblInd w:w="0" w:type="dxa"/>
        <w:tblLayout w:type="fixed"/>
        <w:tblCellMar>
          <w:top w:w="28" w:type="dxa"/>
          <w:left w:w="28" w:type="dxa"/>
          <w:bottom w:w="28" w:type="dxa"/>
          <w:right w:w="28" w:type="dxa"/>
        </w:tblCellMar>
      </w:tblPr>
      <w:tblGrid>
        <w:gridCol w:w="689"/>
        <w:gridCol w:w="605"/>
        <w:gridCol w:w="610"/>
        <w:gridCol w:w="262"/>
        <w:gridCol w:w="1027"/>
        <w:gridCol w:w="135"/>
        <w:gridCol w:w="109"/>
        <w:gridCol w:w="109"/>
        <w:gridCol w:w="109"/>
        <w:gridCol w:w="319"/>
        <w:gridCol w:w="1091"/>
        <w:gridCol w:w="165"/>
        <w:gridCol w:w="109"/>
        <w:gridCol w:w="109"/>
        <w:gridCol w:w="109"/>
        <w:gridCol w:w="260"/>
        <w:gridCol w:w="1020"/>
        <w:gridCol w:w="190"/>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Related Party</w:t>
            </w:r>
          </w:p>
          <w:p>
            <w:pPr>
              <w:pStyle w:val="TableContents"/>
              <w:bidi w:val="0"/>
              <w:spacing w:lineRule="auto" w:line="288" w:before="0" w:after="0"/>
              <w:jc w:val="center"/>
              <w:rPr/>
            </w:pPr>
            <w:r>
              <w:rPr>
                <w:rFonts w:ascii="Times New Roman;serif" w:hAnsi="Times New Roman;serif"/>
                <w:b/>
                <w:color w:val="000000"/>
                <w:sz w:val="16"/>
              </w:rPr>
              <w:t>Operating Leases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Non-Related Parties</w:t>
            </w:r>
          </w:p>
          <w:p>
            <w:pPr>
              <w:pStyle w:val="TableContents"/>
              <w:bidi w:val="0"/>
              <w:spacing w:lineRule="auto" w:line="288" w:before="0" w:after="0"/>
              <w:jc w:val="center"/>
              <w:rPr/>
            </w:pPr>
            <w:r>
              <w:rPr>
                <w:rFonts w:ascii="Times New Roman;serif" w:hAnsi="Times New Roman;serif"/>
                <w:b/>
                <w:color w:val="000000"/>
                <w:sz w:val="16"/>
              </w:rPr>
              <w:t>Operating Leases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pPr>
            <w:r>
              <w:rPr>
                <w:rFonts w:ascii="Times New Roman;serif" w:hAnsi="Times New Roman;serif"/>
                <w:b/>
                <w:color w:val="000000"/>
                <w:sz w:val="16"/>
              </w:rPr>
              <w:t>Operating Leases</w:t>
            </w:r>
            <w:r>
              <w:rPr>
                <w:color w:val="000000"/>
              </w:rPr>
              <w:t xml:space="preserve"> </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12,526 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20,172 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32,698 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12,198 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15,605 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27,803 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12,413 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24,472 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7,251 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19,885 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Later years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98,027 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112,277 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151,036 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74,650 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225,686 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(45,194)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(9,034)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(54,228)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105,842 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65,616 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171,458 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of September 30, 2026, we have an additional lease with contractual obligations, which have not yet commenced, with future payments of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Shareholders’ Equity and 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granted 214,526 awards to employees under the 2016 Amended and Restated Incentive Award Plan during the nine months ended September 30, 2026, consisting of 111,158 RSU and 58,368 stock options having five year vesting schedules and 15,000 RSU and 30,000 stock options having two year vesting schedules. The Company granted an additional 6,660 stock option awards to non-employee directors under the 2016 Amended and Restated Incentive Award Plan during the nine months ended September 30, 2026. These awards are scheduled to vest on the earlier of (a) the day immediately preceding the date of the first annual meeting following the date of grant and (b) the first anniversary of the date of grant, subject to the non-employee director continuing in service through the applicable vesting date.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Award Activity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stock option activity: </w:t>
      </w:r>
    </w:p>
    <w:tbl>
      <w:tblPr>
        <w:tblW w:w="6533" w:type="dxa"/>
        <w:jc w:val="left"/>
        <w:tblInd w:w="0" w:type="dxa"/>
        <w:tblLayout w:type="fixed"/>
        <w:tblCellMar>
          <w:top w:w="28" w:type="dxa"/>
          <w:left w:w="28" w:type="dxa"/>
          <w:bottom w:w="28" w:type="dxa"/>
          <w:right w:w="28" w:type="dxa"/>
        </w:tblCellMar>
      </w:tblPr>
      <w:tblGrid>
        <w:gridCol w:w="1049"/>
        <w:gridCol w:w="920"/>
        <w:gridCol w:w="925"/>
        <w:gridCol w:w="389"/>
        <w:gridCol w:w="389"/>
        <w:gridCol w:w="391"/>
        <w:gridCol w:w="190"/>
        <w:gridCol w:w="190"/>
        <w:gridCol w:w="190"/>
        <w:gridCol w:w="369"/>
        <w:gridCol w:w="1262"/>
        <w:gridCol w:w="269"/>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Stock Options </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beginning of period</w:t>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618,681</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211.29 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95,028</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414.20 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(183,475)</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140.22 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Cancelled/Forfeited/Expired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(11,643)</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331.92 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end of period</w:t>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518,591</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271.17 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 end of period</w:t>
            </w:r>
          </w:p>
        </w:tc>
        <w:tc>
          <w:tcPr>
            <w:tcW w:w="116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377,943</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225.74 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RSA/RSU activity:</w:t>
      </w:r>
    </w:p>
    <w:tbl>
      <w:tblPr>
        <w:tblW w:w="5609" w:type="dxa"/>
        <w:jc w:val="left"/>
        <w:tblInd w:w="0" w:type="dxa"/>
        <w:tblLayout w:type="fixed"/>
        <w:tblCellMar>
          <w:top w:w="28" w:type="dxa"/>
          <w:left w:w="28" w:type="dxa"/>
          <w:bottom w:w="28" w:type="dxa"/>
          <w:right w:w="28" w:type="dxa"/>
        </w:tblCellMar>
      </w:tblPr>
      <w:tblGrid>
        <w:gridCol w:w="1456"/>
        <w:gridCol w:w="1278"/>
        <w:gridCol w:w="1285"/>
        <w:gridCol w:w="465"/>
        <w:gridCol w:w="465"/>
        <w:gridCol w:w="660"/>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 2026</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Shares/Units</w:t>
            </w:r>
            <w:r>
              <w:rPr>
                <w:color w:val="000000"/>
              </w:rPr>
              <w:t xml:space="preserve"> </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 - beginning of period</w:t>
            </w:r>
          </w:p>
        </w:tc>
        <w:tc>
          <w:tcPr>
            <w:tcW w:w="1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324,517</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126,158</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(118,335)</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(26,285)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 - end of period</w:t>
            </w:r>
          </w:p>
        </w:tc>
        <w:tc>
          <w:tcPr>
            <w:tcW w:w="159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306,055</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in the condensed consolidated statements of operations related to all outstanding stock-based compensation awards is summarized below (in thousands):</w:t>
      </w:r>
    </w:p>
    <w:tbl>
      <w:tblPr>
        <w:tblW w:w="9097" w:type="dxa"/>
        <w:jc w:val="left"/>
        <w:tblInd w:w="0" w:type="dxa"/>
        <w:tblLayout w:type="fixed"/>
        <w:tblCellMar>
          <w:top w:w="28" w:type="dxa"/>
          <w:left w:w="28" w:type="dxa"/>
          <w:bottom w:w="28" w:type="dxa"/>
          <w:right w:w="28" w:type="dxa"/>
        </w:tblCellMar>
      </w:tblPr>
      <w:tblGrid>
        <w:gridCol w:w="1248"/>
        <w:gridCol w:w="1095"/>
        <w:gridCol w:w="1107"/>
        <w:gridCol w:w="257"/>
        <w:gridCol w:w="752"/>
        <w:gridCol w:w="133"/>
        <w:gridCol w:w="133"/>
        <w:gridCol w:w="133"/>
        <w:gridCol w:w="133"/>
        <w:gridCol w:w="257"/>
        <w:gridCol w:w="752"/>
        <w:gridCol w:w="133"/>
        <w:gridCol w:w="109"/>
        <w:gridCol w:w="109"/>
        <w:gridCol w:w="109"/>
        <w:gridCol w:w="227"/>
        <w:gridCol w:w="775"/>
        <w:gridCol w:w="117"/>
        <w:gridCol w:w="117"/>
        <w:gridCol w:w="117"/>
        <w:gridCol w:w="117"/>
        <w:gridCol w:w="227"/>
        <w:gridCol w:w="775"/>
        <w:gridCol w:w="165"/>
      </w:tblGrid>
      <w:tr>
        <w:trPr/>
        <w:tc>
          <w:tcPr>
            <w:tcW w:w="124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9,121 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10,219 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7,749 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18,947 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7,604 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16,870 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29,166 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19.6% and 22.2% for the three months ended September 30, 2026 and 2025, respectively. The Company's effective income tax rate was 18.6% and 18.0% for the nine months ended September 30, 2026 and 2025, respectively. The Company’s effective income tax rate for the three months ended September 30, 2026 varied from the U.S. statutory rate of 21% primarily due to the impact of the state taxes which was favorably offset by excess tax benefits recognized from share-based compensation and tax benefits related to Foreign Derived Deduction Eligible Income. The Company’s effective income tax rate for the nine months ended September 30, 2026 varied from the U.S. statutory rate of 21% due to the impact of state taxes, which was favorably offset by excess tax benefits recognized from share-based compensation and tax benefits related to Foreign Derived Deduction Eligible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Where relevant, the Company has reflected any material items that were enacted in the condensed consolidated financial statements for the three and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involved in legal proceedings from time to time in the ordinary course of its business, including employment claims and claims related to other business transactions. The Company cannot predict with certainty the outcome of such proceedings, but it believes that adequate reserves have been recorded and losses already recognized with respect to such proceedings, which were immaterial as of September 30, 2026 and December 31, 2025. There is a reasonable possibility that a loss exceeding amounts already recognized may be incurred related to these actions; however, the Company believes that such potential losses were immaterial as of September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6, 2026, Jan Durbin filed a class action complaint in the United States District Court for the Southern District of Ohio (Case No. 1:26-cv-00346-MB) against Medpace Holdings, Inc., August J. Troendle, Jesse J. Geiger, and Kevin M. Brady alleging violations of Sections 10(b) and 20(a) of the Securities Exchange Act of 1934 (“Exchange Act”) and Rule 10b-5 promulgated under Section 10(b). Plaintiff alleges that defendants made materially false and misleading statements related to the Company’s book-to-bill ratio to deceive the market in violation of the Exchange Act. Plaintiff seeks unspecified damages, interest, attorneys’ fees, expert fees and other costs. On October 12, 2026, the plaintiff filed a notice of voluntary dismissal, without prejudice, against the defendants.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22, 2026, Stephen Bushansky filed a complaint in the United States District Court for the Southern District of Ohio (Case No. 1:26-cv-617) purporting to bring a stockholder derivative action on behalf of the Company against the Company and certain of its current and past officers and directors, namely August J. Troendle, Jesse J. Geiger, Kevin M. Brady, Susan E. Burwig, Stephen P. Ewald, Brian T. Carley, Fred B. Davenport, Jr., Femida H. Gwadry-Sridhar, Robert O. Kraft, Cornelius P. “Neal” McCarthy III, and Dani Zander in connection with the Company’s statements related to its book-to-bill ratio. Plaintiff alleges that the director defendants violated Section 14(a) of the Exchange Act and Rule 14a-9 thereunder and are also liable under Section 21D of the Exchange Act which governs the application of any private right of action for contribution asserted pursuant to the federal securities laws. Plaintiff also alleges claims under state law, asserting that defendants breached fiduciary duties, aided and abetted breaches of fiduciary duties and were unjustly enriched. Plaintiff seeks unspecified damages, restitution, disgorgement of profits and other relief. On October 20, 2026, the plaintiff filed a notice of voluntary dismissal, without prejudice, against the defendants.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25, 2026, Stephen J. Mary filed a complaint in the United States District Court for the Southern District of Ohio (Case No. 1:26-cv-865) purporting to bring a stockholder derivative action on behalf of the Company against the Company and certain of its current and past officers and directors, namely August J. Troendle, Jesse J. Geiger, Kevin M. Brady, Susan E. Burwig, Stephen P. Ewald, Brian T. Carley, Fred B. Davenport, Jr., Femida H. Gwadry-Sridhar, Robert O. Kraft, Cornelius P. “Neal” McCarthy III, and Dani Zander in connection with the Company’s statements related to its book-to-bill ratio. Plaintiff alleges that the defendants breached their fiduciary duties by issuing and failing to correct materially false and/or misleading statements and omissions of material fact to the investing public. Plaintiff’s claims against defendants allege violations of Section 14(a) of the Exchange Act, breach of fiduciary duty, aiding and abetting breach of fiduciary duty, unjust enrichment, waste of corporate assets, and contribution. Plaintiff seeks unspecified damages, restitution, disgorgement of profits and other relief. On October 20, 2026, the plaintiff filed a notice of voluntary dismissal, without prejudice, against the defendants.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minimum purchase commitments for project related supplies and support services totaling $26.1 million as of September 30, 2026. In return for the commitment, Medpace receives preferential pricing. The commitments expire at various times through 2030.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Employee Loans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extends short term loans or advances to employees, typically upon commencement of employment. Total receivables as a result of these employee advances of $0.4 million existed at September 30, 2026 and December 31, 2025, and are included in the Prepaid expenses and other current assets and Other assets line items of the condensed consolidated balance sheets, respectively, depending on the contractual repayment date. </w:t>
      </w:r>
    </w:p>
    <w:p>
      <w:pPr>
        <w:pStyle w:val="TextBody"/>
        <w:bidi w:val="0"/>
        <w:spacing w:lineRule="auto" w:line="288" w:before="240" w:after="283"/>
        <w:jc w:val="left"/>
        <w:rPr/>
      </w:pPr>
      <w:r>
        <w:rPr>
          <w:rFonts w:ascii="Times New Roman;serif" w:hAnsi="Times New Roman;serif"/>
          <w:b/>
          <w:i/>
          <w:color w:val="000000"/>
          <w:sz w:val="20"/>
        </w:rPr>
        <w:t>Service Agreement</w:t>
      </w:r>
      <w:r>
        <w:rPr>
          <w:color w:val="000000"/>
        </w:rPr>
        <w:t xml:space="preserv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LIB Therapeutics LLC and subsidiaries (“LIB”)</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executives and employees of the Company, including the chief executive officer, are members of LIB’s board of managers. The Company entered into a MSA dated November 24, 2015 with LIB, a company that engages in research, development, marketing and commercialization of pharmaceutical drugs. Subsequently, the Company and LIB have entered into several task orders for the Company to perform clinical trial related services. The Company recognized total revenue from LIB of $1.6 million and $1.8 million during the three months ended September 30, 2026 and 2025, respectively, and $4.0 million and $5.7 million during the nine months ended September 30, 2026 and 2025, respectively, in the Company’s condensed consolidated statements of operations. As of September 30, 2026 and December 31, 2025, the Company had Advanced billings from LIB of $9.0 million and $8.1 million, respectively, in the condensed consolidated balance sheets. As of September 30, 2026 and December 31, 2025 the Company had Accounts receivable and unbilled, net from LIB of $2.9 million and $1.9 million, respectively, in the condensed consolidated balance sheets.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CinRX Pharma, subsidiaries and affiliates (“CinRx”)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executives and employees of the Company, including the chief executive officer, are members of CinRx’s board of managers and/or have equity investments in CinRx, a biotech company. The Company and CinRx have entered into several task orders for the Company to perform clinical trial related services. The Company recognized total revenue from CinRx of $2.3 million and $10.4 million during the three months ended September 30, 2026 and 2025, respectively, and $11.9 million and $37.2 million during the nine months ended September 30, 2026 and 2025, respectively, in the Company’s condensed consolidated statements of operations. As of September 30, 2026 and December 31, 2025, the Company had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rPr>
        <w:t>Advanced billings from CinRx of $3.2 million and $4.3 million, respectively, in the condensed consolidated balance sheets. As of September 30, 2026 and December 31, 2025 the Company had Accounts receivable and unbilled, net from CinRx of less than $0.1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$1.6 million, respectively, in the condensed consolidated balance sheets.</w:t>
      </w:r>
    </w:p>
    <w:p>
      <w:pPr>
        <w:pStyle w:val="TextBody"/>
        <w:bidi w:val="0"/>
        <w:spacing w:lineRule="auto" w:line="288" w:before="240" w:after="283"/>
        <w:jc w:val="left"/>
        <w:rPr/>
      </w:pPr>
      <w:r>
        <w:rPr>
          <w:rFonts w:ascii="Times New Roman;serif" w:hAnsi="Times New Roman;serif"/>
          <w:b w:val="false"/>
          <w:i/>
          <w:color w:val="000000"/>
          <w:sz w:val="20"/>
        </w:rPr>
        <w:t>The Summit Hotel (“The Summit”)</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Summit Hotel, located on the Medpace campus, is owned by the chief executive officer, and managed by an unrelated hospitality management entity. Medpace incurs travel lodging and meeting expenses at The Summit. Medpace incurred expenses of $0.1 million during the three months ended September 30, 2026 and 2025, and $0.2 million during the nine months ended September 30, 2026 and 2025, at The Summit.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Leased Real Estate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Campus Headquarters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entered into an operating lease for the occupancy of office space in a building in Cincinnati, Ohio with an entity that is wholly owned by the chief executive officer of the Company. The Company has evaluated its relationship with the related party and concluded that the related party is not a variable interest entity because the Company has no direct ownership interest or relationship other than the lease. The lease was renewed in the first quarter of fiscal year 2023 for a term of ten years through 2032 with a renewal option for one 10-year term at prevailing market rates. The Company pays rent, taxes, insurance, and maintenance expenses that arise from the use of the property. Annual base rent for its corporate headquarters allows for adjustments to the rental rate annually for increases in the consumer price index. The Company has determined that the lease is an operating lease. Operating lease cost recognized for the three months ended September 30, 2026 and 2025 was $0.7 million. Operating lease cost recognized for the nine months ended September 30, 2026 and 2025 was $2.1 million. The operating lease cost was allocated between Total direct costs and Selling, general and administrative in the condensed consolidated statements of operations. The Operating lease right-of-use assets at September 30, 2026 and December 31, 2025 were $14.4 million and $15.8 million, respectively, in the condensed consolidated balance sheets. The current and long-term portions of the lease liabilities at September 30, 2026 were $1.9 million and $13.2 million, respectively, and were recognized in Other current liabilities and Operating lease liabilities in the condensed consolidated balance sheets. The current and long-term portions of the lease liabilities at December 31, 2025 were $1.8 million and $14.7 million, respectively, and were recognized in Other current liabilities and Operating lease liabilities in the condensed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2018, Medpace, Inc. entered into a multi-year lease agreement governing future occupancy of additional office space in Cincinnati, Ohio with an entity that is wholly owned by the Company’s chief executive officer and certain members of his immediate family. The Company began to occupy the premises in the second quarter of fiscal year 2020. The lease expires in 2040 and the Company has two 10-year options to extend the term of the lease. The Company pays rent, taxes, insurance, and maintenance expenses that arise from the use of the property. Annual base rent for the corporate headquarters allows for adjustments to the rental rate annually for increases in the consumer price index. The Company has determined that the lease is an operating lease. Operating lease cost recognized for the three months ended September 30, 2026 and 2025 was $1.5 million. Operating lease cost recognized for the nine months ended September 30, 2026 and 2025 was $4.3 million. The operating lease cost was allocated between Total direct costs and Selling, general and administrative in the condensed consolidated statements of operations. The Operating lease right-of-use assets at September 30, 2026 and December 31, 2025 were $47.0 million and $48.4 million, respectively, in the condensed consolidated balance sheets. The current and long-term portions of the lease liabilities at September 30, 2026 were $2.0 million and $58.8 million, respectively, and were recognized in Other current liabilities and Operating lease liabilities in the condensed consolidated balance sheets. The current and long-term portions of the lease liabilities at December 31, 2025 were $1.8 million and $60.2 million, respectively and were recognized in Other current liabilities and Operating lease liabilities in the condensed consolidated balance sheets.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multi-year lease agreement governing the occupancy of office space in a building in Cincinnati, Ohio with an entity that is wholly owned by the Company’s chief executive officer and certain members of his immediate family. The lease was renewed in the third quarter of fiscal year 2026 for a term of ten years through 2037. The Company pays rent, taxes, insurance, and maintenance expenses that arise from the use of the property. Annual base rent for the corporate headquarters allows for adjustments to the rental rate annually for increases in the consumer price index. The Company has determined that the lease is an operating lease. Operating lease cost recognized for the three months ended September 30, 2026 and 2025 was $0.6 million. Operating lease cost recognized for the nine months ended September 30, 2026 and 2025 was $1.9 million. The operating lease cost was allocated between Total direct costs and Selling, general and administrative in the condensed consolidated statements of operations. The Operating lease right-of-use assets at September 30, 2026 and December 31, 2025 were $29.2 million and $4.2 million, respectively,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The current and long-term portions of the lease liabilities at September 30, 2026 were $1.9 million and $27.2 million, respectively, and were recognized in Other current liabilities and Operating lease liabilities in the condensed consolidated balance sheets. The current and long-term portions of the lease liabilities at December 31, 2025 were $2.3 million and $1.9 million, respectively, and were recognized in Other current liabilities and Operating lease liabilities in the condensed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multi-year lease agreement governing the occupancy of office space in a building in Cincinnati, Ohio with an entity that is wholly owned by the Company’s chief executive officer and certain members of his immediate family. The Company assumed occupancy in 2012 and the lease expires in 2027 with the Company having one 10-year option to extend the lease term, which the Company did not exercise. In the first quarter of 2024, the Company reduced the lease term in connection with a plan to replace the leased office beginning in early 2025. The Company pays rent, taxes, insurance, and maintenance expenses that arise from the use of the property. Annual base rent for the corporate headquarters allows for adjustments to the rental rate annually for increases in the consumer price index. The Company has determined that the lease is an operating lease. Operating lease cost recognized for the three months ended September 30, 2026 and 2025 was less than $0.1 million. Operating lease cost recognized for the nine months ended September 30, 2026 and 2025 was $0.1 million and $0.8 million, respectively. The operating lease cost was allocated between Total direct costs and Selling, general and administrative in the condensed consolidated statements of operations. The current portion of the lease liability at September 30, 2026 was $0.8 million and was recognized in Other current liabilities in the condensed consolidated balance sheets. The current and long-term portions of the lease liabilities at December 31, 2025 were $1.0 million and $0.5 million, respectively, and were recognized in Other current liabilities and Operating lease liabilities in the condensed consolidated balance sheets.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Travel Services </w:t>
      </w:r>
    </w:p>
    <w:p>
      <w:pPr>
        <w:pStyle w:val="TextBody"/>
        <w:bidi w:val="0"/>
        <w:spacing w:lineRule="auto" w:line="288" w:before="120" w:after="283"/>
        <w:jc w:val="left"/>
        <w:rPr/>
      </w:pPr>
      <w:r>
        <w:rPr>
          <w:rFonts w:ascii="Times New Roman;serif" w:hAnsi="Times New Roman;serif"/>
          <w:b w:val="false"/>
          <w:color w:val="000000"/>
          <w:sz w:val="20"/>
        </w:rPr>
        <w:t>The Company incurs expenses for travel services for company executives provided by a private aviation charter company controlled by the chief executive officer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$0.7 million and $0.5 million during the three months ended September 30, 2026 and 2025, respectively, and $1.5 million and</w:t>
      </w:r>
      <w:r>
        <w:rPr>
          <w:color w:val="000000"/>
        </w:rPr>
        <w:t xml:space="preserve"> </w:t>
      </w:r>
      <w:r>
        <w:rPr>
          <w:rFonts w:ascii="Times New Roman;serif" w:hAnsi="Times New Roman;serif"/>
          <w:b w:val="false"/>
          <w:color w:val="000000"/>
          <w:sz w:val="20"/>
        </w:rPr>
        <w:t>$1.4 million during the nine months ended September 30, 2026 and 2025, respectively, related to these travel services. These travel expenses are recorded in Selling, general and administrative in the Company’s condensed consolidated statements of operations. As of September 30, 2026 and December 31, 2025, the Company had Accounts payable to the Aircraft Management Company of $0.1 million and $0.3 million, respectively,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Segment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Information about the one reportable segment, significant segment expenses and a reconciliation to condensed consolidated net income is as follows (in thousands):</w:t>
      </w:r>
    </w:p>
    <w:tbl>
      <w:tblPr>
        <w:tblW w:w="10205" w:type="dxa"/>
        <w:jc w:val="left"/>
        <w:tblInd w:w="0" w:type="dxa"/>
        <w:tblLayout w:type="fixed"/>
        <w:tblCellMar>
          <w:top w:w="28" w:type="dxa"/>
          <w:left w:w="28" w:type="dxa"/>
          <w:bottom w:w="28" w:type="dxa"/>
          <w:right w:w="28" w:type="dxa"/>
        </w:tblCellMar>
      </w:tblPr>
      <w:tblGrid>
        <w:gridCol w:w="1566"/>
        <w:gridCol w:w="1214"/>
        <w:gridCol w:w="1187"/>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6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659,903 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2,129,935 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1,821,784 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 - Employee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441,164 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 - Other segment items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108,813 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Reimbursed out-of-pocket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716,505 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492,115 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462,964 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1,508,087 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1,266,482 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152,643 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550,460 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518,095 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1,676,068 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1,440,118 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165,540 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453,867 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381,666 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170,906 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142,836 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470,160 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385,544 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87,468 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69,554 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137,460 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111,135 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382,692 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315,990 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137,460 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111,135 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382,692 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315,990 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Direct service costs, excluding depreciation and amortization - Other segment items includes costs related to inventory, leases, project subcontractors and other direct service costs.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 by Category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disaggregates the Company’s revenue by major source (in thousands): </w:t>
      </w:r>
    </w:p>
    <w:tbl>
      <w:tblPr>
        <w:tblW w:w="8306" w:type="dxa"/>
        <w:jc w:val="left"/>
        <w:tblInd w:w="0" w:type="dxa"/>
        <w:tblLayout w:type="fixed"/>
        <w:tblCellMar>
          <w:top w:w="28" w:type="dxa"/>
          <w:left w:w="28" w:type="dxa"/>
          <w:bottom w:w="28" w:type="dxa"/>
          <w:right w:w="28" w:type="dxa"/>
        </w:tblCellMar>
      </w:tblPr>
      <w:tblGrid>
        <w:gridCol w:w="750"/>
        <w:gridCol w:w="659"/>
        <w:gridCol w:w="660"/>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Therapeutic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Metabolic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199,256 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495,144 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640,538 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551,669 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320,296 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Central Nervous System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246,714 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181,657 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Cardiology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176,333 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AVAI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107,612 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716,000 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659,903 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2,129,935 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1,821,784 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the following discussion and analysis of our financial condition and results of operations in conjunction with our condensed consolidated financial statements and the notes thereto included elsewhere in this Quarterly Report on Form 10-Q, with our audited consolidated financial statements and the notes thereto included in our Annual Report on Form 10-K for the fiscal year ended December 31, 2025 and with the information under the heading “Management Discussion and Analysis of Financial Condition and Results of Operations” in our Annual Report on Form 10-K for the fiscal year ended December 31, 2025. This item and the related discussion contain forward-looking statements reflecting current expectations that involve risks and uncertainties. Actual results and the timing of events may differ materially from those indicated in such forward-looking statements. Factors that may cause such differences include, but are not limited to, those discussed under the “Forward-Looking Statements” below and “Risk Factors” in “Item 1A Risk Factors” of Part I of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herein, are forward looking statements. Forward looking statements include, without limitation, statements regarding our results of operations; financial position and performance; liquidity and our ability to fund our business operations and initiatives; capital expenditure and debt service obligations; business strategies, plans and goals, including those related to marketing, acquisitions and expansion of our business; product approvals and plans; industry trends; general economic conditions, including inflation, interest rates and other pricing pressures that could impact our operating margins; expectations regarding consumer behaviors and trends; our culture and operating philosophy; human resource management; arrangements with and delivery of our services to the customers; conversion of backlog; dividend policy; legal proceedings; and our objectives for future operations. The words “expect,” “anticipate,” “intend,” “plan,” “believe,” “seek,” “see,” “will,” “would,” “target,” “likely,” “opportunity,” “may,” “could,” “outlook,” “can,” “trend,” “might,” “drives,” “hope,” “potential,” “project,” “predict,” and similar expressions are intended to identify forward-looking statements. However, the absence of these words does not mean that a statement is not forward-looking. Forward-looking statements are based largely on our current expectations and projections about future events and financial or other trends that we believe may affect our financial condition, results of operations, business strategy, short-term and long-term business operations and objectives, and financial needs. Any forward-looking statement speaks only as of the date it is made. These forward-looking statements are subject to inherent uncertainties, risks, changes in circumstances and other factors that are difficult to predict. Moreover, we operate in a very competitive and rapidly changing environment in which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may not occur and our financial condition and actual results could differ materially and adversely from those anticipated or implied in the forward-looking statements. In other words, these statements are not guarantees of future performance and inherently involve a wide range of risks and uncertainties that are difficult to predict. We caution you therefore against relying on these forward-looking statements. Some of the factors that could cause actual results to differ from our expectations include regional, national, and global political, economic, business, competitive, market and regulatory conditions, and the other factors included in our Annual Report on Form 10-K for the fiscal year ended December 31, 2025 in “Item 1A Risk Factors,” “Item 7 Management’s Discussion and Analysis of Financial Condition and Results of Operations,” and “Item 7A Quantitative and Qualitative Disclosures About Market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For a further discussion of the risks relating to our business, see “Item 1A Risk Factors” of our Annual Report on Form 10-K for the fiscal year ended December 31, 2025 and “Part II – Other Information, Item 1A Risk Factors”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focus on conducting clinical trials across all major therapeutic areas, with particular strength in Oncology, Metabolic Disease, Cardiology, Central Nervous System, or CNS, and Antiviral and Anti-infective, or AVAI. Our global platform includes approximately 6,600 employees across 46 countries as of September 30, 2026, providing our customers with broad access to diverse markets and patient populations as well as local regulatory expertise and market knowledge.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We Generate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earn fees through the performance of services detailed in our customer contracts. Contract scope and pricing is typically based on either a fixed-fee or unit-of-service model, with consideration of activities performed by third parties, as well as ancillary costs necessary to deliver on the contract scope that are reimbursable by our customers.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 which is distinct from billing and cash receipt, is recognized based on the satisfaction of the individual performance obligations identified in each contract. Substantially all of our customer contracts consist of a single performance obligation, as the promise to transfer the individual services defined in the contracts are not separately identifiable from other promises in the contract, and therefore not distinct. Our performance obligations are generally satisfied over time and recognized as services are performed. The progression of our contract performance obligations are measured primarily utilizing the input method of cost to cost.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typically discussed and agreed upon with the customer and are realized as revenue when we believe the amount can be estimated reliably and its realization is probable. Changes in revenue from period to period are driven primarily by new business volume and task order execution activity, project cancellations, and the mix of active studies during a given period that can vary based on therapeutic area and or study life cycle stage.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costs and expenses are comprised primarily of our total direct costs, selling, general and administrative costs, depreciation and amortization and income taxes.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Total Direct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 are primarily driven by labor and related employee benefits, but also include contracted third party service related expenses, fees paid to site investigators, reimbursed out of pocket expenses, laboratory supplies and other expenses contributing to service delivery. The other costs of service delivery can include office rent, utilities, supplies and software licenses which are allocated between Total direct costs and selling, general and administrative expenses based on the estimated contribution among service delivery and support function efforts on a percentage basis. Total direct costs are expensed as incurred and are not deferred in anticipation of contracts being awarded or finalization of changes in scope. Total direct costs, as a percentage of net revenue, can vary from period to period due to project labor efficiencies, changes in workforce, compensation/bonus programs and service mix.</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are primarily driven by compensation and related employee benefits, as well as rent, utilities, supplies, software licenses, professional fees (e.g., legal and accounting expenses), bad debt expense, travel, marketing and other operating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Depreciation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is provided on our property and equipment on the straight-line method at rates adequate to allocate the cost of the applicable assets over their estimated useful lives, which is three to five years for computer hardware, software, phone,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medical imaging equipment, five to seven years for furniture and fixtures and other equipment, and thirty to forty years for buildings. Leasehold improvements are amortized on a straight-line basis over the shorter of the estimated useful life of the improvement or the associated remaining lease term.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Amortization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relates to finite-lived intangible assets recognized as expense using the straight-line method or using an accelerated method over their estimated useful lives of 15 years.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Performance Metrics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evaluate the performance of our business, we utilize a variety of financial and performance metrics. These key measures include new business awards, cancellations and backlog.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New Business Awards, Cancellations and Backlog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New business awards represent the value of anticipated future net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new business awards represent gross new business awards received in a period offset by total cancellations in that period. Net new business awards were $873.4 million and $2,287.6 million for the three and nine months ended September 30, 2026, respectively. Net new business awards were $789.6 million and $1,910.2 million for the three and nine months ended September 30, 2025,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Backlog represents anticipated future net revenue from net new business awards that have not commenced or are currently in process but not complete. Reported backlog will fluctuate based on new business awards, changes in the scope of existing contracts, cancellations, revenue recognition on existing contracts and foreign exchange adjustments from non-U.S. dollar denominated backlog. As of September 30, 2026, our backlog increased by $166.6 million, or 5.6%, to $3,167.2 million compared to $3,000.6 million as of September 30, 2025. Included within backlog as of September 30, 2026 was approximately $1,980.0 million to $2,000.0 million that we expect to convert to net revenue over the next twelve months, with the remainder expected to convert to net revenue thereafter.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effect of foreign currency adjustments on backlog was as follows: favorable foreign currency adjustments of $0.2 million for the three months ended September 30, 2026; unfavorable foreign currency adjustments of $3.4 million for the nine months ended September 30, 2026; favorable foreign currency adjustments of $2.6 million for the three months ended September 30, 2025; and favorable foreign currency adjustments of $24.0 million for the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Exchange Rate Fluctuations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contracts and operational transactions are U.S. dollar denominated. The Euro represents the largest foreign currency denomination of our contractual and operational exposure. As a result, a portion of our revenue and expenses are subject to exchange rate fluctuations. We have translated the Euro into U.S. dollars using the following average exchange rates based on data obtained from www.xe.com:</w:t>
      </w:r>
    </w:p>
    <w:tbl>
      <w:tblPr>
        <w:tblW w:w="7519" w:type="dxa"/>
        <w:jc w:val="left"/>
        <w:tblInd w:w="0" w:type="dxa"/>
        <w:tblLayout w:type="fixed"/>
        <w:tblCellMar>
          <w:top w:w="28" w:type="dxa"/>
          <w:left w:w="28" w:type="dxa"/>
          <w:bottom w:w="28" w:type="dxa"/>
          <w:right w:w="28" w:type="dxa"/>
        </w:tblCellMar>
      </w:tblPr>
      <w:tblGrid>
        <w:gridCol w:w="677"/>
        <w:gridCol w:w="597"/>
        <w:gridCol w:w="600"/>
        <w:gridCol w:w="298"/>
        <w:gridCol w:w="298"/>
        <w:gridCol w:w="298"/>
        <w:gridCol w:w="298"/>
        <w:gridCol w:w="298"/>
        <w:gridCol w:w="298"/>
        <w:gridCol w:w="298"/>
        <w:gridCol w:w="298"/>
        <w:gridCol w:w="298"/>
        <w:gridCol w:w="109"/>
        <w:gridCol w:w="109"/>
        <w:gridCol w:w="109"/>
        <w:gridCol w:w="280"/>
        <w:gridCol w:w="280"/>
        <w:gridCol w:w="280"/>
        <w:gridCol w:w="280"/>
        <w:gridCol w:w="280"/>
        <w:gridCol w:w="280"/>
        <w:gridCol w:w="280"/>
        <w:gridCol w:w="280"/>
        <w:gridCol w:w="396"/>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Dollars per Euro:</w:t>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Three Months Ended September 30, 2026 compared to Three Months Ended September 30, 2025</w:t>
      </w:r>
    </w:p>
    <w:tbl>
      <w:tblPr>
        <w:tblW w:w="10205" w:type="dxa"/>
        <w:jc w:val="left"/>
        <w:tblInd w:w="0" w:type="dxa"/>
        <w:tblLayout w:type="fixed"/>
        <w:tblCellMar>
          <w:top w:w="28" w:type="dxa"/>
          <w:left w:w="28" w:type="dxa"/>
          <w:bottom w:w="28" w:type="dxa"/>
          <w:right w:w="28" w:type="dxa"/>
        </w:tblCellMar>
      </w:tblPr>
      <w:tblGrid>
        <w:gridCol w:w="1619"/>
        <w:gridCol w:w="1372"/>
        <w:gridCol w:w="1375"/>
        <w:gridCol w:w="109"/>
        <w:gridCol w:w="109"/>
        <w:gridCol w:w="109"/>
        <w:gridCol w:w="215"/>
        <w:gridCol w:w="843"/>
        <w:gridCol w:w="110"/>
        <w:gridCol w:w="110"/>
        <w:gridCol w:w="110"/>
        <w:gridCol w:w="110"/>
        <w:gridCol w:w="215"/>
        <w:gridCol w:w="843"/>
        <w:gridCol w:w="110"/>
        <w:gridCol w:w="109"/>
        <w:gridCol w:w="109"/>
        <w:gridCol w:w="109"/>
        <w:gridCol w:w="211"/>
        <w:gridCol w:w="721"/>
        <w:gridCol w:w="109"/>
        <w:gridCol w:w="109"/>
        <w:gridCol w:w="109"/>
        <w:gridCol w:w="109"/>
        <w:gridCol w:w="285"/>
        <w:gridCol w:w="288"/>
        <w:gridCol w:w="578"/>
      </w:tblGrid>
      <w:tr>
        <w:trPr/>
        <w:tc>
          <w:tcPr>
            <w:tcW w:w="161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(Amounts 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 Change</w:t>
            </w:r>
            <w:r>
              <w:rPr>
                <w:color w:val="000000"/>
              </w:rPr>
              <w:t xml:space="preserve"> </w:t>
            </w:r>
          </w:p>
        </w:tc>
      </w:tr>
      <w:tr>
        <w:trPr/>
        <w:tc>
          <w:tcPr>
            <w:tcW w:w="43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716,000 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659,903 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204,851 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186,335 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Reimbursed out-of-pocket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287,264 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276,629 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78"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492,115 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462,964 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51,765 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48,082 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78"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578"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550,460 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518,095 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165,540 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141,808 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23,732 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170,906 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142,836 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33,446 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31,701 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137,460 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111,135 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26,325 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Nine Months Ended September 30, 2026 compared to Nine Months Ended September 30, 2025</w:t>
      </w:r>
    </w:p>
    <w:tbl>
      <w:tblPr>
        <w:tblW w:w="10205" w:type="dxa"/>
        <w:jc w:val="left"/>
        <w:tblInd w:w="0" w:type="dxa"/>
        <w:tblLayout w:type="fixed"/>
        <w:tblCellMar>
          <w:top w:w="28" w:type="dxa"/>
          <w:left w:w="28" w:type="dxa"/>
          <w:bottom w:w="28" w:type="dxa"/>
          <w:right w:w="28" w:type="dxa"/>
        </w:tblCellMar>
      </w:tblPr>
      <w:tblGrid>
        <w:gridCol w:w="1513"/>
        <w:gridCol w:w="1252"/>
        <w:gridCol w:w="1255"/>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82"/>
        <w:gridCol w:w="285"/>
        <w:gridCol w:w="572"/>
      </w:tblGrid>
      <w:tr>
        <w:trPr/>
        <w:tc>
          <w:tcPr>
            <w:tcW w:w="15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(Amounts 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 Change</w:t>
            </w:r>
            <w:r>
              <w:rPr>
                <w:color w:val="000000"/>
              </w:rPr>
              <w:t xml:space="preserve"> </w:t>
            </w:r>
          </w:p>
        </w:tc>
      </w:tr>
      <w:tr>
        <w:trPr/>
        <w:tc>
          <w:tcPr>
            <w:tcW w:w="40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2,129,935 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1,821,784 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308,151 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549,977 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Reimbursed out-of-pocket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57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1,508,087 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1,266,482 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241,605 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7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57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1,676,068 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1,440,118 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235,950 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453,867 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381,666 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72,201 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470,160 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385,544 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84,616 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87,468 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382,692 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315,990 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66,702 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Total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increased by $56.1 million, to $716.0 million for the three months ended September 30, 2026, from $659.9 million for the three months ended September 30, 2025. Total revenue increased by $308.2 million, to $2,129.9 million for the nine months ended September 30, 2026, from $1,821.8 million for the nine months ended September 30, 2025. The increase for the three and nine months ended September 30, 2026 was primarily driven by growth within the Metabolic, Oncology and Central Nervous System therapeutic areas, compared to the same periods in the prior year.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Total direct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 increased by $29.2 million, to $492.1 million for the three months ended September 30, 2026 from $463.0 million for the three months ended September 30, 2025. Total direct costs increased by $241.6 million, to $1,508.1 million for the nine months ended September 30, 2026 from $1,266.5 million for the nine months ended September 30, 2025. The increase was primarily attributed to higher reimbursed out-of-pocket expenses and higher personnel costs to support the growth in service activities. Reimbursed out-of-pocket expenses, which can fluctuate significantly from period to period based on the timing of program initiation and closeout, increased by $10.6 million and $185.9 million for the three and nine months ended September 30, 2026, compared to the same periods in the prior year. The higher personnel costs portion increased by $16.2 million and $52.0 million for the three and nine months ended September 30, 2026, compared to the same periods in the prior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$3.7 million, to $51.8 million for the three months ended September 30, 2026 from $48.1 million for the three months ended September 30, 2025. Selling, general and administrative expenses decreased by $4.9 million, to $147.8 million for the nine months ended September 30, 2026 from $152.6 million for the nine months ended September 30, 2025. The increase for the three months ended September 30, 2026 was primarily attributed to higher personnel costs to support the growth in service activities of $3.1 million, compared to the same period in the prior year. The decrease for the nine months ended September 30, 2026 was primarily attributed to a decrease in stock-based compensation expense of $11.2 million, partially offset by higher personnel costs, excluding stock-based compensation expense, to support the growth in service activities of $4.7 million, compared to the same period in the prior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of $6.6 million for the three months ended September 30, 2026, remained relatively consistent with $7.0 million for the three months ended September 30, 2025. Depreciation and amortization expense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$20.2 million for the nine months ended September 30, 2026, remained relatively consistent with $21.0 million for the nine months ended September 30,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Miscellaneous income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(expense), net changed by $0.5 million, to less than $0.1 million of income for the three months ended September 30, 2026, from $0.5 million of expense for the three months ended September 30, 2025. Miscellaneous income (expense), net changed by $6.0 million, to $0.8 million of income for the nine months ended September 30, 2026 from $5.2 million of expense for the nine months ended September 30, 2025. These changes were mainly attributable to foreign exchange gains or losses, such as those that arise in connection with the revaluation of short-term intercompany balances between our domestic and international subsidiaries and from the settlement of third-party accounts receivables and payables denominated in a currency other than the local currency of the entity making the payment, and third-party investment gains or losses, compared to the same periods in the prior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 increased by $3.8 million, to $5.3 million for the three months ended September 30, 2026, from $1.5 million for the three months ended September 30, 2025. Interest income, net increased by $6.4 million, to $15.5 million for the nine months ended September 30, 2026, from $9.1 million for the nine months ended September 30, 2025. These changes were mainly attributable to increased interest income on Cash and cash equivalents, compared to the same periods in the prior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increased by $1.7 million, to $33.4 million for the three months ended September 30, 2026 from $31.7 million for the three months ended September 30, 2025. Income tax provision increased by $17.9 million, to $87.5 million for the nine months ended September 30, 2026 from $69.6 million for the nine months ended September 30, 2025. The overall effective tax rate for the three months ended September 30, 2026 was 19.6%, compared to an overall effective tax rate of 22.2% for the three months ended September 30, 2025. The overall effective tax rate for the nine months ended September 30, 2026 was 18.6% compared to an overall effective tax rate of 18.0% for the nine months ended September 30, 2025. The increase in the income tax provision for the three months ended September 30, 2026 was primarily attributable to an increase in pre-tax book income which was partially offset by an increase in tax benefits related to Foreign Derived Deduction Eligible Income compared to the same period in the prior year. The decrease in the overall effective tax rate for the three months ended September 30, 2026 was primarily attributable to an increase in tax benefits related to Foreign Derived Deduction Eligible Income compared to the same period in the prior year. The increase in the income tax provision and overall effective tax rate for the nine months ended September 30, 2026 was primarily attributable to an increase in pre-tax book income and a decrease in excess tax benefits recognized from share-based compensation, which was partially offset by an increase in the estimated tax benefits related to Foreign Derived Deduction Eligible Income compared to the same period in the prior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Where relevant, the Company has reflected any material items that were enacted in the condensed consolidated financial statements for the three and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pPr>
      <w:r>
        <w:rPr>
          <w:rFonts w:ascii="Times New Roman;serif" w:hAnsi="Times New Roman;serif"/>
          <w:b w:val="false"/>
          <w:color w:val="000000"/>
          <w:sz w:val="20"/>
        </w:rPr>
        <w:t>We assess our liquidity in terms of our ability to generate cash to fund our operating, investing and financing activities. Our principal sources of liquidity are operating cash flows and from borrowings under our unsecured credit facility consisting of up to a $10.0 million</w:t>
      </w:r>
      <w:r>
        <w:rPr>
          <w:color w:val="000000"/>
        </w:rPr>
        <w:t xml:space="preserve"> </w:t>
      </w:r>
      <w:r>
        <w:rPr>
          <w:rFonts w:ascii="Times New Roman;serif" w:hAnsi="Times New Roman;serif"/>
          <w:b w:val="false"/>
          <w:color w:val="000000"/>
          <w:sz w:val="20"/>
        </w:rPr>
        <w:t xml:space="preserve">revolving line of credit which we entered into on September 30, 2019 (the “Credit Facility”). All $10.0 million of the line of credit is available for borrowing as of September 30, 2026. As of September 30, 2026, we had cash and cash equivalents of $705.3 million which increased from $497.0 million as of December 31, 2025. Approximately $28.7 million of cash and cash equivalents, none of which was restricted, was held by our foreign subsidiaries as of September 30,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expected primary cash needs on both a short and long-term basis are for investment in operational growth, including additional lease commitments, capital expenditures, share repurchases, selective strategic bolt-on acquisitions, other investments, and other general corporate needs. We have historically funded our operations and growth with cash flow from operations and borrowings under our credit facilities. We expect to continue expanding our operations through organic growth and potentially highly selective bolt-on acquisitions and investments. As of September 30, 2026,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commitments to support operating business needs include lease liabilities discussed in Note 8 of the Condensed Consolidated Financial Statements, purchase commitments discussed in Note 11 of the Condensed Consolidated Financial Statements and capital expenditures primarily related to infrastructure investments in our facilities, equipment and technology. Capital spending as a percentage of revenue increased by 92 basis points to 2.39% in the nine months ended September 30, 2026, compared to the same period in the prior year. We expect these activities will be funded from existing cash, cash flow from operations and, if necessary, borrowings under our existing or future credit facilities or other debt. We have deemed that foreign earnings will be indefinitely reinvested and therefore we have not provided taxes on these 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 We believe that our sources of liquidity and capital will be sufficient to finance our cash needs for the next 12 months and on a longer-term basis. However, we cannot assure you that our business will generate sufficient cash flow from operations, or that future borrowings will be available to us under our Credit Facility or otherwise, in an amount sufficient to fund our liquidity needs.</w:t>
      </w:r>
    </w:p>
    <w:tbl>
      <w:tblPr>
        <w:tblW w:w="7193" w:type="dxa"/>
        <w:jc w:val="left"/>
        <w:tblInd w:w="0" w:type="dxa"/>
        <w:tblLayout w:type="fixed"/>
        <w:tblCellMar>
          <w:top w:w="28" w:type="dxa"/>
          <w:left w:w="28" w:type="dxa"/>
          <w:bottom w:w="28" w:type="dxa"/>
          <w:right w:w="28" w:type="dxa"/>
        </w:tblCellMar>
      </w:tblPr>
      <w:tblGrid>
        <w:gridCol w:w="1611"/>
        <w:gridCol w:w="1419"/>
        <w:gridCol w:w="1424"/>
        <w:gridCol w:w="211"/>
        <w:gridCol w:w="826"/>
        <w:gridCol w:w="109"/>
        <w:gridCol w:w="109"/>
        <w:gridCol w:w="109"/>
        <w:gridCol w:w="109"/>
        <w:gridCol w:w="211"/>
        <w:gridCol w:w="901"/>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5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Cash Flows (Amounts in thousands)</w:t>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530,396 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520,571 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(269,174)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(883,117)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208,266 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(384,085)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operations are driven mainly by net income, deferred income tax provision, depreciation, noncash lease expense, stock-based compensation expense and net movement in advanced billings, accounts receivable and unbilled, net, accrued expenses, lease liabilities and other assets and liabilities, net. Advanced billings and accounts receivable and unbilled, net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pStyle w:val="TextBody"/>
        <w:bidi w:val="0"/>
        <w:spacing w:lineRule="auto" w:line="288" w:before="240" w:after="283"/>
        <w:jc w:val="left"/>
        <w:rPr/>
      </w:pPr>
      <w:r>
        <w:rPr>
          <w:rFonts w:ascii="Times New Roman;serif" w:hAnsi="Times New Roman;serif"/>
          <w:b w:val="false"/>
          <w:color w:val="000000"/>
          <w:sz w:val="20"/>
        </w:rPr>
        <w:t>Net cash flows provided by operating activities was $530.4 million for the nine months ended September 30, 2026 beginning with net income of $382.7 million. Adjustments to reconcile net income to net cash provided by operating activities were $84.0 million, primarily related to deferred income tax provision of $28.2 million, depreciation of $19.7 million, noncash lease expense of $18.1 million and stock-based compensation expense of $16.9 million. Changes in operating assets and liabilities provided $63.7 million in operating cash flows and was primarily driven by increased advanced billings of $107.5 million and increased accrued expenses of $36.1 million, partially offset by increased accounts receivable and unbilled, net of $45.1 million, decreased lease liabilities of</w:t>
      </w:r>
      <w:r>
        <w:rPr>
          <w:color w:val="000000"/>
        </w:rPr>
        <w:t xml:space="preserve"> </w:t>
      </w:r>
      <w:r>
        <w:rPr>
          <w:rFonts w:ascii="Times New Roman;serif" w:hAnsi="Times New Roman;serif"/>
          <w:b w:val="false"/>
          <w:color w:val="000000"/>
          <w:sz w:val="20"/>
        </w:rPr>
        <w:t>$17.8 million and changes in</w:t>
      </w:r>
      <w:r>
        <w:rPr>
          <w:color w:val="000000"/>
        </w:rPr>
        <w:t xml:space="preserve"> </w:t>
      </w:r>
      <w:r>
        <w:rPr>
          <w:rFonts w:ascii="Times New Roman;serif" w:hAnsi="Times New Roman;serif"/>
          <w:b w:val="false"/>
          <w:color w:val="000000"/>
          <w:sz w:val="20"/>
        </w:rPr>
        <w:t>other assets and liabilities, net of $15.8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 was $520.6 million for the nine months ended September 30, 2025 beginning with net income of $316.0 million. Adjustments to reconcile net income to net cash provided by operating activities were $130.4 million, primarily related to deferred income tax provision of $63.4 million, stock-based compensation expense of $29.2 million, depreciation of $20.3 million and noncash lease expense of $17.3 million. Changes in operating assets and liabilities provided $74.2 million in operating cash flows and was primarily driven by increased advanced billings of $123.7 million and increased accrued expenses of $57.5 million, partially offset by increased accounts receivable and unbilled, net of $77.1 million, decreased lease liabilities of $18.1 million and increased prepaid expenses and other current assets of $15.6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 from 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$50.8 million for the nine months ended September 30, 2026 primarily consisting of property and equipment expenditures.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$26.7 million for the nine months ended September 30, 2025 primarily consisting of property and equipment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 from 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$269.2 million for the nine months ended September 30, 2026 primarily related to $294.8 million in repurchases of common stock, partially offset by proceeds from stock option exercises of $25.6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$883.1 million for the nine months ended September 30, 2025 primarily related to $917.4 million in repurchases of common stock, partially offset by proceeds from stock option exercises of $34.3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2022, the Company’s Board of Directors (the “Board”) approved a share repurchase program which has been amended several times to increase the aggregate amount of the share repurchase authorization. The Company did not execute any share repurchases during the three months ended September 30, 2026. During the nine months ended September 30, 2026, the Company repurchased 705,616 shares for $294.7 million. During the three and nine months ended September 30, 2025, the Company repurchased 14,649 shares and 2,961,924 shares for $4.5 million and $912.9 million, respectively. As of September 30, 2026, the Company has remaining authorization of $527.0 million under the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Effective October 20, 2026, the Board approved the termination of the current share repurchase authorization and approved a new share repurchase authorization of up to $1.0 billion.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Repurchases under the share repurchase program are executed in the open market or negotiated transactions under trading plans put in place pursuant to Rule 10b5-1. The Company constructively retired the repurchased shares associated with these approved share repurchases, except for a small portion which were retained as Treasury Shares on the condensed consolidated statements of shareholders' equity. Retired share repurchase amounts paid in excess of par value are reflected within Accumulated deficit/Retained earnings in the Company’s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Indebtedness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had no indebtedness. Refer to Note 7 of the Notes to Condensed Consolidated Financial Statements for details regarding our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the critical accounting policies and estimates as previously described in our Annual Report on Form 10-K for the fiscal year ended December 31,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Effect of Recent Accounting Pronouncements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Refer to Note 1 of the Condensed Consolidated Financial Statements for management’s discussion of the effect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quantitative and qualitative disclosures about market risk as compared to the quantitative and qualitative disclosures about market risk described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constraints and that management is required to apply judgment in evaluating the benefits of possible controls and procedures relative to their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Chief Executive Officer (the Principal Executive Officer) and Chief Financial Officer (the Principal Financial Officer), has evaluated the effectiveness of the Company’s disclosure controls and procedures, as defined in Rules 13(a)-15(e) and 15(d) -15(e) of the Securities Exchange Act of 1934 (“Exchange Act”), as of the end of the period covered by this report. Based on this evaluation, we concluded that, as of the end of the period covered by this report, our disclosure controls and procedures were effective in providing reasonable assurance that information required to be disclosed by us in the reports we file or submit under the Exchange Act is recorded, processed, summarized and reported within the time periods specified in the SEC’s forms and rules, and the material information relating to the Company is accumulated and communicated to management, including the Chief Executive Officer and Chief Financial Officer, as appropriate, to allow timely decisions regarding required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Control systems, no matter how well designed and operated, can provide only reasonable, not absolute, assurance that control objectives are met. Because of inherent limitations in all control systems, no evaluation of controls can provide assurance that all control issues and instances of fraud, if any, within a company will be detected. Additionally, controls can be circumvented by individuals, by collusion of two or more people or by management override. Over time, controls can become inadequate because of changes in conditions or the degree of compliance may deteriorate. Further, the design of any system of controls is based in part upon assumptions about the likelihood of future events. There can be no assurance that any design will succeed in achieving its stated goals under all future conditions. Because of the inherent limitations in any cost-effective control system, misstatements due to errors or fraud may occur and not be detected.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routinely enhance our information systems by either upgrading current systems or implementing new ones. There were no changes in our internal control over financial reporting that occurred during the three months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party to legal proceedings incidental to our business. While the outcome of these matters could differ from management’s expectations, we do not believe that the resolution of these matters is reasonably likely to have a material adverse effect to our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more information, please reference “Note 11 - Commitments and Contingencies” in the notes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 discussion of our potential risks and uncertainties, see the information under the heading “Risk Factors” in our Annual Report on Form 10-K for the fiscal year ended December 31, 2025. There have been no significant changes from the risk factors previously disclosed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2. Unregistered Sales of Equity Securities and Use of Proceeds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Proceeds from Registered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 director or officer of the Company adopted or terminated a “Rule 10b5-1 trading arrangement” or “non-Rule 10b5-1 trading arrangement,” as each term is defined in Item 408(a) of Regulation S-K, except as described in the table below:</w:t>
      </w:r>
    </w:p>
    <w:tbl>
      <w:tblPr>
        <w:tblW w:w="10205" w:type="dxa"/>
        <w:jc w:val="left"/>
        <w:tblInd w:w="0" w:type="dxa"/>
        <w:tblLayout w:type="fixed"/>
        <w:tblCellMar>
          <w:top w:w="28" w:type="dxa"/>
          <w:left w:w="28" w:type="dxa"/>
          <w:bottom w:w="28" w:type="dxa"/>
          <w:right w:w="28" w:type="dxa"/>
        </w:tblCellMar>
      </w:tblPr>
      <w:tblGrid>
        <w:gridCol w:w="851"/>
        <w:gridCol w:w="737"/>
        <w:gridCol w:w="740"/>
        <w:gridCol w:w="220"/>
        <w:gridCol w:w="220"/>
        <w:gridCol w:w="221"/>
        <w:gridCol w:w="513"/>
        <w:gridCol w:w="343"/>
        <w:gridCol w:w="348"/>
        <w:gridCol w:w="266"/>
        <w:gridCol w:w="266"/>
        <w:gridCol w:w="266"/>
        <w:gridCol w:w="402"/>
        <w:gridCol w:w="402"/>
        <w:gridCol w:w="341"/>
        <w:gridCol w:w="547"/>
        <w:gridCol w:w="547"/>
        <w:gridCol w:w="549"/>
        <w:gridCol w:w="706"/>
        <w:gridCol w:w="706"/>
        <w:gridCol w:w="1014"/>
      </w:tblGrid>
      <w:tr>
        <w:trPr/>
        <w:tc>
          <w:tcPr>
            <w:tcW w:w="85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2328" w:type="dxa"/>
            <w:gridSpan w:val="3"/>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661" w:type="dxa"/>
            <w:gridSpan w:val="3"/>
            <w:vMerge w:val="restart"/>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1204" w:type="dxa"/>
            <w:gridSpan w:val="3"/>
            <w:vMerge w:val="restart"/>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1943"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Arrangement</w:t>
            </w:r>
          </w:p>
        </w:tc>
        <w:tc>
          <w:tcPr>
            <w:tcW w:w="1643" w:type="dxa"/>
            <w:gridSpan w:val="3"/>
            <w:vMerge w:val="restart"/>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Shares to be Purchased or Sold</w:t>
            </w:r>
          </w:p>
        </w:tc>
        <w:tc>
          <w:tcPr>
            <w:tcW w:w="2426" w:type="dxa"/>
            <w:gridSpan w:val="3"/>
            <w:vMerge w:val="restart"/>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Duration/Expiration Date</w:t>
            </w:r>
          </w:p>
        </w:tc>
      </w:tr>
      <w:tr>
        <w:trPr/>
        <w:tc>
          <w:tcPr>
            <w:tcW w:w="2328" w:type="dxa"/>
            <w:gridSpan w:val="3"/>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661"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c>
          <w:tcPr>
            <w:tcW w:w="1204"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7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Rule 10b5-1*</w:t>
            </w:r>
          </w:p>
        </w:tc>
        <w:tc>
          <w:tcPr>
            <w:tcW w:w="114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Non-Rule 10b5-1**</w:t>
            </w:r>
          </w:p>
        </w:tc>
        <w:tc>
          <w:tcPr>
            <w:tcW w:w="1643"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c>
          <w:tcPr>
            <w:tcW w:w="2426"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r>
      <w:tr>
        <w:trPr/>
        <w:tc>
          <w:tcPr>
            <w:tcW w:w="2328"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August J. Troendle, Chief Executive Officer, President and Chairman of the Board</w:t>
            </w:r>
          </w:p>
        </w:tc>
        <w:tc>
          <w:tcPr>
            <w:tcW w:w="661"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120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27, 2026 [1]</w:t>
            </w:r>
          </w:p>
        </w:tc>
        <w:tc>
          <w:tcPr>
            <w:tcW w:w="79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64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307,959 shares to be sold</w:t>
            </w:r>
          </w:p>
        </w:tc>
        <w:tc>
          <w:tcPr>
            <w:tcW w:w="2426"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Good until cancelled</w:t>
            </w:r>
          </w:p>
        </w:tc>
      </w:tr>
      <w:tr>
        <w:trPr/>
        <w:tc>
          <w:tcPr>
            <w:tcW w:w="2328"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Susan E. Burwig, Executive Vice President, Operations</w:t>
            </w:r>
          </w:p>
        </w:tc>
        <w:tc>
          <w:tcPr>
            <w:tcW w:w="661"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120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27, 2026 [2]</w:t>
            </w:r>
          </w:p>
        </w:tc>
        <w:tc>
          <w:tcPr>
            <w:tcW w:w="79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64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7,500 shares to be sold</w:t>
            </w:r>
          </w:p>
        </w:tc>
        <w:tc>
          <w:tcPr>
            <w:tcW w:w="2426"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earlier of until cancelled or 180 days from the placement of the limit order</w:t>
            </w:r>
          </w:p>
        </w:tc>
      </w:tr>
      <w:tr>
        <w:trPr/>
        <w:tc>
          <w:tcPr>
            <w:tcW w:w="2328"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Kevin M. Brady, Chief Financial Officer and Treasurer</w:t>
            </w:r>
          </w:p>
        </w:tc>
        <w:tc>
          <w:tcPr>
            <w:tcW w:w="661"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1204"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20, 2026 [3]</w:t>
            </w:r>
          </w:p>
        </w:tc>
        <w:tc>
          <w:tcPr>
            <w:tcW w:w="798"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643"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3,400 shares to be sold</w:t>
            </w:r>
          </w:p>
        </w:tc>
        <w:tc>
          <w:tcPr>
            <w:tcW w:w="2426" w:type="dxa"/>
            <w:gridSpan w:val="3"/>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earlier of until cancelled or 180 days from the placement of the limit order</w:t>
            </w:r>
          </w:p>
        </w:tc>
      </w:tr>
    </w:tbl>
    <w:tbl>
      <w:tblPr>
        <w:tblW w:w="5757" w:type="dxa"/>
        <w:jc w:val="left"/>
        <w:tblInd w:w="0" w:type="dxa"/>
        <w:tblLayout w:type="fixed"/>
        <w:tblCellMar>
          <w:top w:w="28" w:type="dxa"/>
          <w:left w:w="28" w:type="dxa"/>
          <w:bottom w:w="28" w:type="dxa"/>
          <w:right w:w="28" w:type="dxa"/>
        </w:tblCellMar>
      </w:tblPr>
      <w:tblGrid>
        <w:gridCol w:w="124"/>
        <w:gridCol w:w="109"/>
        <w:gridCol w:w="109"/>
        <w:gridCol w:w="1584"/>
        <w:gridCol w:w="1584"/>
        <w:gridCol w:w="22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Intended to satisfy the affirmative defense of Rule 10b5-1(c).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intended to satisfy the affirmative defense of Rule 10b5-1(c).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On July 27, 2026, Mr. Troendle placed a limit order to sell up to 307,959 shares. Mr. Troendle modified the limit price on August 20,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 On July 27, 2026, Ms. Burwig placed a limit order to sell up to 7,500 shares.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[3] On August 20, 2026, Mr. Brady placed a limit order to sell up to 3,400 shares issued to him pursuant to his contemporaneous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exhibits in the accompanying Exhibit Index preceding the signature page are filed or furnished as a part of this report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0"/>
        <w:gridCol w:w="238"/>
        <w:gridCol w:w="239"/>
        <w:gridCol w:w="109"/>
        <w:gridCol w:w="109"/>
        <w:gridCol w:w="109"/>
        <w:gridCol w:w="1602"/>
        <w:gridCol w:w="1446"/>
        <w:gridCol w:w="1453"/>
        <w:gridCol w:w="109"/>
        <w:gridCol w:w="109"/>
        <w:gridCol w:w="109"/>
        <w:gridCol w:w="170"/>
        <w:gridCol w:w="170"/>
        <w:gridCol w:w="171"/>
        <w:gridCol w:w="109"/>
        <w:gridCol w:w="109"/>
        <w:gridCol w:w="109"/>
        <w:gridCol w:w="150"/>
        <w:gridCol w:w="150"/>
        <w:gridCol w:w="151"/>
        <w:gridCol w:w="109"/>
        <w:gridCol w:w="109"/>
        <w:gridCol w:w="109"/>
        <w:gridCol w:w="210"/>
        <w:gridCol w:w="210"/>
        <w:gridCol w:w="211"/>
        <w:gridCol w:w="109"/>
        <w:gridCol w:w="109"/>
        <w:gridCol w:w="109"/>
        <w:gridCol w:w="175"/>
        <w:gridCol w:w="175"/>
        <w:gridCol w:w="176"/>
        <w:gridCol w:w="109"/>
        <w:gridCol w:w="109"/>
        <w:gridCol w:w="109"/>
        <w:gridCol w:w="255"/>
        <w:gridCol w:w="255"/>
        <w:gridCol w:w="366"/>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90" w:before="0" w:after="0"/>
              <w:jc w:val="center"/>
              <w:rPr>
                <w:rFonts w:ascii="Times New Roman;serif" w:hAnsi="Times New Roman;serif"/>
                <w:b/>
                <w:color w:val="000000"/>
                <w:sz w:val="16"/>
              </w:rPr>
            </w:pPr>
            <w:r>
              <w:rPr>
                <w:rFonts w:ascii="Times New Roman;serif" w:hAnsi="Times New Roman;serif"/>
                <w:b/>
                <w:color w:val="000000"/>
                <w:sz w:val="16"/>
              </w:rPr>
              <w:t>Filing</w:t>
            </w:r>
          </w:p>
          <w:p>
            <w:pPr>
              <w:pStyle w:val="TableContents"/>
              <w:bidi w:val="0"/>
              <w:spacing w:lineRule="auto" w:line="290"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w:t>
              <w:br/>
              <w:t>Furnished</w:t>
              <w:br/>
              <w:t>Herewith</w:t>
            </w:r>
          </w:p>
        </w:tc>
      </w:tr>
      <w:tr>
        <w:trPr/>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edp-20260930xexx311.htm">
              <w:r>
                <w:rPr>
                  <w:rStyle w:val="InternetLink"/>
                  <w:rFonts w:ascii="Times New Roman;serif" w:hAnsi="Times New Roman;serif"/>
                  <w:b w:val="false"/>
                  <w:color w:val="0000FF"/>
                  <w:sz w:val="20"/>
                  <w:u w:val="single"/>
                </w:rPr>
                <w:t>Rule 13a-14(a) / 15d-14(a)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edp-20260930xexx312.htm">
              <w:r>
                <w:rPr>
                  <w:rStyle w:val="InternetLink"/>
                  <w:rFonts w:ascii="Times New Roman;serif" w:hAnsi="Times New Roman;serif"/>
                  <w:b w:val="false"/>
                  <w:color w:val="0000FF"/>
                  <w:sz w:val="20"/>
                  <w:u w:val="single"/>
                </w:rPr>
                <w:t>Rule 13a-14(a) / 15d-14(a)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edp-20260930xexx321.htm">
              <w:r>
                <w:rPr>
                  <w:rStyle w:val="InternetLink"/>
                  <w:rFonts w:ascii="Times New Roman;serif" w:hAnsi="Times New Roman;serif"/>
                  <w:b w:val="false"/>
                  <w:color w:val="0000FF"/>
                  <w:sz w:val="20"/>
                  <w:u w:val="single"/>
                </w:rPr>
                <w:t>Section 1350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medp-20260930xexx322.htm">
              <w:r>
                <w:rPr>
                  <w:rStyle w:val="InternetLink"/>
                  <w:rFonts w:ascii="Times New Roman;serif" w:hAnsi="Times New Roman;serif"/>
                  <w:b w:val="false"/>
                  <w:color w:val="0000FF"/>
                  <w:sz w:val="20"/>
                  <w:u w:val="single"/>
                </w:rPr>
                <w:t>Section 1350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096" w:type="dxa"/>
        <w:jc w:val="left"/>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2d45cbbce7740f7890f266eee0909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3026" w:type="dxa"/>
        <w:jc w:val="left"/>
        <w:tblInd w:w="0" w:type="dxa"/>
        <w:tblLayout w:type="fixed"/>
        <w:tblCellMar>
          <w:top w:w="28" w:type="dxa"/>
          <w:left w:w="28" w:type="dxa"/>
          <w:bottom w:w="28" w:type="dxa"/>
          <w:right w:w="28" w:type="dxa"/>
        </w:tblCellMar>
      </w:tblPr>
      <w:tblGrid>
        <w:gridCol w:w="124"/>
        <w:gridCol w:w="109"/>
        <w:gridCol w:w="109"/>
        <w:gridCol w:w="785"/>
        <w:gridCol w:w="785"/>
        <w:gridCol w:w="11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MEDPACE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br/>
              <w:t>(Principal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August J. Troendle,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Medpace Holdings,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bl>
      <w:tblPr>
        <w:tblW w:w="6626" w:type="dxa"/>
        <w:jc w:val="left"/>
        <w:tblInd w:w="0" w:type="dxa"/>
        <w:tblLayout w:type="fixed"/>
        <w:tblCellMar>
          <w:top w:w="28" w:type="dxa"/>
          <w:left w:w="28" w:type="dxa"/>
          <w:bottom w:w="28" w:type="dxa"/>
          <w:right w:w="28" w:type="dxa"/>
        </w:tblCellMar>
      </w:tblPr>
      <w:tblGrid>
        <w:gridCol w:w="124"/>
        <w:gridCol w:w="109"/>
        <w:gridCol w:w="109"/>
        <w:gridCol w:w="1837"/>
        <w:gridCol w:w="1837"/>
        <w:gridCol w:w="2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/s/ 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Chairman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Kevin M. Brady,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Medpace Holdings,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bl>
      <w:tblPr>
        <w:tblW w:w="2757" w:type="dxa"/>
        <w:jc w:val="left"/>
        <w:tblInd w:w="0" w:type="dxa"/>
        <w:tblLayout w:type="fixed"/>
        <w:tblCellMar>
          <w:top w:w="28" w:type="dxa"/>
          <w:left w:w="28" w:type="dxa"/>
          <w:bottom w:w="28" w:type="dxa"/>
          <w:right w:w="28" w:type="dxa"/>
        </w:tblCellMar>
      </w:tblPr>
      <w:tblGrid>
        <w:gridCol w:w="124"/>
        <w:gridCol w:w="109"/>
        <w:gridCol w:w="109"/>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Medpace Holdings, Inc. (the “Company”) on Form 10-Q for the quarter ended September 30, 2026 filed with the Securities and Exchange Commission on the date hereof (the “Report”), I certify, pursuant to 18 U.S.C. Section 1350, as adopted pursuant to Section 906 of the Sarbanes-Oxley Act of 2002, that: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22, 2026 </w:t>
      </w:r>
    </w:p>
    <w:tbl>
      <w:tblPr>
        <w:tblW w:w="407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73"/>
        <w:gridCol w:w="973"/>
        <w:gridCol w:w="13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3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w:t>
              <w:br/>
              <w:t>Chairman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332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Medpace Holdings, Inc. (the “Company”) on Form 10-Q for the quarter ended September 30, 2026 filed with the Securities and Exchange Commission on the date hereof (the “Report”), I certify, pursuant to 18 U.S.C. Section 1350, as adopted pursuant to Section 906 of the Sarbanes-Oxley Act of 2002, that: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bl>
      <w:tblPr>
        <w:tblW w:w="316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15323</Words>
  <Characters>87242</Characters>
  <CharactersWithSpaces>101446</CharactersWithSpaces>
  <Paragraphs>1812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