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22,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Medpace Holdings, Inc.</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tbl>
      <w:tblPr>
        <w:tblW w:w="6537" w:type="dxa"/>
        <w:jc w:val="left"/>
        <w:tblInd w:w="0" w:type="dxa"/>
        <w:tblLayout w:type="fixed"/>
        <w:tblCellMar>
          <w:top w:w="28" w:type="dxa"/>
          <w:left w:w="28" w:type="dxa"/>
          <w:bottom w:w="28" w:type="dxa"/>
          <w:right w:w="28" w:type="dxa"/>
        </w:tblCellMar>
      </w:tblPr>
      <w:tblGrid>
        <w:gridCol w:w="1091"/>
        <w:gridCol w:w="956"/>
        <w:gridCol w:w="967"/>
        <w:gridCol w:w="677"/>
        <w:gridCol w:w="677"/>
        <w:gridCol w:w="685"/>
        <w:gridCol w:w="433"/>
        <w:gridCol w:w="433"/>
        <w:gridCol w:w="618"/>
      </w:tblGrid>
      <w:tr>
        <w:trPr/>
        <w:tc>
          <w:tcPr>
            <w:tcW w:w="109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001-37856</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32-0434904</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5375 Medpace Way</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Cincinnati, Ohio</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45227</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20" w:after="283"/>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color w:val="000000"/>
          <w:sz w:val="20"/>
        </w:rPr>
        <w:t>513</w:t>
      </w:r>
      <w:r>
        <w:rPr>
          <w:color w:val="000000"/>
        </w:rPr>
        <w:t xml:space="preserve"> </w:t>
      </w:r>
      <w:r>
        <w:rPr>
          <w:rFonts w:ascii="Times New Roman;serif" w:hAnsi="Times New Roman;serif"/>
          <w:b/>
          <w:color w:val="000000"/>
          <w:sz w:val="20"/>
        </w:rPr>
        <w:t>579-9911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107" w:type="dxa"/>
        <w:jc w:val="left"/>
        <w:tblInd w:w="0" w:type="dxa"/>
        <w:tblLayout w:type="fixed"/>
        <w:tblCellMar>
          <w:top w:w="28" w:type="dxa"/>
          <w:left w:w="28" w:type="dxa"/>
          <w:bottom w:w="28" w:type="dxa"/>
          <w:right w:w="28" w:type="dxa"/>
        </w:tblCellMar>
      </w:tblPr>
      <w:tblGrid>
        <w:gridCol w:w="970"/>
        <w:gridCol w:w="852"/>
        <w:gridCol w:w="862"/>
        <w:gridCol w:w="109"/>
        <w:gridCol w:w="109"/>
        <w:gridCol w:w="109"/>
        <w:gridCol w:w="314"/>
        <w:gridCol w:w="314"/>
        <w:gridCol w:w="316"/>
        <w:gridCol w:w="109"/>
        <w:gridCol w:w="109"/>
        <w:gridCol w:w="109"/>
        <w:gridCol w:w="1118"/>
        <w:gridCol w:w="1118"/>
        <w:gridCol w:w="1589"/>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MEDP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6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16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22, 2026, Medpace Holdings, Inc. (the “Company”) issued a press release announcing its financial results for the three and six months ended June 30, 2026. The full text of the press release was posted on the Company’s internet website and is furnished as Exhibit 99.1 hereto and incorporated herein by reference.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General Instruction B.2 of Current Report on Form 8-K, the information contained in, or incorporated into, Item 2.02, including the press release attached as Exhibit 99.1, is being furnished and shall not be deemed “filed” for the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to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99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2"/>
        <w:gridCol w:w="1932"/>
        <w:gridCol w:w="2735"/>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medp-2026722exx991.htm">
              <w:r>
                <w:rPr>
                  <w:rStyle w:val="InternetLink"/>
                  <w:rFonts w:ascii="Times New Roman;serif" w:hAnsi="Times New Roman;serif"/>
                  <w:b w:val="false"/>
                  <w:color w:val="000080"/>
                  <w:sz w:val="20"/>
                  <w:u w:val="single"/>
                </w:rPr>
                <w:t xml:space="preserve">Press release dated </w:t>
              </w:r>
            </w:hyperlink>
            <w:hyperlink w:anchor="medp-2026722exx991.htm">
              <w:r>
                <w:rPr>
                  <w:rStyle w:val="InternetLink"/>
                  <w:rFonts w:ascii="Times New Roman;serif" w:hAnsi="Times New Roman;serif"/>
                  <w:b w:val="false"/>
                  <w:color w:val="000080"/>
                  <w:sz w:val="20"/>
                  <w:u w:val="single"/>
                </w:rPr>
                <w:t>July</w:t>
              </w:r>
            </w:hyperlink>
            <w:hyperlink w:anchor="medp-2026722exx991.htm">
              <w:r>
                <w:rPr>
                  <w:rStyle w:val="InternetLink"/>
                  <w:rFonts w:ascii="Times New Roman;serif" w:hAnsi="Times New Roman;serif"/>
                  <w:b w:val="false"/>
                  <w:color w:val="000080"/>
                  <w:sz w:val="20"/>
                  <w:u w:val="single"/>
                </w:rPr>
                <w:t xml:space="preserve"> 22, 202</w:t>
              </w:r>
            </w:hyperlink>
            <w:hyperlink w:anchor="medp-2026722exx991.htm">
              <w:r>
                <w:rPr>
                  <w:rStyle w:val="InternetLink"/>
                  <w:rFonts w:ascii="Times New Roman;serif" w:hAnsi="Times New Roman;serif"/>
                  <w:b w:val="false"/>
                  <w:color w:val="000080"/>
                  <w:sz w:val="20"/>
                  <w:u w:val="single"/>
                </w:rPr>
                <w:t>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579"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996"/>
        <w:gridCol w:w="996"/>
        <w:gridCol w:w="141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MEDPACE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M. Brady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M. Brady,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drawing>
          <wp:inline distT="0" distB="0" distL="0" distR="0">
            <wp:extent cx="2095500" cy="3143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95500" cy="314325"/>
                    </a:xfrm>
                    <a:prstGeom prst="rect">
                      <a:avLst/>
                    </a:prstGeom>
                  </pic:spPr>
                </pic:pic>
              </a:graphicData>
            </a:graphic>
          </wp:inline>
        </w:drawing>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Investor Contact:</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David Ruhe</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283-227-6472</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d.ruhe@medpace.com</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FOR IMMEDIATE RELEASE</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Media Contact:</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Michael Maley</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283-227-6367</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m.maley@medpace.com</w:t>
      </w:r>
    </w:p>
    <w:p>
      <w:pPr>
        <w:pStyle w:val="TextBody"/>
        <w:bidi w:val="0"/>
        <w:spacing w:lineRule="auto" w:line="288" w:before="480" w:after="283"/>
        <w:jc w:val="center"/>
        <w:rPr>
          <w:rFonts w:ascii="Arial;sans-serif" w:hAnsi="Arial;sans-serif"/>
          <w:b/>
          <w:color w:val="000000"/>
          <w:sz w:val="24"/>
        </w:rPr>
      </w:pPr>
      <w:r>
        <w:rPr>
          <w:rFonts w:ascii="Arial;sans-serif" w:hAnsi="Arial;sans-serif"/>
          <w:b/>
          <w:color w:val="000000"/>
          <w:sz w:val="24"/>
        </w:rPr>
        <w:t>Medpace Holdings, Inc. Reports Second Quarter 2026 Results</w:t>
      </w:r>
    </w:p>
    <w:p>
      <w:pPr>
        <w:pStyle w:val="TextBody"/>
        <w:bidi w:val="0"/>
        <w:spacing w:lineRule="auto" w:line="288" w:before="480" w:after="283"/>
        <w:ind w:left="0" w:right="0" w:hanging="450"/>
        <w:jc w:val="left"/>
        <w:rPr/>
      </w:pPr>
      <w:r>
        <w:rPr>
          <w:color w:val="000000"/>
        </w:rPr>
        <w:t>•</w:t>
      </w:r>
      <w:r>
        <w:rPr>
          <w:rFonts w:ascii="Arial;sans-serif" w:hAnsi="Arial;sans-serif"/>
          <w:b w:val="false"/>
          <w:i/>
          <w:color w:val="000000"/>
          <w:sz w:val="20"/>
        </w:rPr>
        <w:t>Revenue of $707.3 million in the second quarter of 2026 increased 17.2% from revenue of $603.3 million for the comparable prior-year period, representing a backlog conversion rate of 24.1%.</w:t>
      </w:r>
    </w:p>
    <w:p>
      <w:pPr>
        <w:pStyle w:val="TextBody"/>
        <w:bidi w:val="0"/>
        <w:spacing w:lineRule="auto" w:line="288" w:before="60" w:after="283"/>
        <w:ind w:left="0" w:right="0" w:hanging="450"/>
        <w:jc w:val="left"/>
        <w:rPr/>
      </w:pPr>
      <w:r>
        <w:rPr>
          <w:color w:val="000000"/>
        </w:rPr>
        <w:t>•</w:t>
      </w:r>
      <w:r>
        <w:rPr>
          <w:rFonts w:ascii="Arial;sans-serif" w:hAnsi="Arial;sans-serif"/>
          <w:b w:val="false"/>
          <w:i/>
          <w:color w:val="000000"/>
          <w:sz w:val="20"/>
        </w:rPr>
        <w:t>Net new business awards were $795.7 million in the second quarter of 2026, representing an increase of 28.2% from net new business awards of $620.5 million for the comparable prior-year period, which resulted in a net book-to-bill ratio of 1.13x.</w:t>
      </w:r>
    </w:p>
    <w:p>
      <w:pPr>
        <w:pStyle w:val="TextBody"/>
        <w:bidi w:val="0"/>
        <w:spacing w:lineRule="auto" w:line="288" w:before="60" w:after="283"/>
        <w:ind w:left="0" w:right="0" w:hanging="450"/>
        <w:jc w:val="left"/>
        <w:rPr/>
      </w:pPr>
      <w:r>
        <w:rPr>
          <w:color w:val="000000"/>
        </w:rPr>
        <w:t>•</w:t>
      </w:r>
      <w:r>
        <w:rPr>
          <w:rFonts w:ascii="Arial;sans-serif" w:hAnsi="Arial;sans-serif"/>
          <w:b w:val="false"/>
          <w:i/>
          <w:color w:val="000000"/>
          <w:sz w:val="20"/>
        </w:rPr>
        <w:t>Second quarter of 2026 GAAP net income was $121.4 million, or $4.25 per diluted share, versus GAAP net income of $90.3 million, or $3.10 per diluted share, for the comparable prior-year period. Net income margin was 17.2% and 15.0% for the second quarter of 2026 and 2025, respectively.</w:t>
      </w:r>
    </w:p>
    <w:p>
      <w:pPr>
        <w:pStyle w:val="TextBody"/>
        <w:bidi w:val="0"/>
        <w:spacing w:lineRule="auto" w:line="288" w:before="60" w:after="283"/>
        <w:ind w:left="0" w:right="0" w:hanging="450"/>
        <w:jc w:val="left"/>
        <w:rPr/>
      </w:pPr>
      <w:r>
        <w:rPr>
          <w:color w:val="000000"/>
        </w:rPr>
        <w:t>•</w:t>
      </w:r>
      <w:r>
        <w:rPr>
          <w:rFonts w:ascii="Arial;sans-serif" w:hAnsi="Arial;sans-serif"/>
          <w:b w:val="false"/>
          <w:i/>
          <w:color w:val="000000"/>
          <w:sz w:val="20"/>
        </w:rPr>
        <w:t>EBITDA was $153.4 million for the second quarter of 2026, an increase of 17.6% from EBITDA of $130.5 million for the comparable prior-year period, resulting in an EBITDA margin of 21.7%.</w:t>
      </w:r>
    </w:p>
    <w:p>
      <w:pPr>
        <w:pStyle w:val="TextBody"/>
        <w:bidi w:val="0"/>
        <w:spacing w:lineRule="auto" w:line="288" w:before="240" w:after="283"/>
        <w:jc w:val="left"/>
        <w:rPr/>
      </w:pPr>
      <w:r>
        <w:rPr>
          <w:rFonts w:ascii="Arial;sans-serif" w:hAnsi="Arial;sans-serif"/>
          <w:b/>
          <w:color w:val="000000"/>
          <w:sz w:val="20"/>
        </w:rPr>
        <w:t>CINCINNATI, OHIO, July 22, 2026</w:t>
      </w:r>
      <w:r>
        <w:rPr>
          <w:rFonts w:ascii="Arial;sans-serif" w:hAnsi="Arial;sans-serif"/>
          <w:b w:val="false"/>
          <w:color w:val="000000"/>
          <w:sz w:val="20"/>
        </w:rPr>
        <w:t>-- Medpace Holdings, Inc. (Nasdaq: MEDP) (“Medpace”) today announced financial results for the second quarter ended June 30, 2026.</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Second Quarter 2026 Financial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Revenue for the three months ended June 30, 2026 increased 17.2% to $707.3 million, compared to $603.3 million for the comparable prior-year period. On a constant currency basis, revenue for the second quarter of 2026 increased 17.2% compared to the second quarter of 2025.</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Backlog as of June 30, 2026 increased 4.9% to $3,014.2 million from $2,873.6 million as of June 30, 2025. Net new business awards were $795.7 million, representing a net book-to-bill ratio of 1.13x for the second quarter of 2026, as compared to $620.5 million for the comparable prior-year period. The Company calculates the net book-to-bill ratio by dividing net new business awards by revenue.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For the second quarter of 2026, total direct costs were $505.7 million, compared to total direct costs of $423.3 million in the second quarter of 2025. Selling, general and administrative (SG&amp;A) expenses were $48.1 million in the second quarter of 2026, compared to SG&amp;A expenses of $46.7 million in the second quarter of 2025.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GAAP net income for the second quarter of 2026 was $121.4 million, or $4.25 per diluted share, versus GAAP net income of $90.3 million, or $3.10 per diluted share, for the second quarter of 2025. This resulted in a net income margin of 17.2% and 15.0% for the second quarter of 2026 and 2025, respectively.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EBITDA for the second quarter of 2026 increased 17.6% to $153.4 million, or 21.7% of revenue, compared to $130.5 million, or 21.6% of revenue, for the comparable prior-year period. On a constant currency basis, EBITDA for the second quarter of 2026 increased 17.8% from the second quarter of 2025.</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 reconciliation of the Company’s non-GAAP financial measures, including EBITDA and EBITDA margin to the corresponding GAAP measures is provided below.</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Year-to-Date 2026 Financial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Revenue for the six months ended June 30, 2026 was $1,413.9 million, and increased 21.7% on a reported basis and 21.4% on a constant currency basis from the comparable prior-year period. Year-to-date 2026 GAAP net income was $245.2 million, or $8.53 per diluted share, compared to $204.9 million, or $6.79 per diluted share, for the comparable prior-year period. Year-to-date 2026 EBITDA was $302.8 million, or 21.4% of revenue, and increased 21.5% on a reported basis and 23.0% on a constant currency basis from the comparable prior-year period.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Balance Sheet and Liquidity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Company’s Cash and cash equivalents were $502.7 million at June 30, 2026, and the Company generated $162.0 million in cash flow from operating activities during the second quarter of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second quarter of 2026, the Company repurchased 705,616 shares for a total of $294.7 million. As of June 30, 2026, the Company had $527.0 million remaining under its authorized share repurchase program.</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2026 Financial Guidance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forecasts 2026 revenue in the range of $2.805 billion to $2.885 billion, representing growth of 10.9% to 14.0% over 2025 revenue of $2.530 billion. GAAP net income for full year 2026 is forecasted in the range of $494.0 million to $514.0 million. Additionally, full year 2026 EBITDA is expected in the range of $618.0 million to $642.0 million. Based on forecasted 2026 revenue of $2.805 billion to $2.885 billion and GAAP net income of $494.0 million to $514.0 million, diluted earnings per share (GAAP) is forecasted in the range of $17.25 to $17.95. This guidance assumes a full year 2026 tax rate of 19.0% to 19.5%, interest income of $21.1 million, foreign exchange rates as of June 30, 2026, and 28.6 million diluted weighted average shares outstanding. This guidance does not include the potential impact of any share repurchases the Company may make pursuant to the share repurchase program after June 30, 2026.</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Conference Call Details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Medpace will host a conference call at 9:00 a.m. ET, Thursday, July 23, 2026, to discuss its second quarter 2026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To participate in the conference call, interested parties must register in advance by clicking on this link. While it is not required, it is recommended you join 10 minutes prior to the event start. Upon registration, all telephone participants will receive a confirmation email detailing how to join the conference call, including the dial-in number along with a unique PIN that can be used to access the call.</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To access the conference call via webcast, visit the “Investors” section of Medpace’s website at medpace.com. The webcast replay of the call will be available at the same site approximately one hour after the end of the call. A supplemental slide presentation will also be available at the “Investors” section of Medpace’s website prior to the start of the call.</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About Medpace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Medpace is a scientifically-driven, global, full-service clinical contract research organization (CRO) providing Phase I-IV clinical development services to the biotechnology, pharmaceutical and medical device industries. Medpace’s mission is to accelerate the global development of safe and effective medical therapeutics through its high-science and disciplined operating approach that leverages regulatory and therapeutic expertise across all major areas including oncology, cardiology, metabolic disease, endocrinology, central nervous system and anti-viral and anti-infective. Headquartered in Cincinnati, Ohio, Medpace employs approximately 6,500 people across 46 countries as of June 30, 2026.</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our forecasted financial results and the effective tax rate used for non-GAAP adjustment purposes. In this context, forward-looking statements often address expected future business and financial performance and financial condition, and often contain words such as “guidance,” “expect,” “anticipate,” “intend,” “plan,” “believe,” “seek,” “see,” “will,” “would,” “target,” “forecast,” “may,” “could,” “likely,” “anticipate,” “project,” “goal,” “objective,” “potential,” “range,” “estimate,” “preliminary,” “opportunity,” “outlook,” “trend,”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240" w:after="283"/>
        <w:jc w:val="left"/>
        <w:rPr>
          <w:color w:val="000000"/>
        </w:rPr>
      </w:pPr>
      <w:r>
        <w:rPr>
          <w:color w:val="000000"/>
        </w:rPr>
        <w:t>“</w:t>
      </w:r>
      <w:r>
        <w:rPr>
          <w:rFonts w:ascii="Arial;sans-serif" w:hAnsi="Arial;sans-serif"/>
          <w:b w:val="false"/>
          <w:color w:val="000000"/>
          <w:sz w:val="20"/>
        </w:rPr>
        <w:t>can,” “might,” “drives,” “hope,” “future,” “predict” and similar expressions, and variations or negatives of these words. However, the absence of these words does not mean that a statement is not forward-looking.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These forward-looking statements are largely based on management’s current expectations and projections about future events and financial trends that we believe may affect, among other things, our financial condition, results of operations, business strategy, short-term and long-term business operations and objectives, and financial needs. These statements are neither promises nor guarantees, but involve known and unknown risks, uncertainties and other factors that may cause our financial condition, actual results, performance (including share price performance), or achievements to be materially different from any future results, performance or achievements expressed or implied by the forward-looking statements, including, but not limited to, the following: the potential loss, delay or non-renewal of our contracts, or the non-payment by customers for services we have performed; the failure to convert backlog to revenue at our present or historical conversion rate(s); the failure to maintain or generate new business awards; fluctuation in our results between fiscal quarters and years; the risks and uncertainties related to disruptions to or reductions in business operations or prospects due to pandemics, epidemics, widespread health emergencies, or outbreaks of infectious diseases; decreased operating margins due to increased pricing pressure or other factors; our failure to perform our services or operate our business in accordance with contractual requirements, government regulations and ethical considerations; the impact of underpricing our contracts, overrunning our cost estimates or failing to receive approval for or experiencing delays with documentation of change orders; the failure of third parties to provide us critical support services; our failure to increase our market share, grow our business, successfully execute our growth strategies or manage our growth effectively; the impact of a failure to retain key executives or other personnel or recruit qualified personnel; the risks associated with our information systems infrastructure, including potential cybersecurity breaches and other disruptions which could compromise patient information or our information; risks from use of machine learning and generative artificial intelligence (“AI”), including risks from insufficient human oversight of AI or lack of controls and procedures monitoring AI use; adverse results from customer or therapeutic area concentration; the risks associated with doing business internationally, including the effects of tariffs and trade wars; the risks associated with the Foreign Corrupt Practices Act and other anti-corruption laws; future net losses; the impact of changes in tax laws and regulations; our failure to attract suitable investigators and patients to our clinical trials; the liability risks associated with our research and development services, including risks of liability resulting from harm to patients; inadequate insurance coverage for our operations and indemnification obligations; fluctuations in exchange rates; general economic conditions, including inflation, in the markets in which we and our customers operate, including financial market conditions; the impact of unfavorable economic conditions, including conditions caused by the uncertain international economic environment and current and future international conflicts; the impact of a natural disaster or other catastrophic event; negative outsourcing trends in the biopharmaceutical industry and a reduction in aggregate expenditures and research and development budgets; our inability to compete effectively with other CROs; the impact of healthcare reform; the impact of consolidation in the biopharmaceutical industry; our failure to comply with federal, state and foreign healthcare laws; the effect of current and proposed laws and regulations regarding the protection of personal data; our potential involvement in costly intellectual property lawsuits; actions by regulatory authorities or customers to limit the scope of indications related to or withdraw an approved drug, biologic or medical device from the market; and the impact of industry-wide reputational harm to CROs. Moreover, we operate in a very competitive and rapidly changing environment in which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These and other factors discussed under the caption “Risk Factors” in Item 1A, Part I of our Annual Report on Form 10-K filed with the Securities and Exchange Commission, or SEC, and our other reports filed with the SEC could cause actual results to differ materially from those indicated by the forward-looking statements made in this press release. We cannot guarantee that any forward-looking statement will be realized. Achievement of anticipated results is subject to substantial risks, uncertainties and inaccurate assumptions. If known or unknown risks or uncertainties materialize or if underlying assumptions prove inaccurate, actual results could vary materially from past results and those anticipated, estimated or projected. These factors should not be construed as exhaustive and should be read in conjunction with the other cautionary statements that are included in this release and in our filings with the SEC. Any such forward-looking statements represent management’s estimates as of the date of this press release. While we may elect to update such forward-looking statements at some point in the future, we disclaim any obligation to do so, even if subsequent events, developments or circumstances cause our views to change. These forward-looking statements should not be relied upon as representing our views as of any date subsequent to the date of this press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Certain financial measures presented in this press release, such as EBITDA and EBITDA margin, are not recognized under generally accepted accounting principles in the United States of America, or U.S. GAAP. Management uses EBITDA and EBITDA margin or comparable metrics as a measurement used in evaluating our operating performance on a consistent basis, as a consideration to assess incentive compensation for our employees, for planning purposes, including the preparation of our internal annual operating budget, and to evaluate the performance and effectiveness of our operational strategies.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EBITDA and EBITDA margin have important limitations as analytical tools and you should not consider them in isolation, or as a substitute for, analysis of our results as reported under U.S. GAAP. See the condensed consolidated financial statements included elsewhere in this release for our U.S. GAAP results. Additionally, for reconciliations of EBITDA and EBITDA margin to our closest reported U.S. GAAP measures, refer to the appendix of this press release.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believe that EBITDA and EBITDA margin are useful to provide additional information to investors about certain material non-cash and non-recurring items. While we believe these financial measures are commonly used by investors to evaluate our performance and that of our competitors, because not all companies use identical calculations, this presentation of EBITDA and EBITDA margin may not be comparable to other similarly titled measures of other companies and should not be considered as an alternative to performance measures derived in accordance with U.S. GAAP. EBITDA is calculated as net income attributable to Medpace Holdings, Inc. before income tax expense, interest income, net, depreciation and amortization. EBITDA margin is calculated by dividing EBITDA by Revenue, net for each period. Our presentation of EBITDA and EBITDA margin should not be construed as an inference that our future results will be unaffected by unusual or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MEDPACE HOLDINGS, INC. AND SUBSIDIARIES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 xml:space="preserve">CONDENSED CONSOLIDATED STATEMENTS OF OPERATIONS (UNAUDITED) </w:t>
      </w:r>
    </w:p>
    <w:tbl>
      <w:tblPr>
        <w:tblW w:w="10205" w:type="dxa"/>
        <w:jc w:val="center"/>
        <w:tblInd w:w="0" w:type="dxa"/>
        <w:tblLayout w:type="fixed"/>
        <w:tblCellMar>
          <w:top w:w="28" w:type="dxa"/>
          <w:left w:w="28" w:type="dxa"/>
          <w:bottom w:w="28" w:type="dxa"/>
          <w:right w:w="28" w:type="dxa"/>
        </w:tblCellMar>
      </w:tblPr>
      <w:tblGrid>
        <w:gridCol w:w="1570"/>
        <w:gridCol w:w="1285"/>
        <w:gridCol w:w="1288"/>
        <w:gridCol w:w="211"/>
        <w:gridCol w:w="856"/>
        <w:gridCol w:w="109"/>
        <w:gridCol w:w="109"/>
        <w:gridCol w:w="109"/>
        <w:gridCol w:w="109"/>
        <w:gridCol w:w="211"/>
        <w:gridCol w:w="856"/>
        <w:gridCol w:w="109"/>
        <w:gridCol w:w="109"/>
        <w:gridCol w:w="109"/>
        <w:gridCol w:w="109"/>
        <w:gridCol w:w="211"/>
        <w:gridCol w:w="1021"/>
        <w:gridCol w:w="109"/>
        <w:gridCol w:w="109"/>
        <w:gridCol w:w="109"/>
        <w:gridCol w:w="109"/>
        <w:gridCol w:w="211"/>
        <w:gridCol w:w="1021"/>
        <w:gridCol w:w="156"/>
      </w:tblGrid>
      <w:tr>
        <w:trPr/>
        <w:tc>
          <w:tcPr>
            <w:tcW w:w="157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(Amounts in thousands, except per share amounts)</w:t>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2025</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707,331 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603,311 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1,413,935 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1,161,881 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 service costs, excluding 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202,555 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185,826 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400,829 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363,642 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Reimbursed out-of-pocket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303,139 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237,472 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615,143 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439,876 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direct costs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505,694 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423,298 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1,015,972 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803,518 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48,103 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46,664 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104,561 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13,471 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560,507 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476,976 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1,125,608 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922,023 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146,824 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126,335 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288,327 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239,858 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Miscellaneous (expense)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(4,691)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10,103 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7,541 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Total other income (expense),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(1,797)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10,927 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151,663 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124,538 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299,254 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242,708 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30,301 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54,022 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37,853 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121,362 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90,260 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245,232 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204,855 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share attributable to common shareholders: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29,489</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29,143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30,165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MEDPACE HOLDINGS, INC. AND SUBSIDIARIES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CONDENSED CONSOLIDATED BALANCE SHEETS (UNAUDITED)</w:t>
      </w:r>
    </w:p>
    <w:tbl>
      <w:tblPr>
        <w:tblW w:w="10205" w:type="dxa"/>
        <w:jc w:val="center"/>
        <w:tblInd w:w="0" w:type="dxa"/>
        <w:tblLayout w:type="fixed"/>
        <w:tblCellMar>
          <w:top w:w="28" w:type="dxa"/>
          <w:left w:w="28" w:type="dxa"/>
          <w:bottom w:w="28" w:type="dxa"/>
          <w:right w:w="28" w:type="dxa"/>
        </w:tblCellMar>
      </w:tblPr>
      <w:tblGrid>
        <w:gridCol w:w="2937"/>
        <w:gridCol w:w="2103"/>
        <w:gridCol w:w="2109"/>
        <w:gridCol w:w="211"/>
        <w:gridCol w:w="1021"/>
        <w:gridCol w:w="109"/>
        <w:gridCol w:w="109"/>
        <w:gridCol w:w="109"/>
        <w:gridCol w:w="109"/>
        <w:gridCol w:w="211"/>
        <w:gridCol w:w="1021"/>
        <w:gridCol w:w="156"/>
      </w:tblGrid>
      <w:tr>
        <w:trPr/>
        <w:tc>
          <w:tcPr>
            <w:tcW w:w="2937"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(Amounts in thousands, except share amounts)</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As of </w:t>
            </w:r>
          </w:p>
        </w:tc>
      </w:tr>
      <w:tr>
        <w:trPr/>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color w:val="000000"/>
                <w:sz w:val="20"/>
              </w:rPr>
            </w:pPr>
            <w:r>
              <w:rPr>
                <w:rFonts w:ascii="Arial;sans-serif" w:hAnsi="Arial;sans-serif"/>
                <w:b/>
                <w:color w:val="000000"/>
                <w:sz w:val="20"/>
              </w:rPr>
              <w:t>ASSETS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502,688 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497,049 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and unbilled,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441,797 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402,078 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105,800 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90,497 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1,050,285 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989,624 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157,114 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131,055 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125,849 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117,815 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662,396 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662,396 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33,110 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33,420 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19,223 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25,196 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21,939 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2,057,181 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1,975,472 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color w:val="000000"/>
                <w:sz w:val="20"/>
              </w:rPr>
            </w:pPr>
            <w:r>
              <w:rPr>
                <w:rFonts w:ascii="Arial;sans-serif" w:hAnsi="Arial;sans-serif"/>
                <w:b/>
                <w:color w:val="000000"/>
                <w:sz w:val="20"/>
              </w:rPr>
              <w:t>LIABILITIES AND SHAREHOLDERS’ EQUITY</w:t>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37,527 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28,142 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451,076 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408,382 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Advanced billings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904,722 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854,390 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52,834 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1,435,429 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1,343,748 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120,100 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113,643 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Deferred income tax liability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8,207 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1,355 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59,584 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57,655 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1,623,320 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1,516,401 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Shareholders’ equity:</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Preferred stock - $0.01 par-value; 5,000,000 shares authorized; no shares issued and outstanding at June 30, 2026 and December 31, 2025</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 $0.01 par-value; 250,000,000 shares authorized at June 30, 2026 and December 31, 2025; 27,910,605 and 28,370,780 shares issued and outstanding at June 30, 2026 and December 31, 2025,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Treasury stock - 69,593 and 69,623 shares at June 30, 2026 and December 31, 2025,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(12,151)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(12,156)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964,183 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935,830 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(511,368)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(459,981)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(7,082)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(4,906)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Total shareholders’ equity</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433,861 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459,071 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2,057,181 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1,975,472 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MEDPACE HOLDINGS, INC. AND SUBSIDIARIES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CONDENSED CONSOLIDATED STATEMENTS OF CASH FLOWS (UNAUDITED)</w:t>
      </w:r>
    </w:p>
    <w:tbl>
      <w:tblPr>
        <w:tblW w:w="10205" w:type="dxa"/>
        <w:jc w:val="center"/>
        <w:tblInd w:w="0" w:type="dxa"/>
        <w:tblLayout w:type="fixed"/>
        <w:tblCellMar>
          <w:top w:w="28" w:type="dxa"/>
          <w:left w:w="28" w:type="dxa"/>
          <w:bottom w:w="28" w:type="dxa"/>
          <w:right w:w="28" w:type="dxa"/>
        </w:tblCellMar>
      </w:tblPr>
      <w:tblGrid>
        <w:gridCol w:w="2724"/>
        <w:gridCol w:w="2373"/>
        <w:gridCol w:w="2383"/>
        <w:gridCol w:w="211"/>
        <w:gridCol w:w="856"/>
        <w:gridCol w:w="109"/>
        <w:gridCol w:w="109"/>
        <w:gridCol w:w="109"/>
        <w:gridCol w:w="109"/>
        <w:gridCol w:w="211"/>
        <w:gridCol w:w="856"/>
        <w:gridCol w:w="155"/>
      </w:tblGrid>
      <w:tr>
        <w:trPr/>
        <w:tc>
          <w:tcPr>
            <w:tcW w:w="2724"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(Amounts in thousands)</w:t>
            </w:r>
          </w:p>
        </w:tc>
        <w:tc>
          <w:tcPr>
            <w:tcW w:w="2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245,232 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204,855 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13,471 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22,843 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11,687 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Deferred income tax provision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34,856 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Changes in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Accounts receivable and unbilled,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(39,361)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(81,980)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(15,949)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(33,130)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12,021 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43,717 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12,249 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Advanced billings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50,332 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98,198 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(12,357)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(12,615)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Other assets and liabilities,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(15,633)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(8,046)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313,799 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274,362 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Property and equipment expenditures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(30,725)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(16,107)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(30,633)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(16,007)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Proceeds from stock option exercises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19,094 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26,285 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(294,764)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(912,815)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(275,670)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(886,530)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EFFECT OF EXCHANGE RATES ON CASH, CASH EQUIVALENTS, AND </w:t>
              <w:br/>
              <w:t>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(1,857)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5,069 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INCREASE (DECREASE) IN CASH, CASH EQUIVALENTS, AND 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(623,106)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 Beginning of period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497,049 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669,436 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502,688 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46,330 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MEDPACE HOLDINGS, INC. AND SUBSIDIARIES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RECONCILIATION OF NON-GAAP MEASURES (UNAUDITED)</w:t>
      </w:r>
    </w:p>
    <w:tbl>
      <w:tblPr>
        <w:tblW w:w="10205" w:type="dxa"/>
        <w:jc w:val="center"/>
        <w:tblInd w:w="0" w:type="dxa"/>
        <w:tblLayout w:type="fixed"/>
        <w:tblCellMar>
          <w:top w:w="28" w:type="dxa"/>
          <w:left w:w="28" w:type="dxa"/>
          <w:bottom w:w="28" w:type="dxa"/>
          <w:right w:w="28" w:type="dxa"/>
        </w:tblCellMar>
      </w:tblPr>
      <w:tblGrid>
        <w:gridCol w:w="1430"/>
        <w:gridCol w:w="1167"/>
        <w:gridCol w:w="1169"/>
        <w:gridCol w:w="211"/>
        <w:gridCol w:w="856"/>
        <w:gridCol w:w="286"/>
        <w:gridCol w:w="109"/>
        <w:gridCol w:w="109"/>
        <w:gridCol w:w="109"/>
        <w:gridCol w:w="211"/>
        <w:gridCol w:w="856"/>
        <w:gridCol w:w="286"/>
        <w:gridCol w:w="109"/>
        <w:gridCol w:w="109"/>
        <w:gridCol w:w="109"/>
        <w:gridCol w:w="211"/>
        <w:gridCol w:w="856"/>
        <w:gridCol w:w="286"/>
        <w:gridCol w:w="109"/>
        <w:gridCol w:w="109"/>
        <w:gridCol w:w="109"/>
        <w:gridCol w:w="211"/>
        <w:gridCol w:w="856"/>
        <w:gridCol w:w="332"/>
      </w:tblGrid>
      <w:tr>
        <w:trPr/>
        <w:tc>
          <w:tcPr>
            <w:tcW w:w="143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(Amounts in thousands, except percentages)</w:t>
            </w:r>
          </w:p>
        </w:tc>
        <w:tc>
          <w:tcPr>
            <w:tcW w:w="30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2025</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RECONCILIATION OF GAAP NET INCOME TO EBITDA</w:t>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(GAAP)</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121,362 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90,260 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245,232 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204,855 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(4,986)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(1,078)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(10,103)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(7,541)</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30,301 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34,278 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54,022 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37,853 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6,555 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6,777 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13,306 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13,471 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153,387 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130,474 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302,767 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249,111 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margin (GAAP)</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margin (Non-GAAP)</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FY 2026 GUIDANCE RECONCILIATION (UNAUDITED)</w:t>
      </w:r>
    </w:p>
    <w:tbl>
      <w:tblPr>
        <w:tblW w:w="9753" w:type="dxa"/>
        <w:jc w:val="center"/>
        <w:tblInd w:w="0" w:type="dxa"/>
        <w:tblLayout w:type="fixed"/>
        <w:tblCellMar>
          <w:top w:w="28" w:type="dxa"/>
          <w:left w:w="28" w:type="dxa"/>
          <w:bottom w:w="28" w:type="dxa"/>
          <w:right w:w="28" w:type="dxa"/>
        </w:tblCellMar>
      </w:tblPr>
      <w:tblGrid>
        <w:gridCol w:w="1718"/>
        <w:gridCol w:w="1505"/>
        <w:gridCol w:w="1516"/>
        <w:gridCol w:w="211"/>
        <w:gridCol w:w="646"/>
        <w:gridCol w:w="109"/>
        <w:gridCol w:w="109"/>
        <w:gridCol w:w="109"/>
        <w:gridCol w:w="109"/>
        <w:gridCol w:w="211"/>
        <w:gridCol w:w="646"/>
        <w:gridCol w:w="109"/>
        <w:gridCol w:w="109"/>
        <w:gridCol w:w="109"/>
        <w:gridCol w:w="109"/>
        <w:gridCol w:w="222"/>
        <w:gridCol w:w="681"/>
        <w:gridCol w:w="115"/>
        <w:gridCol w:w="115"/>
        <w:gridCol w:w="115"/>
        <w:gridCol w:w="115"/>
        <w:gridCol w:w="222"/>
        <w:gridCol w:w="681"/>
        <w:gridCol w:w="162"/>
      </w:tblGrid>
      <w:tr>
        <w:trPr/>
        <w:tc>
          <w:tcPr>
            <w:tcW w:w="1718"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(Amounts in millions, except per share amounts)</w:t>
            </w:r>
          </w:p>
        </w:tc>
        <w:tc>
          <w:tcPr>
            <w:tcW w:w="501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Forecast 2026</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 per diluted share</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Low</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High</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and net income per diluted share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Income tax provision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Interest income,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Depreciation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3742</Words>
  <Characters>21691</Characters>
  <CharactersWithSpaces>25109</CharactersWithSpaces>
  <Paragraphs>539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